
<file path=[Content_Types].xml><?xml version="1.0" encoding="utf-8"?>
<Types xmlns="http://schemas.openxmlformats.org/package/2006/content-types">
  <Default Extension="emf" ContentType="image/x-emf"/>
  <Default Extension="gif" ContentType="image/gi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3AB9876" w14:textId="43C0FE64" w:rsidR="00C80F8A" w:rsidRPr="00352B3A" w:rsidRDefault="00C80F8A" w:rsidP="006106D5">
      <w:pPr>
        <w:pStyle w:val="Ttulo10"/>
        <w:rPr>
          <w:rFonts w:asciiTheme="minorHAnsi" w:hAnsiTheme="minorHAnsi" w:cstheme="minorHAnsi"/>
          <w:sz w:val="32"/>
          <w:szCs w:val="28"/>
          <w:u w:val="single"/>
          <w:lang w:val="it-IT"/>
        </w:rPr>
      </w:pPr>
      <w:r w:rsidRPr="00352B3A">
        <w:rPr>
          <w:rFonts w:asciiTheme="minorHAnsi" w:hAnsiTheme="minorHAnsi" w:cstheme="minorHAnsi"/>
          <w:sz w:val="32"/>
          <w:szCs w:val="28"/>
          <w:u w:val="single"/>
          <w:lang w:val="it-IT"/>
        </w:rPr>
        <w:t>INFORME N° PR</w:t>
      </w:r>
      <w:r w:rsidR="002A50E6">
        <w:rPr>
          <w:rFonts w:asciiTheme="minorHAnsi" w:hAnsiTheme="minorHAnsi" w:cstheme="minorHAnsi"/>
          <w:sz w:val="32"/>
          <w:szCs w:val="28"/>
          <w:u w:val="single"/>
          <w:lang w:val="it-IT"/>
        </w:rPr>
        <w:t>-</w:t>
      </w:r>
      <w:r w:rsidR="00974654">
        <w:rPr>
          <w:rFonts w:asciiTheme="minorHAnsi" w:hAnsiTheme="minorHAnsi" w:cstheme="minorHAnsi"/>
          <w:sz w:val="32"/>
          <w:szCs w:val="28"/>
          <w:u w:val="single"/>
          <w:lang w:val="it-IT"/>
        </w:rPr>
        <w:t>2</w:t>
      </w:r>
      <w:r w:rsidR="00A10FAB">
        <w:rPr>
          <w:rFonts w:asciiTheme="minorHAnsi" w:hAnsiTheme="minorHAnsi" w:cstheme="minorHAnsi"/>
          <w:sz w:val="32"/>
          <w:szCs w:val="28"/>
          <w:u w:val="single"/>
          <w:lang w:val="it-IT"/>
        </w:rPr>
        <w:t>3</w:t>
      </w:r>
      <w:r w:rsidRPr="00352B3A">
        <w:rPr>
          <w:rFonts w:asciiTheme="minorHAnsi" w:hAnsiTheme="minorHAnsi" w:cstheme="minorHAnsi"/>
          <w:sz w:val="32"/>
          <w:szCs w:val="28"/>
          <w:u w:val="single"/>
          <w:lang w:val="it-IT"/>
        </w:rPr>
        <w:t>-202</w:t>
      </w:r>
      <w:r w:rsidR="005C1470">
        <w:rPr>
          <w:rFonts w:asciiTheme="minorHAnsi" w:hAnsiTheme="minorHAnsi" w:cstheme="minorHAnsi"/>
          <w:sz w:val="32"/>
          <w:szCs w:val="28"/>
          <w:u w:val="single"/>
          <w:lang w:val="it-IT"/>
        </w:rPr>
        <w:t>4</w:t>
      </w:r>
      <w:r w:rsidRPr="00352B3A">
        <w:rPr>
          <w:rFonts w:asciiTheme="minorHAnsi" w:hAnsiTheme="minorHAnsi" w:cstheme="minorHAnsi"/>
          <w:sz w:val="32"/>
          <w:szCs w:val="28"/>
          <w:u w:val="single"/>
          <w:lang w:val="it-IT"/>
        </w:rPr>
        <w:t>-DGN/GRT</w:t>
      </w:r>
    </w:p>
    <w:p w14:paraId="05C31DA7" w14:textId="0E3F0B92" w:rsidR="00B06A00" w:rsidRPr="00FB18F8" w:rsidRDefault="00B06A00" w:rsidP="006106D5">
      <w:pPr>
        <w:pStyle w:val="Ttulo10"/>
        <w:rPr>
          <w:rFonts w:asciiTheme="minorHAnsi" w:hAnsiTheme="minorHAnsi" w:cstheme="minorHAnsi"/>
          <w:sz w:val="28"/>
          <w:szCs w:val="28"/>
          <w:u w:val="single"/>
        </w:rPr>
      </w:pPr>
      <w:r w:rsidRPr="00FB18F8">
        <w:rPr>
          <w:rFonts w:asciiTheme="minorHAnsi" w:hAnsiTheme="minorHAnsi" w:cstheme="minorHAnsi"/>
          <w:sz w:val="28"/>
          <w:szCs w:val="28"/>
          <w:u w:val="single"/>
        </w:rPr>
        <w:t xml:space="preserve">PRECIOS DE REFERENCIA DE COMBUSTIBLES </w:t>
      </w:r>
      <w:r w:rsidR="00026544" w:rsidRPr="00FB18F8">
        <w:rPr>
          <w:rFonts w:asciiTheme="minorHAnsi" w:hAnsiTheme="minorHAnsi" w:cstheme="minorHAnsi"/>
          <w:sz w:val="28"/>
          <w:szCs w:val="28"/>
          <w:u w:val="single"/>
        </w:rPr>
        <w:t>D</w:t>
      </w:r>
      <w:r w:rsidR="00F67E3D" w:rsidRPr="00FB18F8">
        <w:rPr>
          <w:rFonts w:asciiTheme="minorHAnsi" w:hAnsiTheme="minorHAnsi" w:cstheme="minorHAnsi"/>
          <w:sz w:val="28"/>
          <w:szCs w:val="28"/>
          <w:u w:val="single"/>
        </w:rPr>
        <w:t>ERIVADOS DEL PETRÓ</w:t>
      </w:r>
      <w:r w:rsidRPr="00FB18F8">
        <w:rPr>
          <w:rFonts w:asciiTheme="minorHAnsi" w:hAnsiTheme="minorHAnsi" w:cstheme="minorHAnsi"/>
          <w:sz w:val="28"/>
          <w:szCs w:val="28"/>
          <w:u w:val="single"/>
        </w:rPr>
        <w:t>LEO</w:t>
      </w:r>
    </w:p>
    <w:p w14:paraId="29554AF0" w14:textId="19DA39F5" w:rsidR="00AF270F" w:rsidRDefault="00AF270F" w:rsidP="00624A92">
      <w:pPr>
        <w:jc w:val="center"/>
        <w:rPr>
          <w:rFonts w:asciiTheme="minorHAnsi" w:hAnsiTheme="minorHAnsi" w:cstheme="minorHAnsi"/>
          <w:b/>
          <w:bCs/>
          <w:sz w:val="28"/>
          <w:szCs w:val="28"/>
        </w:rPr>
      </w:pPr>
      <w:r w:rsidRPr="00FB18F8">
        <w:rPr>
          <w:rFonts w:asciiTheme="minorHAnsi" w:hAnsiTheme="minorHAnsi" w:cstheme="minorHAnsi"/>
          <w:b/>
          <w:bCs/>
          <w:sz w:val="28"/>
          <w:szCs w:val="28"/>
        </w:rPr>
        <w:t>Informe al</w:t>
      </w:r>
      <w:r w:rsidR="00377492">
        <w:rPr>
          <w:rFonts w:asciiTheme="minorHAnsi" w:hAnsiTheme="minorHAnsi" w:cstheme="minorHAnsi"/>
          <w:b/>
          <w:bCs/>
          <w:sz w:val="28"/>
          <w:szCs w:val="28"/>
        </w:rPr>
        <w:t xml:space="preserve"> </w:t>
      </w:r>
      <w:r w:rsidR="00A10FAB">
        <w:rPr>
          <w:rFonts w:asciiTheme="minorHAnsi" w:hAnsiTheme="minorHAnsi" w:cstheme="minorHAnsi"/>
          <w:b/>
          <w:bCs/>
          <w:sz w:val="28"/>
          <w:szCs w:val="28"/>
        </w:rPr>
        <w:t>03</w:t>
      </w:r>
      <w:r w:rsidR="00D13504" w:rsidRPr="00FB18F8">
        <w:rPr>
          <w:rFonts w:asciiTheme="minorHAnsi" w:hAnsiTheme="minorHAnsi" w:cstheme="minorHAnsi"/>
          <w:b/>
          <w:bCs/>
          <w:sz w:val="28"/>
          <w:szCs w:val="28"/>
        </w:rPr>
        <w:t>/</w:t>
      </w:r>
      <w:r w:rsidR="005C1470">
        <w:rPr>
          <w:rFonts w:asciiTheme="minorHAnsi" w:hAnsiTheme="minorHAnsi" w:cstheme="minorHAnsi"/>
          <w:b/>
          <w:bCs/>
          <w:sz w:val="28"/>
          <w:szCs w:val="28"/>
        </w:rPr>
        <w:t>0</w:t>
      </w:r>
      <w:r w:rsidR="00A10FAB">
        <w:rPr>
          <w:rFonts w:asciiTheme="minorHAnsi" w:hAnsiTheme="minorHAnsi" w:cstheme="minorHAnsi"/>
          <w:b/>
          <w:bCs/>
          <w:sz w:val="28"/>
          <w:szCs w:val="28"/>
        </w:rPr>
        <w:t>6</w:t>
      </w:r>
      <w:r w:rsidRPr="00FB18F8">
        <w:rPr>
          <w:rFonts w:asciiTheme="minorHAnsi" w:hAnsiTheme="minorHAnsi" w:cstheme="minorHAnsi"/>
          <w:b/>
          <w:bCs/>
          <w:sz w:val="28"/>
          <w:szCs w:val="28"/>
        </w:rPr>
        <w:t>/20</w:t>
      </w:r>
      <w:r w:rsidR="001517B7">
        <w:rPr>
          <w:rFonts w:asciiTheme="minorHAnsi" w:hAnsiTheme="minorHAnsi" w:cstheme="minorHAnsi"/>
          <w:b/>
          <w:bCs/>
          <w:sz w:val="28"/>
          <w:szCs w:val="28"/>
        </w:rPr>
        <w:t>2</w:t>
      </w:r>
      <w:r w:rsidR="005C1470">
        <w:rPr>
          <w:rFonts w:asciiTheme="minorHAnsi" w:hAnsiTheme="minorHAnsi" w:cstheme="minorHAnsi"/>
          <w:b/>
          <w:bCs/>
          <w:sz w:val="28"/>
          <w:szCs w:val="28"/>
        </w:rPr>
        <w:t>4</w:t>
      </w:r>
    </w:p>
    <w:p w14:paraId="4828A6AA" w14:textId="77777777" w:rsidR="00613813" w:rsidRPr="00FB18F8" w:rsidRDefault="00613813" w:rsidP="00027D8A">
      <w:pPr>
        <w:jc w:val="center"/>
        <w:rPr>
          <w:rFonts w:asciiTheme="minorHAnsi" w:hAnsiTheme="minorHAnsi" w:cstheme="minorHAnsi"/>
          <w:b/>
          <w:bCs/>
          <w:sz w:val="28"/>
          <w:szCs w:val="28"/>
        </w:rPr>
      </w:pPr>
    </w:p>
    <w:p w14:paraId="2BCC0869" w14:textId="77777777" w:rsidR="00AF270F" w:rsidRPr="00EC42B4" w:rsidRDefault="00EC42B4" w:rsidP="002A55A4">
      <w:pPr>
        <w:pStyle w:val="Ttulo3"/>
        <w:tabs>
          <w:tab w:val="left" w:pos="0"/>
        </w:tabs>
        <w:spacing w:before="0" w:after="0"/>
        <w:ind w:left="-426"/>
        <w:jc w:val="both"/>
        <w:rPr>
          <w:rFonts w:asciiTheme="minorHAnsi" w:hAnsiTheme="minorHAnsi" w:cstheme="minorHAnsi"/>
          <w:sz w:val="24"/>
          <w:szCs w:val="24"/>
          <w:vertAlign w:val="superscript"/>
        </w:rPr>
      </w:pPr>
      <w:r>
        <w:rPr>
          <w:rFonts w:asciiTheme="minorHAnsi" w:hAnsiTheme="minorHAnsi" w:cstheme="minorHAnsi"/>
          <w:sz w:val="24"/>
          <w:szCs w:val="24"/>
        </w:rPr>
        <w:t>1.</w:t>
      </w:r>
      <w:r>
        <w:rPr>
          <w:rFonts w:asciiTheme="minorHAnsi" w:hAnsiTheme="minorHAnsi" w:cstheme="minorHAnsi"/>
          <w:sz w:val="24"/>
          <w:szCs w:val="24"/>
        </w:rPr>
        <w:tab/>
        <w:t>H</w:t>
      </w:r>
      <w:r w:rsidR="00AF270F" w:rsidRPr="00EC42B4">
        <w:rPr>
          <w:rFonts w:asciiTheme="minorHAnsi" w:hAnsiTheme="minorHAnsi" w:cstheme="minorHAnsi"/>
          <w:sz w:val="24"/>
          <w:szCs w:val="24"/>
        </w:rPr>
        <w:t xml:space="preserve">ECHOS RELEVANTES DE LA SEMANA </w:t>
      </w:r>
      <w:r w:rsidR="00AF270F" w:rsidRPr="00EC42B4">
        <w:rPr>
          <w:rFonts w:asciiTheme="minorHAnsi" w:hAnsiTheme="minorHAnsi" w:cstheme="minorHAnsi"/>
          <w:sz w:val="24"/>
          <w:szCs w:val="24"/>
          <w:vertAlign w:val="superscript"/>
        </w:rPr>
        <w:footnoteReference w:id="1"/>
      </w:r>
      <w:r w:rsidR="00AF270F" w:rsidRPr="00EC42B4">
        <w:rPr>
          <w:rFonts w:asciiTheme="minorHAnsi" w:hAnsiTheme="minorHAnsi" w:cstheme="minorHAnsi"/>
          <w:sz w:val="24"/>
          <w:szCs w:val="24"/>
          <w:vertAlign w:val="superscript"/>
        </w:rPr>
        <w:t xml:space="preserve"> </w:t>
      </w:r>
    </w:p>
    <w:p w14:paraId="4D6B8148" w14:textId="77777777" w:rsidR="00613813" w:rsidRPr="00EC42B4" w:rsidRDefault="00613813" w:rsidP="00613813"/>
    <w:p w14:paraId="304B7888" w14:textId="77777777" w:rsidR="00613813" w:rsidRPr="00613813" w:rsidRDefault="00613813" w:rsidP="002A55A4">
      <w:pPr>
        <w:jc w:val="both"/>
        <w:rPr>
          <w:rFonts w:asciiTheme="minorHAnsi" w:hAnsiTheme="minorHAnsi" w:cstheme="minorHAnsi"/>
          <w:sz w:val="22"/>
          <w:szCs w:val="22"/>
        </w:rPr>
      </w:pPr>
      <w:r w:rsidRPr="00613813">
        <w:rPr>
          <w:rFonts w:asciiTheme="minorHAnsi" w:hAnsiTheme="minorHAnsi" w:cstheme="minorHAnsi"/>
          <w:sz w:val="22"/>
          <w:szCs w:val="22"/>
        </w:rPr>
        <w:t xml:space="preserve">Las variaciones registradas en los precios de referencia de los combustibles son consecuencia del comportamiento </w:t>
      </w:r>
      <w:r>
        <w:rPr>
          <w:rFonts w:asciiTheme="minorHAnsi" w:hAnsiTheme="minorHAnsi" w:cstheme="minorHAnsi"/>
          <w:sz w:val="22"/>
          <w:szCs w:val="22"/>
        </w:rPr>
        <w:t>de los precios del petróleo crudo y combustibles en el mercado internacional</w:t>
      </w:r>
      <w:r w:rsidR="00D075CA">
        <w:rPr>
          <w:rFonts w:asciiTheme="minorHAnsi" w:hAnsiTheme="minorHAnsi" w:cstheme="minorHAnsi"/>
          <w:sz w:val="22"/>
          <w:szCs w:val="22"/>
        </w:rPr>
        <w:t>, principalmente el de Estados Unidos, que es el mercado relevante para el GLP, Gasolinas, Diésel y Residuales</w:t>
      </w:r>
      <w:r w:rsidR="00AF2C97">
        <w:rPr>
          <w:rFonts w:asciiTheme="minorHAnsi" w:hAnsiTheme="minorHAnsi" w:cstheme="minorHAnsi"/>
          <w:sz w:val="22"/>
          <w:szCs w:val="22"/>
        </w:rPr>
        <w:t xml:space="preserve"> comercializados en nuestro país</w:t>
      </w:r>
      <w:r w:rsidRPr="00613813">
        <w:rPr>
          <w:rFonts w:asciiTheme="minorHAnsi" w:hAnsiTheme="minorHAnsi" w:cstheme="minorHAnsi"/>
          <w:sz w:val="22"/>
          <w:szCs w:val="22"/>
        </w:rPr>
        <w:t>.</w:t>
      </w:r>
    </w:p>
    <w:p w14:paraId="5A5BB6EC" w14:textId="77777777" w:rsidR="00613813" w:rsidRPr="00613813" w:rsidRDefault="00613813" w:rsidP="00613813"/>
    <w:p w14:paraId="0B855A72" w14:textId="77777777" w:rsidR="00AF270F" w:rsidRPr="002B3648" w:rsidRDefault="00AF270F" w:rsidP="00027D8A">
      <w:pPr>
        <w:pStyle w:val="Sangradetextonormal"/>
        <w:ind w:left="540" w:firstLine="1"/>
        <w:rPr>
          <w:rFonts w:asciiTheme="minorHAnsi" w:hAnsiTheme="minorHAnsi" w:cstheme="minorHAnsi"/>
          <w:b/>
          <w:bCs/>
          <w:sz w:val="22"/>
          <w:szCs w:val="22"/>
          <w:u w:val="single"/>
        </w:rPr>
      </w:pPr>
    </w:p>
    <w:p w14:paraId="15EB91AC" w14:textId="77777777" w:rsidR="00AF270F" w:rsidRPr="007047EB" w:rsidRDefault="00AF270F" w:rsidP="0004242F">
      <w:pPr>
        <w:pStyle w:val="Sangradetextonormal"/>
        <w:numPr>
          <w:ilvl w:val="1"/>
          <w:numId w:val="4"/>
        </w:numPr>
        <w:tabs>
          <w:tab w:val="left" w:pos="360"/>
        </w:tabs>
        <w:ind w:left="142" w:hanging="568"/>
        <w:rPr>
          <w:rFonts w:asciiTheme="minorHAnsi" w:hAnsiTheme="minorHAnsi" w:cstheme="minorHAnsi"/>
          <w:b/>
          <w:bCs/>
          <w:sz w:val="24"/>
          <w:u w:val="single"/>
        </w:rPr>
      </w:pPr>
      <w:r w:rsidRPr="007047EB">
        <w:rPr>
          <w:rFonts w:asciiTheme="minorHAnsi" w:hAnsiTheme="minorHAnsi" w:cstheme="minorHAnsi"/>
          <w:b/>
          <w:bCs/>
          <w:sz w:val="24"/>
          <w:u w:val="single"/>
        </w:rPr>
        <w:t>Mercado Internacional de Petróleo Crudo y Combustibles</w:t>
      </w:r>
    </w:p>
    <w:p w14:paraId="09402730" w14:textId="77777777" w:rsidR="000C7F97" w:rsidRDefault="000C7F97" w:rsidP="000C7F97">
      <w:pPr>
        <w:pStyle w:val="Sangradetextonormal"/>
        <w:tabs>
          <w:tab w:val="left" w:pos="360"/>
        </w:tabs>
        <w:ind w:left="541" w:firstLine="0"/>
        <w:rPr>
          <w:rFonts w:asciiTheme="minorHAnsi" w:hAnsiTheme="minorHAnsi" w:cstheme="minorHAnsi"/>
          <w:b/>
          <w:bCs/>
          <w:sz w:val="22"/>
          <w:szCs w:val="22"/>
          <w:u w:val="single"/>
        </w:rPr>
      </w:pPr>
    </w:p>
    <w:p w14:paraId="7D2C1CA6" w14:textId="659B4F44" w:rsidR="00E53D92" w:rsidRDefault="00613813" w:rsidP="00211519">
      <w:pPr>
        <w:ind w:left="142"/>
        <w:jc w:val="both"/>
        <w:rPr>
          <w:rFonts w:asciiTheme="minorHAnsi" w:hAnsiTheme="minorHAnsi" w:cstheme="minorHAnsi"/>
          <w:sz w:val="22"/>
          <w:szCs w:val="22"/>
        </w:rPr>
      </w:pPr>
      <w:r>
        <w:rPr>
          <w:rFonts w:asciiTheme="minorHAnsi" w:hAnsiTheme="minorHAnsi" w:cstheme="minorHAnsi"/>
          <w:sz w:val="22"/>
          <w:szCs w:val="22"/>
        </w:rPr>
        <w:t>En la Gráfica N°</w:t>
      </w:r>
      <w:r w:rsidR="00E958BC">
        <w:rPr>
          <w:rFonts w:asciiTheme="minorHAnsi" w:hAnsiTheme="minorHAnsi" w:cstheme="minorHAnsi"/>
          <w:sz w:val="22"/>
          <w:szCs w:val="22"/>
        </w:rPr>
        <w:t xml:space="preserve"> </w:t>
      </w:r>
      <w:r>
        <w:rPr>
          <w:rFonts w:asciiTheme="minorHAnsi" w:hAnsiTheme="minorHAnsi" w:cstheme="minorHAnsi"/>
          <w:sz w:val="22"/>
          <w:szCs w:val="22"/>
        </w:rPr>
        <w:t>1</w:t>
      </w:r>
      <w:r w:rsidR="008B5E82">
        <w:rPr>
          <w:rFonts w:asciiTheme="minorHAnsi" w:hAnsiTheme="minorHAnsi" w:cstheme="minorHAnsi"/>
          <w:sz w:val="22"/>
          <w:szCs w:val="22"/>
        </w:rPr>
        <w:t>, se muestra</w:t>
      </w:r>
      <w:r w:rsidR="00E53D92" w:rsidRPr="002B3648">
        <w:rPr>
          <w:rFonts w:asciiTheme="minorHAnsi" w:hAnsiTheme="minorHAnsi" w:cstheme="minorHAnsi"/>
          <w:sz w:val="22"/>
          <w:szCs w:val="22"/>
        </w:rPr>
        <w:t xml:space="preserve"> la evolución</w:t>
      </w:r>
      <w:r w:rsidR="00E53D92">
        <w:rPr>
          <w:rFonts w:asciiTheme="minorHAnsi" w:hAnsiTheme="minorHAnsi" w:cstheme="minorHAnsi"/>
          <w:sz w:val="22"/>
          <w:szCs w:val="22"/>
        </w:rPr>
        <w:t xml:space="preserve"> de los Precios del Petróleo Crudo y Combustibles de la Costa del Golfo</w:t>
      </w:r>
      <w:r w:rsidR="00D42E49">
        <w:rPr>
          <w:rFonts w:asciiTheme="minorHAnsi" w:hAnsiTheme="minorHAnsi" w:cstheme="minorHAnsi"/>
          <w:sz w:val="22"/>
          <w:szCs w:val="22"/>
        </w:rPr>
        <w:t xml:space="preserve"> y Mont Belvieu</w:t>
      </w:r>
      <w:r w:rsidR="00211519">
        <w:rPr>
          <w:rFonts w:asciiTheme="minorHAnsi" w:hAnsiTheme="minorHAnsi" w:cstheme="minorHAnsi"/>
          <w:sz w:val="22"/>
          <w:szCs w:val="22"/>
        </w:rPr>
        <w:t>,</w:t>
      </w:r>
      <w:r w:rsidR="00E53D92">
        <w:rPr>
          <w:rFonts w:asciiTheme="minorHAnsi" w:hAnsiTheme="minorHAnsi" w:cstheme="minorHAnsi"/>
          <w:sz w:val="22"/>
          <w:szCs w:val="22"/>
        </w:rPr>
        <w:t xml:space="preserve"> en dólares por barril</w:t>
      </w:r>
      <w:r w:rsidR="00E53D92" w:rsidRPr="002B3648">
        <w:rPr>
          <w:rFonts w:asciiTheme="minorHAnsi" w:hAnsiTheme="minorHAnsi" w:cstheme="minorHAnsi"/>
          <w:sz w:val="22"/>
          <w:szCs w:val="22"/>
        </w:rPr>
        <w:t xml:space="preserve">. </w:t>
      </w:r>
    </w:p>
    <w:p w14:paraId="2053FFB2" w14:textId="77777777" w:rsidR="00E53D92" w:rsidRPr="002B3648" w:rsidRDefault="00E53D92" w:rsidP="00E53D92">
      <w:pPr>
        <w:ind w:left="284"/>
        <w:jc w:val="both"/>
        <w:rPr>
          <w:rFonts w:asciiTheme="minorHAnsi" w:hAnsiTheme="minorHAnsi" w:cstheme="minorHAnsi"/>
          <w:sz w:val="22"/>
          <w:szCs w:val="22"/>
        </w:rPr>
      </w:pPr>
    </w:p>
    <w:p w14:paraId="51851F03" w14:textId="77777777" w:rsidR="00E53D92" w:rsidRPr="002B3648" w:rsidRDefault="00E53D92" w:rsidP="002A55A4">
      <w:pPr>
        <w:ind w:left="142"/>
        <w:jc w:val="both"/>
        <w:rPr>
          <w:rFonts w:asciiTheme="minorHAnsi" w:hAnsiTheme="minorHAnsi" w:cstheme="minorHAnsi"/>
          <w:i/>
          <w:sz w:val="20"/>
          <w:szCs w:val="20"/>
        </w:rPr>
      </w:pPr>
      <w:r>
        <w:rPr>
          <w:rFonts w:asciiTheme="minorHAnsi" w:hAnsiTheme="minorHAnsi" w:cstheme="minorHAnsi"/>
          <w:b/>
          <w:i/>
          <w:sz w:val="20"/>
          <w:szCs w:val="20"/>
        </w:rPr>
        <w:t>GRAFICA N° 1</w:t>
      </w:r>
      <w:r>
        <w:rPr>
          <w:rFonts w:asciiTheme="minorHAnsi" w:hAnsiTheme="minorHAnsi" w:cstheme="minorHAnsi"/>
          <w:i/>
          <w:sz w:val="20"/>
          <w:szCs w:val="20"/>
        </w:rPr>
        <w:t xml:space="preserve">: Precios </w:t>
      </w:r>
      <w:r w:rsidRPr="002B3648">
        <w:rPr>
          <w:rFonts w:asciiTheme="minorHAnsi" w:hAnsiTheme="minorHAnsi" w:cstheme="minorHAnsi"/>
          <w:i/>
          <w:sz w:val="20"/>
          <w:szCs w:val="20"/>
        </w:rPr>
        <w:t>de</w:t>
      </w:r>
      <w:r>
        <w:rPr>
          <w:rFonts w:asciiTheme="minorHAnsi" w:hAnsiTheme="minorHAnsi" w:cstheme="minorHAnsi"/>
          <w:i/>
          <w:sz w:val="20"/>
          <w:szCs w:val="20"/>
        </w:rPr>
        <w:t xml:space="preserve">l Petróleo Crudo y </w:t>
      </w:r>
      <w:r w:rsidRPr="002B3648">
        <w:rPr>
          <w:rFonts w:asciiTheme="minorHAnsi" w:hAnsiTheme="minorHAnsi" w:cstheme="minorHAnsi"/>
          <w:i/>
          <w:sz w:val="20"/>
          <w:szCs w:val="20"/>
        </w:rPr>
        <w:t>Comb</w:t>
      </w:r>
      <w:r>
        <w:rPr>
          <w:rFonts w:asciiTheme="minorHAnsi" w:hAnsiTheme="minorHAnsi" w:cstheme="minorHAnsi"/>
          <w:i/>
          <w:sz w:val="20"/>
          <w:szCs w:val="20"/>
        </w:rPr>
        <w:t>ustibles en la Costa del Golfo de EE.UU.</w:t>
      </w:r>
    </w:p>
    <w:p w14:paraId="10455204" w14:textId="0518A6DB" w:rsidR="00073C34" w:rsidRPr="002B3648" w:rsidRDefault="00A10FAB" w:rsidP="00654D24">
      <w:pPr>
        <w:pBdr>
          <w:top w:val="single" w:sz="4" w:space="1" w:color="auto"/>
          <w:bottom w:val="single" w:sz="4" w:space="1" w:color="auto"/>
        </w:pBdr>
        <w:tabs>
          <w:tab w:val="left" w:pos="284"/>
        </w:tabs>
        <w:ind w:left="142"/>
        <w:jc w:val="center"/>
        <w:rPr>
          <w:rFonts w:asciiTheme="minorHAnsi" w:hAnsiTheme="minorHAnsi" w:cstheme="minorHAnsi"/>
          <w:sz w:val="22"/>
          <w:szCs w:val="22"/>
        </w:rPr>
      </w:pPr>
      <w:r w:rsidRPr="0004352B">
        <w:rPr>
          <w:noProof/>
        </w:rPr>
        <w:drawing>
          <wp:inline distT="0" distB="0" distL="0" distR="0" wp14:anchorId="1DC5D463" wp14:editId="5CC39B41">
            <wp:extent cx="5410200" cy="3448050"/>
            <wp:effectExtent l="0" t="0" r="0" b="0"/>
            <wp:docPr id="13193509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9350952" name=""/>
                    <pic:cNvPicPr/>
                  </pic:nvPicPr>
                  <pic:blipFill>
                    <a:blip r:embed="rId11"/>
                    <a:stretch>
                      <a:fillRect/>
                    </a:stretch>
                  </pic:blipFill>
                  <pic:spPr>
                    <a:xfrm>
                      <a:off x="0" y="0"/>
                      <a:ext cx="5410200" cy="3448050"/>
                    </a:xfrm>
                    <a:prstGeom prst="rect">
                      <a:avLst/>
                    </a:prstGeom>
                  </pic:spPr>
                </pic:pic>
              </a:graphicData>
            </a:graphic>
          </wp:inline>
        </w:drawing>
      </w:r>
    </w:p>
    <w:p w14:paraId="54C37777" w14:textId="3BA29442" w:rsidR="00E53D92" w:rsidRDefault="00E53D92" w:rsidP="002A55A4">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sidR="00AA338D">
        <w:rPr>
          <w:rFonts w:asciiTheme="minorHAnsi" w:hAnsiTheme="minorHAnsi" w:cstheme="minorHAnsi"/>
          <w:i/>
          <w:sz w:val="20"/>
          <w:szCs w:val="20"/>
        </w:rPr>
        <w:t xml:space="preserve"> Argus</w:t>
      </w:r>
      <w:r>
        <w:rPr>
          <w:rFonts w:asciiTheme="minorHAnsi" w:hAnsiTheme="minorHAnsi" w:cstheme="minorHAnsi"/>
          <w:i/>
          <w:sz w:val="20"/>
          <w:szCs w:val="20"/>
        </w:rPr>
        <w:t xml:space="preserve">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sidR="000B1A38">
        <w:rPr>
          <w:rFonts w:asciiTheme="minorHAnsi" w:hAnsiTheme="minorHAnsi" w:cstheme="minorHAnsi"/>
          <w:i/>
          <w:sz w:val="20"/>
          <w:szCs w:val="20"/>
        </w:rPr>
        <w:t xml:space="preserve">  </w:t>
      </w:r>
      <w:r w:rsidR="00D51B30">
        <w:rPr>
          <w:rFonts w:asciiTheme="minorHAnsi" w:hAnsiTheme="minorHAnsi" w:cstheme="minorHAnsi"/>
          <w:i/>
          <w:sz w:val="20"/>
          <w:szCs w:val="20"/>
        </w:rPr>
        <w:t xml:space="preserve">             </w:t>
      </w:r>
      <w:r w:rsidR="00072759">
        <w:rPr>
          <w:rFonts w:asciiTheme="minorHAnsi" w:hAnsiTheme="minorHAnsi" w:cstheme="minorHAnsi"/>
          <w:i/>
          <w:sz w:val="20"/>
          <w:szCs w:val="20"/>
        </w:rPr>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7A2F4D2F" w14:textId="77777777" w:rsidR="00DE7674" w:rsidRDefault="00DE7674" w:rsidP="00352B3A">
      <w:pPr>
        <w:jc w:val="both"/>
        <w:rPr>
          <w:rFonts w:asciiTheme="minorHAnsi" w:hAnsiTheme="minorHAnsi" w:cstheme="minorHAnsi"/>
          <w:sz w:val="22"/>
          <w:szCs w:val="22"/>
        </w:rPr>
      </w:pPr>
    </w:p>
    <w:p w14:paraId="2A6B303A" w14:textId="09ED930F" w:rsidR="00E53D92" w:rsidRDefault="00D12B94" w:rsidP="00352B3A">
      <w:pPr>
        <w:jc w:val="both"/>
        <w:rPr>
          <w:rFonts w:asciiTheme="minorHAnsi" w:hAnsiTheme="minorHAnsi" w:cstheme="minorHAnsi"/>
          <w:sz w:val="22"/>
          <w:szCs w:val="22"/>
        </w:rPr>
      </w:pPr>
      <w:r>
        <w:rPr>
          <w:rFonts w:asciiTheme="minorHAnsi" w:hAnsiTheme="minorHAnsi" w:cstheme="minorHAnsi"/>
          <w:sz w:val="22"/>
          <w:szCs w:val="22"/>
        </w:rPr>
        <w:t>A</w:t>
      </w:r>
      <w:r w:rsidR="00E53D92">
        <w:rPr>
          <w:rFonts w:asciiTheme="minorHAnsi" w:hAnsiTheme="minorHAnsi" w:cstheme="minorHAnsi"/>
          <w:sz w:val="22"/>
          <w:szCs w:val="22"/>
        </w:rPr>
        <w:t xml:space="preserve"> partir de enero 2021, los precios del petróleo crudo y combustibles comenzaron a recuperarse, luego de la crisis generada por la pandemia del Coronavirus en el año 2020</w:t>
      </w:r>
      <w:r w:rsidR="00252CA4">
        <w:rPr>
          <w:rFonts w:asciiTheme="minorHAnsi" w:hAnsiTheme="minorHAnsi" w:cstheme="minorHAnsi"/>
          <w:sz w:val="22"/>
          <w:szCs w:val="22"/>
        </w:rPr>
        <w:t>, denotando un comportamiento alcista</w:t>
      </w:r>
      <w:r w:rsidR="00C57623">
        <w:rPr>
          <w:rFonts w:asciiTheme="minorHAnsi" w:hAnsiTheme="minorHAnsi" w:cstheme="minorHAnsi"/>
          <w:sz w:val="22"/>
          <w:szCs w:val="22"/>
        </w:rPr>
        <w:t xml:space="preserve"> al cierre de julio 2021</w:t>
      </w:r>
      <w:r w:rsidR="00E53D92">
        <w:rPr>
          <w:rFonts w:asciiTheme="minorHAnsi" w:hAnsiTheme="minorHAnsi" w:cstheme="minorHAnsi"/>
          <w:sz w:val="22"/>
          <w:szCs w:val="22"/>
        </w:rPr>
        <w:t>.</w:t>
      </w:r>
    </w:p>
    <w:p w14:paraId="7B456B99"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En agosto 2021, las expectativas</w:t>
      </w:r>
      <w:r w:rsidRPr="00470CF5">
        <w:rPr>
          <w:rFonts w:asciiTheme="minorHAnsi" w:hAnsiTheme="minorHAnsi" w:cstheme="minorHAnsi"/>
          <w:sz w:val="22"/>
          <w:szCs w:val="22"/>
        </w:rPr>
        <w:t xml:space="preserve"> </w:t>
      </w:r>
      <w:r>
        <w:rPr>
          <w:rFonts w:asciiTheme="minorHAnsi" w:hAnsiTheme="minorHAnsi" w:cstheme="minorHAnsi"/>
          <w:sz w:val="22"/>
          <w:szCs w:val="22"/>
        </w:rPr>
        <w:t>en el mercado del petróleo cambiaron, respecto al mes de julio 2021; debido principalmente al impacto de la variante Delta del Coronavirus, que retrasó, a nivel global,</w:t>
      </w:r>
      <w:r w:rsidRPr="00470CF5">
        <w:rPr>
          <w:rFonts w:asciiTheme="minorHAnsi" w:hAnsiTheme="minorHAnsi" w:cstheme="minorHAnsi"/>
          <w:sz w:val="22"/>
          <w:szCs w:val="22"/>
        </w:rPr>
        <w:t xml:space="preserve"> la reactivación que habían experimentado los precios del petróleo </w:t>
      </w:r>
      <w:r>
        <w:rPr>
          <w:rFonts w:asciiTheme="minorHAnsi" w:hAnsiTheme="minorHAnsi" w:cstheme="minorHAnsi"/>
          <w:sz w:val="22"/>
          <w:szCs w:val="22"/>
        </w:rPr>
        <w:t>y combustibles a lo largo de</w:t>
      </w:r>
      <w:r w:rsidRPr="00470CF5">
        <w:rPr>
          <w:rFonts w:asciiTheme="minorHAnsi" w:hAnsiTheme="minorHAnsi" w:cstheme="minorHAnsi"/>
          <w:sz w:val="22"/>
          <w:szCs w:val="22"/>
        </w:rPr>
        <w:t xml:space="preserve"> la pandemia.</w:t>
      </w:r>
    </w:p>
    <w:p w14:paraId="313DC165" w14:textId="77777777" w:rsidR="00E812D9" w:rsidRDefault="00E812D9" w:rsidP="00E812D9">
      <w:pPr>
        <w:jc w:val="both"/>
        <w:rPr>
          <w:rFonts w:asciiTheme="minorHAnsi" w:hAnsiTheme="minorHAnsi" w:cstheme="minorHAnsi"/>
          <w:sz w:val="22"/>
          <w:szCs w:val="22"/>
        </w:rPr>
      </w:pPr>
      <w:r>
        <w:rPr>
          <w:rFonts w:asciiTheme="minorHAnsi" w:hAnsiTheme="minorHAnsi" w:cstheme="minorHAnsi"/>
          <w:sz w:val="22"/>
          <w:szCs w:val="22"/>
        </w:rPr>
        <w:t xml:space="preserve">  </w:t>
      </w:r>
    </w:p>
    <w:p w14:paraId="5CB5BC2E" w14:textId="6EB382EC" w:rsidR="00E812D9" w:rsidRDefault="00E812D9" w:rsidP="00E812D9">
      <w:pPr>
        <w:jc w:val="both"/>
        <w:rPr>
          <w:rFonts w:asciiTheme="minorHAnsi" w:hAnsiTheme="minorHAnsi" w:cstheme="minorHAnsi"/>
          <w:sz w:val="22"/>
          <w:szCs w:val="22"/>
        </w:rPr>
      </w:pPr>
      <w:r w:rsidRPr="00250238">
        <w:rPr>
          <w:rFonts w:asciiTheme="minorHAnsi" w:hAnsiTheme="minorHAnsi" w:cstheme="minorHAnsi"/>
          <w:sz w:val="22"/>
          <w:szCs w:val="22"/>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w:t>
      </w:r>
      <w:r w:rsidR="00811366">
        <w:rPr>
          <w:rFonts w:asciiTheme="minorHAnsi" w:hAnsiTheme="minorHAnsi" w:cstheme="minorHAnsi"/>
          <w:sz w:val="22"/>
          <w:szCs w:val="22"/>
        </w:rPr>
        <w:t xml:space="preserve"> y</w:t>
      </w:r>
      <w:r w:rsidRPr="00250238">
        <w:rPr>
          <w:rFonts w:asciiTheme="minorHAnsi" w:hAnsiTheme="minorHAnsi" w:cstheme="minorHAnsi"/>
          <w:sz w:val="22"/>
          <w:szCs w:val="22"/>
        </w:rPr>
        <w:t xml:space="preserve"> el GLP.</w:t>
      </w:r>
      <w:r w:rsidR="00A43639">
        <w:rPr>
          <w:rFonts w:asciiTheme="minorHAnsi" w:hAnsiTheme="minorHAnsi" w:cstheme="minorHAnsi"/>
          <w:sz w:val="22"/>
          <w:szCs w:val="22"/>
        </w:rPr>
        <w:t xml:space="preserve"> </w:t>
      </w:r>
      <w:r w:rsidR="00587823" w:rsidRPr="00587823">
        <w:rPr>
          <w:rFonts w:asciiTheme="minorHAnsi" w:hAnsiTheme="minorHAnsi" w:cstheme="minorHAnsi"/>
          <w:sz w:val="22"/>
          <w:szCs w:val="22"/>
        </w:rPr>
        <w:t>Esta tendencia se ha mantenido desde enero a junio 2023, periodo durante el cual, los precios promedio de petróleo crudo y combustibles registraron disminuciones respecto al año 2022. A partir del segundo semestre 2023, se aprecia una moderada recuperación de los precios del petróleo crudo y combustibles, impulsada principalmente por la reducción de la oferta y las expectativas de una mayor demanda a nivel global.</w:t>
      </w:r>
    </w:p>
    <w:p w14:paraId="26C631AF" w14:textId="77777777" w:rsidR="00A43639" w:rsidRDefault="00A43639" w:rsidP="00E812D9">
      <w:pPr>
        <w:jc w:val="both"/>
        <w:rPr>
          <w:rFonts w:asciiTheme="minorHAnsi" w:hAnsiTheme="minorHAnsi" w:cstheme="minorHAnsi"/>
          <w:sz w:val="22"/>
          <w:szCs w:val="22"/>
        </w:rPr>
      </w:pPr>
    </w:p>
    <w:p w14:paraId="75C0834D" w14:textId="0C09D895" w:rsidR="00E812D9" w:rsidRDefault="00733288" w:rsidP="00E812D9">
      <w:pPr>
        <w:jc w:val="both"/>
        <w:rPr>
          <w:rFonts w:asciiTheme="minorHAnsi" w:hAnsiTheme="minorHAnsi" w:cstheme="minorHAnsi"/>
          <w:sz w:val="22"/>
          <w:szCs w:val="22"/>
        </w:rPr>
      </w:pPr>
      <w:r>
        <w:rPr>
          <w:rFonts w:asciiTheme="minorHAnsi" w:hAnsiTheme="minorHAnsi" w:cstheme="minorHAnsi"/>
          <w:sz w:val="22"/>
          <w:szCs w:val="22"/>
        </w:rPr>
        <w:t>Asimismo, a</w:t>
      </w:r>
      <w:r w:rsidR="006A2158" w:rsidRPr="006A2158">
        <w:rPr>
          <w:rFonts w:asciiTheme="minorHAnsi" w:hAnsiTheme="minorHAnsi" w:cstheme="minorHAnsi"/>
          <w:sz w:val="22"/>
          <w:szCs w:val="22"/>
        </w:rPr>
        <w:t xml:space="preserve">l cierre de la última semana del periodo </w:t>
      </w:r>
      <w:r w:rsidR="006A2158">
        <w:rPr>
          <w:rFonts w:asciiTheme="minorHAnsi" w:hAnsiTheme="minorHAnsi" w:cstheme="minorHAnsi"/>
          <w:sz w:val="22"/>
          <w:szCs w:val="22"/>
        </w:rPr>
        <w:t>de evaluación</w:t>
      </w:r>
      <w:r w:rsidR="00FE53EF">
        <w:rPr>
          <w:rStyle w:val="Refdenotaalpie"/>
          <w:rFonts w:asciiTheme="minorHAnsi" w:hAnsiTheme="minorHAnsi" w:cstheme="minorHAnsi"/>
          <w:sz w:val="22"/>
          <w:szCs w:val="22"/>
        </w:rPr>
        <w:footnoteReference w:id="2"/>
      </w:r>
      <w:r w:rsidR="006A2158">
        <w:rPr>
          <w:rFonts w:asciiTheme="minorHAnsi" w:hAnsiTheme="minorHAnsi" w:cstheme="minorHAnsi"/>
          <w:sz w:val="22"/>
          <w:szCs w:val="22"/>
        </w:rPr>
        <w:t xml:space="preserve">, </w:t>
      </w:r>
      <w:r w:rsidR="00FE53EF">
        <w:rPr>
          <w:rFonts w:asciiTheme="minorHAnsi" w:hAnsiTheme="minorHAnsi" w:cstheme="minorHAnsi"/>
          <w:sz w:val="22"/>
          <w:szCs w:val="22"/>
        </w:rPr>
        <w:t xml:space="preserve">el precio del crudo WTI se ubicó </w:t>
      </w:r>
      <w:r w:rsidRPr="00733288">
        <w:rPr>
          <w:rFonts w:asciiTheme="minorHAnsi" w:hAnsiTheme="minorHAnsi" w:cstheme="minorHAnsi"/>
          <w:sz w:val="22"/>
          <w:szCs w:val="22"/>
        </w:rPr>
        <w:t xml:space="preserve">en </w:t>
      </w:r>
      <w:r w:rsidR="00DE7674">
        <w:rPr>
          <w:rFonts w:asciiTheme="minorHAnsi" w:hAnsiTheme="minorHAnsi" w:cstheme="minorHAnsi"/>
          <w:sz w:val="22"/>
          <w:szCs w:val="22"/>
        </w:rPr>
        <w:t>7</w:t>
      </w:r>
      <w:r w:rsidR="00A10FAB">
        <w:rPr>
          <w:rFonts w:asciiTheme="minorHAnsi" w:hAnsiTheme="minorHAnsi" w:cstheme="minorHAnsi"/>
          <w:sz w:val="22"/>
          <w:szCs w:val="22"/>
        </w:rPr>
        <w:t>6</w:t>
      </w:r>
      <w:r w:rsidR="00073C34">
        <w:rPr>
          <w:rFonts w:asciiTheme="minorHAnsi" w:hAnsiTheme="minorHAnsi" w:cstheme="minorHAnsi"/>
          <w:sz w:val="22"/>
          <w:szCs w:val="22"/>
        </w:rPr>
        <w:t>,</w:t>
      </w:r>
      <w:r w:rsidR="00A10FAB">
        <w:rPr>
          <w:rFonts w:asciiTheme="minorHAnsi" w:hAnsiTheme="minorHAnsi" w:cstheme="minorHAnsi"/>
          <w:sz w:val="22"/>
          <w:szCs w:val="22"/>
        </w:rPr>
        <w:t>65</w:t>
      </w:r>
      <w:r w:rsidRPr="00733288">
        <w:rPr>
          <w:rFonts w:asciiTheme="minorHAnsi" w:hAnsiTheme="minorHAnsi" w:cstheme="minorHAnsi"/>
          <w:sz w:val="22"/>
          <w:szCs w:val="22"/>
        </w:rPr>
        <w:t xml:space="preserve"> US$/Bl, las gasolinas registraron un precio superior a </w:t>
      </w:r>
      <w:r w:rsidR="00584936">
        <w:rPr>
          <w:rFonts w:asciiTheme="minorHAnsi" w:hAnsiTheme="minorHAnsi" w:cstheme="minorHAnsi"/>
          <w:sz w:val="22"/>
          <w:szCs w:val="22"/>
        </w:rPr>
        <w:t>9</w:t>
      </w:r>
      <w:r w:rsidR="00E17C19">
        <w:rPr>
          <w:rFonts w:asciiTheme="minorHAnsi" w:hAnsiTheme="minorHAnsi" w:cstheme="minorHAnsi"/>
          <w:sz w:val="22"/>
          <w:szCs w:val="22"/>
        </w:rPr>
        <w:t>0</w:t>
      </w:r>
      <w:r w:rsidRPr="00733288">
        <w:rPr>
          <w:rFonts w:asciiTheme="minorHAnsi" w:hAnsiTheme="minorHAnsi" w:cstheme="minorHAnsi"/>
          <w:sz w:val="22"/>
          <w:szCs w:val="22"/>
        </w:rPr>
        <w:t xml:space="preserve"> US$/Bl y los destilados medios registraron niveles por encima de los </w:t>
      </w:r>
      <w:r w:rsidR="00E17C19">
        <w:rPr>
          <w:rFonts w:asciiTheme="minorHAnsi" w:hAnsiTheme="minorHAnsi" w:cstheme="minorHAnsi"/>
          <w:sz w:val="22"/>
          <w:szCs w:val="22"/>
        </w:rPr>
        <w:t>95</w:t>
      </w:r>
      <w:r w:rsidRPr="00733288">
        <w:rPr>
          <w:rFonts w:asciiTheme="minorHAnsi" w:hAnsiTheme="minorHAnsi" w:cstheme="minorHAnsi"/>
          <w:sz w:val="22"/>
          <w:szCs w:val="22"/>
        </w:rPr>
        <w:t xml:space="preserve"> US$/Bl</w:t>
      </w:r>
      <w:r w:rsidR="00FE53EF">
        <w:rPr>
          <w:rFonts w:asciiTheme="minorHAnsi" w:hAnsiTheme="minorHAnsi" w:cstheme="minorHAnsi"/>
          <w:sz w:val="22"/>
          <w:szCs w:val="22"/>
        </w:rPr>
        <w:t xml:space="preserve">. Para el mismo periodo, el precio del GLP cerró la semana en </w:t>
      </w:r>
      <w:r w:rsidR="001E6665">
        <w:rPr>
          <w:rFonts w:asciiTheme="minorHAnsi" w:hAnsiTheme="minorHAnsi" w:cstheme="minorHAnsi"/>
          <w:sz w:val="22"/>
          <w:szCs w:val="22"/>
        </w:rPr>
        <w:t>3</w:t>
      </w:r>
      <w:r w:rsidR="00E17C19">
        <w:rPr>
          <w:rFonts w:asciiTheme="minorHAnsi" w:hAnsiTheme="minorHAnsi" w:cstheme="minorHAnsi"/>
          <w:sz w:val="22"/>
          <w:szCs w:val="22"/>
        </w:rPr>
        <w:t>1</w:t>
      </w:r>
      <w:r w:rsidR="00941CD2">
        <w:rPr>
          <w:rFonts w:asciiTheme="minorHAnsi" w:hAnsiTheme="minorHAnsi" w:cstheme="minorHAnsi"/>
          <w:sz w:val="22"/>
          <w:szCs w:val="22"/>
        </w:rPr>
        <w:t>,</w:t>
      </w:r>
      <w:r w:rsidR="00E17C19">
        <w:rPr>
          <w:rFonts w:asciiTheme="minorHAnsi" w:hAnsiTheme="minorHAnsi" w:cstheme="minorHAnsi"/>
          <w:sz w:val="22"/>
          <w:szCs w:val="22"/>
        </w:rPr>
        <w:t>32</w:t>
      </w:r>
      <w:r w:rsidR="00FE53EF">
        <w:rPr>
          <w:rFonts w:asciiTheme="minorHAnsi" w:hAnsiTheme="minorHAnsi" w:cstheme="minorHAnsi"/>
          <w:sz w:val="22"/>
          <w:szCs w:val="22"/>
        </w:rPr>
        <w:t xml:space="preserve"> US$/Bl.</w:t>
      </w:r>
    </w:p>
    <w:p w14:paraId="4C3536A0" w14:textId="77777777" w:rsidR="00FE53EF" w:rsidRDefault="00FE53EF" w:rsidP="00E812D9">
      <w:pPr>
        <w:jc w:val="both"/>
        <w:rPr>
          <w:rFonts w:asciiTheme="minorHAnsi" w:hAnsiTheme="minorHAnsi" w:cstheme="minorHAnsi"/>
          <w:sz w:val="22"/>
          <w:szCs w:val="22"/>
        </w:rPr>
      </w:pPr>
    </w:p>
    <w:p w14:paraId="4135D9CA" w14:textId="59723AC2" w:rsidR="00073C34" w:rsidRDefault="005B4C77" w:rsidP="00073C34">
      <w:pPr>
        <w:jc w:val="both"/>
        <w:rPr>
          <w:rFonts w:asciiTheme="minorHAnsi" w:hAnsiTheme="minorHAnsi" w:cstheme="minorHAnsi"/>
          <w:sz w:val="22"/>
          <w:szCs w:val="22"/>
        </w:rPr>
      </w:pPr>
      <w:r w:rsidRPr="005B4C77">
        <w:rPr>
          <w:rFonts w:asciiTheme="minorHAnsi" w:hAnsiTheme="minorHAnsi" w:cstheme="minorHAnsi"/>
          <w:bCs/>
          <w:sz w:val="22"/>
          <w:szCs w:val="22"/>
        </w:rPr>
        <w:t xml:space="preserve">En las semanas del </w:t>
      </w:r>
      <w:r w:rsidR="00584936">
        <w:rPr>
          <w:rFonts w:asciiTheme="minorHAnsi" w:hAnsiTheme="minorHAnsi" w:cstheme="minorHAnsi"/>
          <w:bCs/>
          <w:sz w:val="22"/>
          <w:szCs w:val="22"/>
        </w:rPr>
        <w:t>1</w:t>
      </w:r>
      <w:r w:rsidR="00E17C19">
        <w:rPr>
          <w:rFonts w:asciiTheme="minorHAnsi" w:hAnsiTheme="minorHAnsi" w:cstheme="minorHAnsi"/>
          <w:bCs/>
          <w:sz w:val="22"/>
          <w:szCs w:val="22"/>
        </w:rPr>
        <w:t>7</w:t>
      </w:r>
      <w:r w:rsidRPr="005B4C77">
        <w:rPr>
          <w:rFonts w:asciiTheme="minorHAnsi" w:hAnsiTheme="minorHAnsi" w:cstheme="minorHAnsi"/>
          <w:bCs/>
          <w:sz w:val="22"/>
          <w:szCs w:val="22"/>
        </w:rPr>
        <w:t>.</w:t>
      </w:r>
      <w:r w:rsidR="00941CD2">
        <w:rPr>
          <w:rFonts w:asciiTheme="minorHAnsi" w:hAnsiTheme="minorHAnsi" w:cstheme="minorHAnsi"/>
          <w:bCs/>
          <w:sz w:val="22"/>
          <w:szCs w:val="22"/>
        </w:rPr>
        <w:t>0</w:t>
      </w:r>
      <w:r w:rsidR="008D2F6D">
        <w:rPr>
          <w:rFonts w:asciiTheme="minorHAnsi" w:hAnsiTheme="minorHAnsi" w:cstheme="minorHAnsi"/>
          <w:bCs/>
          <w:sz w:val="22"/>
          <w:szCs w:val="22"/>
        </w:rPr>
        <w:t>5</w:t>
      </w:r>
      <w:r w:rsidRPr="005B4C77">
        <w:rPr>
          <w:rFonts w:asciiTheme="minorHAnsi" w:hAnsiTheme="minorHAnsi" w:cstheme="minorHAnsi"/>
          <w:bCs/>
          <w:sz w:val="22"/>
          <w:szCs w:val="22"/>
        </w:rPr>
        <w:t>.202</w:t>
      </w:r>
      <w:r w:rsidR="00941CD2">
        <w:rPr>
          <w:rFonts w:asciiTheme="minorHAnsi" w:hAnsiTheme="minorHAnsi" w:cstheme="minorHAnsi"/>
          <w:bCs/>
          <w:sz w:val="22"/>
          <w:szCs w:val="22"/>
        </w:rPr>
        <w:t>4</w:t>
      </w:r>
      <w:r w:rsidRPr="005B4C77">
        <w:rPr>
          <w:rFonts w:asciiTheme="minorHAnsi" w:hAnsiTheme="minorHAnsi" w:cstheme="minorHAnsi"/>
          <w:bCs/>
          <w:sz w:val="22"/>
          <w:szCs w:val="22"/>
        </w:rPr>
        <w:t xml:space="preserve"> al</w:t>
      </w:r>
      <w:r w:rsidR="00246F93">
        <w:rPr>
          <w:rFonts w:asciiTheme="minorHAnsi" w:hAnsiTheme="minorHAnsi" w:cstheme="minorHAnsi"/>
          <w:bCs/>
          <w:sz w:val="22"/>
          <w:szCs w:val="22"/>
        </w:rPr>
        <w:t xml:space="preserve"> </w:t>
      </w:r>
      <w:r w:rsidR="00E17C19">
        <w:rPr>
          <w:rFonts w:asciiTheme="minorHAnsi" w:hAnsiTheme="minorHAnsi" w:cstheme="minorHAnsi"/>
          <w:bCs/>
          <w:sz w:val="22"/>
          <w:szCs w:val="22"/>
        </w:rPr>
        <w:t>31</w:t>
      </w:r>
      <w:r w:rsidRPr="005B4C77">
        <w:rPr>
          <w:rFonts w:asciiTheme="minorHAnsi" w:hAnsiTheme="minorHAnsi" w:cstheme="minorHAnsi"/>
          <w:bCs/>
          <w:sz w:val="22"/>
          <w:szCs w:val="22"/>
        </w:rPr>
        <w:t>.</w:t>
      </w:r>
      <w:r w:rsidR="0003140D">
        <w:rPr>
          <w:rFonts w:asciiTheme="minorHAnsi" w:hAnsiTheme="minorHAnsi" w:cstheme="minorHAnsi"/>
          <w:bCs/>
          <w:sz w:val="22"/>
          <w:szCs w:val="22"/>
        </w:rPr>
        <w:t>0</w:t>
      </w:r>
      <w:r w:rsidR="00DE7674">
        <w:rPr>
          <w:rFonts w:asciiTheme="minorHAnsi" w:hAnsiTheme="minorHAnsi" w:cstheme="minorHAnsi"/>
          <w:bCs/>
          <w:sz w:val="22"/>
          <w:szCs w:val="22"/>
        </w:rPr>
        <w:t>5</w:t>
      </w:r>
      <w:r w:rsidRPr="005B4C77">
        <w:rPr>
          <w:rFonts w:asciiTheme="minorHAnsi" w:hAnsiTheme="minorHAnsi" w:cstheme="minorHAnsi"/>
          <w:bCs/>
          <w:sz w:val="22"/>
          <w:szCs w:val="22"/>
        </w:rPr>
        <w:t>.202</w:t>
      </w:r>
      <w:r w:rsidR="0003140D">
        <w:rPr>
          <w:rFonts w:asciiTheme="minorHAnsi" w:hAnsiTheme="minorHAnsi" w:cstheme="minorHAnsi"/>
          <w:bCs/>
          <w:sz w:val="22"/>
          <w:szCs w:val="22"/>
        </w:rPr>
        <w:t>4</w:t>
      </w:r>
      <w:r w:rsidRPr="005B4C77">
        <w:rPr>
          <w:rFonts w:asciiTheme="minorHAnsi" w:hAnsiTheme="minorHAnsi" w:cstheme="minorHAnsi"/>
          <w:bCs/>
          <w:sz w:val="22"/>
          <w:szCs w:val="22"/>
        </w:rPr>
        <w:t xml:space="preserve">, los principales factores que incidieron en la variación de los precios del petróleo crudo y </w:t>
      </w:r>
      <w:r w:rsidR="00073C34">
        <w:rPr>
          <w:rFonts w:asciiTheme="minorHAnsi" w:hAnsiTheme="minorHAnsi" w:cstheme="minorHAnsi"/>
          <w:bCs/>
          <w:sz w:val="22"/>
          <w:szCs w:val="22"/>
        </w:rPr>
        <w:t>c</w:t>
      </w:r>
      <w:r w:rsidRPr="005B4C77">
        <w:rPr>
          <w:rFonts w:asciiTheme="minorHAnsi" w:hAnsiTheme="minorHAnsi" w:cstheme="minorHAnsi"/>
          <w:bCs/>
          <w:sz w:val="22"/>
          <w:szCs w:val="22"/>
        </w:rPr>
        <w:t>ombustibles fueron los siguientes:</w:t>
      </w:r>
    </w:p>
    <w:p w14:paraId="3C48FB35" w14:textId="56D9EE41" w:rsidR="00073C34" w:rsidRDefault="00073C34" w:rsidP="000264C9">
      <w:pPr>
        <w:pStyle w:val="Prrafodelista"/>
        <w:ind w:left="426"/>
        <w:jc w:val="both"/>
        <w:rPr>
          <w:rFonts w:asciiTheme="minorHAnsi" w:hAnsiTheme="minorHAnsi" w:cstheme="minorHAnsi"/>
          <w:sz w:val="22"/>
          <w:szCs w:val="22"/>
        </w:rPr>
      </w:pPr>
    </w:p>
    <w:p w14:paraId="7295ADA9" w14:textId="77777777" w:rsidR="00E17C19" w:rsidRPr="0058424C" w:rsidRDefault="00E17C19" w:rsidP="00E17C19">
      <w:pPr>
        <w:pStyle w:val="Prrafodelista"/>
        <w:numPr>
          <w:ilvl w:val="0"/>
          <w:numId w:val="30"/>
        </w:numPr>
        <w:ind w:left="426"/>
        <w:contextualSpacing/>
        <w:jc w:val="both"/>
        <w:rPr>
          <w:rFonts w:asciiTheme="minorHAnsi" w:hAnsiTheme="minorHAnsi" w:cstheme="minorHAnsi"/>
          <w:sz w:val="22"/>
          <w:szCs w:val="22"/>
        </w:rPr>
      </w:pPr>
      <w:r w:rsidRPr="0058424C">
        <w:rPr>
          <w:rFonts w:asciiTheme="minorHAnsi" w:hAnsiTheme="minorHAnsi" w:cstheme="minorHAnsi"/>
          <w:b/>
          <w:sz w:val="22"/>
          <w:szCs w:val="22"/>
        </w:rPr>
        <w:t>La disminución de las existencias de crudo; así como el aumento de los inventarios de propano, gasolinas y diésel al 24 de mayo del 2024</w:t>
      </w:r>
    </w:p>
    <w:p w14:paraId="73342075" w14:textId="77777777" w:rsidR="00E17C19" w:rsidRPr="0058424C" w:rsidRDefault="00E17C19" w:rsidP="00E17C19">
      <w:pPr>
        <w:jc w:val="both"/>
        <w:rPr>
          <w:rFonts w:asciiTheme="minorHAnsi" w:hAnsiTheme="minorHAnsi" w:cstheme="minorHAnsi"/>
          <w:sz w:val="22"/>
          <w:szCs w:val="22"/>
        </w:rPr>
      </w:pPr>
    </w:p>
    <w:p w14:paraId="31CE1048" w14:textId="77777777" w:rsidR="00E17C19" w:rsidRPr="0058424C" w:rsidRDefault="00E17C19" w:rsidP="00E17C19">
      <w:pPr>
        <w:pStyle w:val="Prrafodelista"/>
        <w:ind w:left="426"/>
        <w:jc w:val="both"/>
        <w:rPr>
          <w:rFonts w:asciiTheme="minorHAnsi" w:hAnsiTheme="minorHAnsi" w:cstheme="minorHAnsi"/>
          <w:sz w:val="22"/>
          <w:szCs w:val="22"/>
        </w:rPr>
      </w:pPr>
      <w:r w:rsidRPr="0058424C">
        <w:rPr>
          <w:rFonts w:asciiTheme="minorHAnsi" w:hAnsiTheme="minorHAnsi" w:cstheme="minorHAnsi"/>
          <w:sz w:val="22"/>
          <w:szCs w:val="22"/>
        </w:rPr>
        <w:t>Los inventarios de petróleo de Estados Unidos cayeron 4,2 millones de barriles, ubicándose en -4% por debajo de la media de los últimos 5 años en esta época del año, lo que representa 454,7 millones de barriles.</w:t>
      </w:r>
    </w:p>
    <w:p w14:paraId="495363A9" w14:textId="77777777" w:rsidR="00E17C19" w:rsidRPr="0058424C" w:rsidRDefault="00E17C19" w:rsidP="00E17C19">
      <w:pPr>
        <w:pStyle w:val="Prrafodelista"/>
        <w:ind w:left="426"/>
        <w:jc w:val="both"/>
        <w:rPr>
          <w:rFonts w:asciiTheme="minorHAnsi" w:hAnsiTheme="minorHAnsi" w:cstheme="minorHAnsi"/>
          <w:sz w:val="22"/>
          <w:szCs w:val="22"/>
        </w:rPr>
      </w:pPr>
    </w:p>
    <w:p w14:paraId="1F232B81" w14:textId="77777777" w:rsidR="00E17C19" w:rsidRPr="0058424C" w:rsidRDefault="00E17C19" w:rsidP="00E17C19">
      <w:pPr>
        <w:pStyle w:val="Prrafodelista"/>
        <w:ind w:left="426"/>
        <w:jc w:val="both"/>
        <w:rPr>
          <w:rFonts w:asciiTheme="minorHAnsi" w:hAnsiTheme="minorHAnsi" w:cstheme="minorHAnsi"/>
          <w:sz w:val="22"/>
          <w:szCs w:val="22"/>
        </w:rPr>
      </w:pPr>
      <w:r w:rsidRPr="0058424C">
        <w:rPr>
          <w:rFonts w:asciiTheme="minorHAnsi" w:hAnsiTheme="minorHAnsi" w:cstheme="minorHAnsi"/>
          <w:sz w:val="22"/>
          <w:szCs w:val="22"/>
        </w:rPr>
        <w:t>Por su parte, las existencias de gasolina se incrementaron en 2,0 millones de barriles, reportando un total de 228,8 millones de barriles; mientras los inventarios de destilados, que incluyen al diésel y al combustible para calefacción subieron 2,5 millones de barriles, a un total de 119,3 millones de barriles. Finalmente, las existencias de propano aumentaron 2.073 millones de barriles, ubicándose en los 66,29 millones de barriles.</w:t>
      </w:r>
    </w:p>
    <w:p w14:paraId="2348B6ED" w14:textId="77777777" w:rsidR="00E17C19" w:rsidRPr="0058424C" w:rsidRDefault="00E17C19" w:rsidP="00E17C19">
      <w:pPr>
        <w:pStyle w:val="Prrafodelista"/>
        <w:ind w:left="426"/>
        <w:jc w:val="both"/>
        <w:rPr>
          <w:rFonts w:asciiTheme="minorHAnsi" w:hAnsiTheme="minorHAnsi" w:cstheme="minorHAnsi"/>
          <w:sz w:val="22"/>
          <w:szCs w:val="22"/>
        </w:rPr>
      </w:pPr>
    </w:p>
    <w:p w14:paraId="379E6B61" w14:textId="77777777" w:rsidR="00E17C19" w:rsidRPr="0058424C" w:rsidRDefault="00E17C19" w:rsidP="00E17C19">
      <w:pPr>
        <w:pStyle w:val="Prrafodelista"/>
        <w:numPr>
          <w:ilvl w:val="0"/>
          <w:numId w:val="30"/>
        </w:numPr>
        <w:ind w:left="426"/>
        <w:contextualSpacing/>
        <w:jc w:val="both"/>
        <w:rPr>
          <w:rFonts w:asciiTheme="minorHAnsi" w:hAnsiTheme="minorHAnsi" w:cstheme="minorHAnsi"/>
          <w:b/>
          <w:sz w:val="22"/>
          <w:szCs w:val="22"/>
        </w:rPr>
      </w:pPr>
      <w:r w:rsidRPr="0058424C">
        <w:rPr>
          <w:rFonts w:asciiTheme="minorHAnsi" w:hAnsiTheme="minorHAnsi" w:cstheme="minorHAnsi"/>
          <w:b/>
          <w:sz w:val="22"/>
          <w:szCs w:val="22"/>
        </w:rPr>
        <w:t>El impacto de los acuerdos de los miembros de la OPEP, después de su reunión del 02 de junio 2024</w:t>
      </w:r>
    </w:p>
    <w:p w14:paraId="538A3471" w14:textId="77777777" w:rsidR="00E17C19" w:rsidRPr="0058424C" w:rsidRDefault="00E17C19" w:rsidP="00E17C19">
      <w:pPr>
        <w:jc w:val="both"/>
        <w:rPr>
          <w:rFonts w:asciiTheme="minorHAnsi" w:hAnsiTheme="minorHAnsi" w:cstheme="minorHAnsi"/>
          <w:b/>
          <w:sz w:val="22"/>
          <w:szCs w:val="22"/>
        </w:rPr>
      </w:pPr>
    </w:p>
    <w:p w14:paraId="642F6A24" w14:textId="77777777" w:rsidR="00550270"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t>Desde el 2022, la OPEP ha realizado fuertes recortes de la producción. Los miembros de la OPEP han reducido su producción en 5,86 millones de barriles por día (bpd), alrededor del 5,7% de la demanda mundial.</w:t>
      </w:r>
    </w:p>
    <w:p w14:paraId="780AA279" w14:textId="40DC72DD"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t xml:space="preserve"> </w:t>
      </w:r>
    </w:p>
    <w:p w14:paraId="4B07EA7A" w14:textId="77777777"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lastRenderedPageBreak/>
        <w:t>Los recortes incluyen 2 millones de bpd de parte de todos los miembros de la OPEP, una primera ronda voluntaria de 9 miembros, de 1,66 millones de bpd, y una segunda de 8 miembros, de 2,2 millones de bpd.</w:t>
      </w:r>
    </w:p>
    <w:p w14:paraId="09BB212A" w14:textId="77777777" w:rsidR="00E17C19" w:rsidRPr="0058424C" w:rsidRDefault="00E17C19" w:rsidP="00E17C19">
      <w:pPr>
        <w:ind w:left="426"/>
        <w:jc w:val="both"/>
        <w:rPr>
          <w:rFonts w:asciiTheme="minorHAnsi" w:hAnsiTheme="minorHAnsi" w:cstheme="minorHAnsi"/>
          <w:sz w:val="22"/>
          <w:szCs w:val="22"/>
        </w:rPr>
      </w:pPr>
    </w:p>
    <w:p w14:paraId="6AF40FBD" w14:textId="77777777"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t>El domingo 02 de junio, la OPEP acordó prorrogar la mayor parte de los recortes de producción de crudo en 2024, para luego eliminarlos gradualmente en 2025.Asimismo, amplió la primera ronda de recortes voluntarios de 2024 hasta finales de 2025 y acordó ampliar la más reciente ronda de recortes voluntarios hasta el tercer trimestre de 2024.</w:t>
      </w:r>
    </w:p>
    <w:p w14:paraId="300CAA71" w14:textId="77777777"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br/>
        <w:t>También acordó asignar a los Emiratos Árabes Unidos una cuota de producción más elevada, de 3,5 millones de bpd en 2025, frente a la actual de 2,9 millones.</w:t>
      </w:r>
    </w:p>
    <w:p w14:paraId="70F3705D" w14:textId="77777777" w:rsidR="00E17C19" w:rsidRPr="0058424C" w:rsidRDefault="00E17C19" w:rsidP="00E17C19">
      <w:pPr>
        <w:jc w:val="both"/>
        <w:rPr>
          <w:rFonts w:asciiTheme="minorHAnsi" w:hAnsiTheme="minorHAnsi" w:cstheme="minorHAnsi"/>
          <w:b/>
          <w:sz w:val="22"/>
          <w:szCs w:val="22"/>
        </w:rPr>
      </w:pPr>
    </w:p>
    <w:p w14:paraId="462A8C48" w14:textId="77777777" w:rsidR="00E17C19" w:rsidRPr="0058424C" w:rsidRDefault="00E17C19" w:rsidP="00E17C19">
      <w:pPr>
        <w:pStyle w:val="Prrafodelista"/>
        <w:numPr>
          <w:ilvl w:val="0"/>
          <w:numId w:val="13"/>
        </w:numPr>
        <w:ind w:left="426"/>
        <w:contextualSpacing/>
        <w:jc w:val="both"/>
        <w:rPr>
          <w:rFonts w:asciiTheme="minorHAnsi" w:hAnsiTheme="minorHAnsi" w:cstheme="minorHAnsi"/>
          <w:b/>
          <w:bCs/>
          <w:sz w:val="22"/>
          <w:szCs w:val="22"/>
        </w:rPr>
      </w:pPr>
      <w:r w:rsidRPr="0058424C">
        <w:rPr>
          <w:rFonts w:asciiTheme="minorHAnsi" w:hAnsiTheme="minorHAnsi" w:cstheme="minorHAnsi"/>
          <w:b/>
          <w:bCs/>
          <w:sz w:val="22"/>
          <w:szCs w:val="22"/>
        </w:rPr>
        <w:t>Las perspectivas desalentadoras de la demanda de petróleo y combustibles, ante el anuncio de la FED de Estados Unidos de que esperará más datos de disminución de la inflación antes de considerar recortes en los tipos de interés.</w:t>
      </w:r>
    </w:p>
    <w:p w14:paraId="69548098" w14:textId="77777777" w:rsidR="00E17C19" w:rsidRPr="0058424C" w:rsidRDefault="00E17C19" w:rsidP="00E17C19">
      <w:pPr>
        <w:jc w:val="both"/>
        <w:rPr>
          <w:rFonts w:asciiTheme="minorHAnsi" w:hAnsiTheme="minorHAnsi" w:cstheme="minorHAnsi"/>
          <w:sz w:val="22"/>
          <w:szCs w:val="22"/>
        </w:rPr>
      </w:pPr>
    </w:p>
    <w:p w14:paraId="69D62A46" w14:textId="77777777"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t>De acuerdo con las declaraciones de representantes de la FED, los tipos de interés se mantendrán altos durante más tiempo de lo que esperaban los mercados e incluso podrían subir si los riesgos de la inflación se materializan. Esto impacta directamente en el mercado del petróleo, debido a que los mayores importes de los préstamos paralizan los fondos que podrían impulsar el crecimiento económico y la demanda de petróleo en Estados Unidos.</w:t>
      </w:r>
    </w:p>
    <w:p w14:paraId="58209E36" w14:textId="77777777" w:rsidR="00E17C19" w:rsidRPr="0058424C" w:rsidRDefault="00E17C19" w:rsidP="00E17C19">
      <w:pPr>
        <w:ind w:left="426"/>
        <w:jc w:val="both"/>
        <w:rPr>
          <w:rFonts w:asciiTheme="minorHAnsi" w:hAnsiTheme="minorHAnsi" w:cstheme="minorHAnsi"/>
          <w:sz w:val="22"/>
          <w:szCs w:val="22"/>
        </w:rPr>
      </w:pPr>
    </w:p>
    <w:p w14:paraId="76627533" w14:textId="47D6187B" w:rsidR="00E17C19" w:rsidRDefault="00E17C19" w:rsidP="00E17C19">
      <w:pPr>
        <w:pStyle w:val="Prrafodelista"/>
        <w:ind w:left="426"/>
        <w:jc w:val="both"/>
        <w:rPr>
          <w:rFonts w:asciiTheme="minorHAnsi" w:hAnsiTheme="minorHAnsi" w:cstheme="minorHAnsi"/>
          <w:i/>
          <w:iCs/>
          <w:sz w:val="22"/>
          <w:szCs w:val="22"/>
        </w:rPr>
      </w:pPr>
      <w:r w:rsidRPr="0058424C">
        <w:rPr>
          <w:rFonts w:asciiTheme="minorHAnsi" w:hAnsiTheme="minorHAnsi" w:cstheme="minorHAnsi"/>
          <w:sz w:val="22"/>
          <w:szCs w:val="22"/>
        </w:rPr>
        <w:t xml:space="preserve">Los inversionistas esperan que la incesante inflación de Estados Unidos mantenga los tipos de interés altos durante más tiempo, perjudicando la demanda de la industria. Michael Barr, vicepresidente de supervisión de la FED, señaló que </w:t>
      </w:r>
      <w:r w:rsidRPr="0058424C">
        <w:rPr>
          <w:rFonts w:asciiTheme="minorHAnsi" w:hAnsiTheme="minorHAnsi" w:cstheme="minorHAnsi"/>
          <w:i/>
          <w:iCs/>
          <w:sz w:val="22"/>
          <w:szCs w:val="22"/>
        </w:rPr>
        <w:t xml:space="preserve">la política restrictiva necesitaría más tiempo, en tanto el </w:t>
      </w:r>
      <w:r w:rsidRPr="0058424C">
        <w:rPr>
          <w:rFonts w:asciiTheme="minorHAnsi" w:hAnsiTheme="minorHAnsi" w:cstheme="minorHAnsi"/>
          <w:sz w:val="22"/>
          <w:szCs w:val="22"/>
        </w:rPr>
        <w:t xml:space="preserve">presidente de la FED de Atlanta, Raphael Bostic, manifestó que el </w:t>
      </w:r>
      <w:r w:rsidRPr="0058424C">
        <w:rPr>
          <w:rFonts w:asciiTheme="minorHAnsi" w:hAnsiTheme="minorHAnsi" w:cstheme="minorHAnsi"/>
          <w:i/>
          <w:iCs/>
          <w:sz w:val="22"/>
          <w:szCs w:val="22"/>
        </w:rPr>
        <w:t>Banco Central tardará un tiempo en confiar que la ralentización del crecimiento de los precios sea sostenible.</w:t>
      </w:r>
    </w:p>
    <w:p w14:paraId="7B760E4E" w14:textId="77777777" w:rsidR="00E17C19" w:rsidRPr="0058424C" w:rsidRDefault="00E17C19" w:rsidP="00E17C19">
      <w:pPr>
        <w:pStyle w:val="Prrafodelista"/>
        <w:ind w:left="426"/>
        <w:jc w:val="both"/>
        <w:rPr>
          <w:rFonts w:asciiTheme="minorHAnsi" w:hAnsiTheme="minorHAnsi" w:cstheme="minorHAnsi"/>
          <w:i/>
          <w:iCs/>
          <w:sz w:val="22"/>
          <w:szCs w:val="22"/>
        </w:rPr>
      </w:pPr>
    </w:p>
    <w:p w14:paraId="3A3721D6" w14:textId="77777777" w:rsidR="00E17C19" w:rsidRPr="0058424C" w:rsidRDefault="00E17C19" w:rsidP="00E17C19">
      <w:pPr>
        <w:ind w:left="426"/>
        <w:jc w:val="both"/>
        <w:rPr>
          <w:rFonts w:asciiTheme="minorHAnsi" w:hAnsiTheme="minorHAnsi" w:cstheme="minorHAnsi"/>
          <w:sz w:val="22"/>
          <w:szCs w:val="22"/>
        </w:rPr>
      </w:pPr>
      <w:r w:rsidRPr="0058424C">
        <w:rPr>
          <w:rFonts w:asciiTheme="minorHAnsi" w:hAnsiTheme="minorHAnsi" w:cstheme="minorHAnsi"/>
          <w:sz w:val="22"/>
          <w:szCs w:val="22"/>
        </w:rPr>
        <w:t>Los responsables políticos comentan que se espera un recorte de los costos de los préstamos en el Reino Unido y Europa antes que, en Estados Unidos, lo que apoyaría al dólar y encarecería el petróleo para los inversores con otras divisas.</w:t>
      </w:r>
    </w:p>
    <w:p w14:paraId="7019CF67" w14:textId="77777777" w:rsidR="00E17C19" w:rsidRPr="0058424C" w:rsidRDefault="00E17C19" w:rsidP="00E17C19">
      <w:pPr>
        <w:ind w:left="426"/>
        <w:jc w:val="both"/>
        <w:rPr>
          <w:rFonts w:asciiTheme="minorHAnsi" w:hAnsiTheme="minorHAnsi" w:cstheme="minorHAnsi"/>
          <w:sz w:val="22"/>
          <w:szCs w:val="22"/>
        </w:rPr>
      </w:pPr>
    </w:p>
    <w:p w14:paraId="29369942" w14:textId="77777777" w:rsidR="00E17C19" w:rsidRPr="0058424C" w:rsidRDefault="00E17C19" w:rsidP="00E17C19">
      <w:pPr>
        <w:pStyle w:val="Prrafodelista"/>
        <w:numPr>
          <w:ilvl w:val="0"/>
          <w:numId w:val="13"/>
        </w:numPr>
        <w:ind w:left="426"/>
        <w:contextualSpacing/>
        <w:jc w:val="both"/>
        <w:rPr>
          <w:rFonts w:asciiTheme="minorHAnsi" w:hAnsiTheme="minorHAnsi" w:cstheme="minorHAnsi"/>
          <w:b/>
          <w:bCs/>
          <w:sz w:val="22"/>
          <w:szCs w:val="22"/>
        </w:rPr>
      </w:pPr>
      <w:r w:rsidRPr="0058424C">
        <w:rPr>
          <w:rFonts w:asciiTheme="minorHAnsi" w:hAnsiTheme="minorHAnsi" w:cstheme="minorHAnsi"/>
          <w:b/>
          <w:bCs/>
          <w:sz w:val="22"/>
          <w:szCs w:val="22"/>
        </w:rPr>
        <w:t>Las tensiones geopolíticas por los ataques a buques comerciales en el Mar Rojo y la ofensiva de Israel contra Hamás</w:t>
      </w:r>
    </w:p>
    <w:p w14:paraId="2EA22FC0" w14:textId="77777777" w:rsidR="00E17C19" w:rsidRPr="0058424C" w:rsidRDefault="00E17C19" w:rsidP="00E17C19">
      <w:pPr>
        <w:jc w:val="both"/>
        <w:rPr>
          <w:rFonts w:asciiTheme="minorHAnsi" w:hAnsiTheme="minorHAnsi" w:cstheme="minorHAnsi"/>
          <w:b/>
          <w:bCs/>
          <w:sz w:val="22"/>
          <w:szCs w:val="22"/>
        </w:rPr>
      </w:pPr>
    </w:p>
    <w:p w14:paraId="1F0EAA20" w14:textId="77777777" w:rsidR="00E17C19" w:rsidRPr="0058424C" w:rsidRDefault="00E17C19" w:rsidP="00E17C19">
      <w:pPr>
        <w:ind w:left="426"/>
        <w:jc w:val="both"/>
        <w:rPr>
          <w:rFonts w:asciiTheme="minorHAnsi" w:hAnsiTheme="minorHAnsi" w:cstheme="minorHAnsi"/>
          <w:sz w:val="22"/>
          <w:szCs w:val="22"/>
        </w:rPr>
      </w:pPr>
      <w:r>
        <w:rPr>
          <w:rFonts w:asciiTheme="minorHAnsi" w:hAnsiTheme="minorHAnsi" w:cstheme="minorHAnsi"/>
          <w:sz w:val="22"/>
          <w:szCs w:val="22"/>
        </w:rPr>
        <w:t xml:space="preserve">Semanas atrás, </w:t>
      </w:r>
      <w:r w:rsidRPr="0058424C">
        <w:rPr>
          <w:rFonts w:asciiTheme="minorHAnsi" w:hAnsiTheme="minorHAnsi" w:cstheme="minorHAnsi"/>
          <w:sz w:val="22"/>
          <w:szCs w:val="22"/>
        </w:rPr>
        <w:t xml:space="preserve">Israel inició su ofensiva en Ráfah, en el sur de la Franja de Gaza. Este suceso representa una amenaza para alcanzar el posible acuerdo de alto el fuego; y podría aumentar el riesgo de una guerra de mayor alcance, afectando el suministro de petróleo y combustibles. Israel se refirió a Ráfah como el último bastión importante de Hamás después de siete meses de guerra, y ha señalado que la invasión es necesaria para derrotar al grupo islamista. </w:t>
      </w:r>
    </w:p>
    <w:p w14:paraId="10A14B25" w14:textId="77777777" w:rsidR="00E17C19" w:rsidRPr="0058424C" w:rsidRDefault="00E17C19" w:rsidP="00E17C19">
      <w:pPr>
        <w:ind w:left="426"/>
        <w:jc w:val="both"/>
        <w:rPr>
          <w:rFonts w:asciiTheme="minorHAnsi" w:hAnsiTheme="minorHAnsi" w:cstheme="minorHAnsi"/>
          <w:sz w:val="22"/>
          <w:szCs w:val="22"/>
        </w:rPr>
      </w:pPr>
    </w:p>
    <w:p w14:paraId="16CC82CA" w14:textId="77777777" w:rsidR="00E17C19" w:rsidRPr="0058424C" w:rsidRDefault="00E17C19" w:rsidP="00E17C19">
      <w:pPr>
        <w:pStyle w:val="Prrafodelista"/>
        <w:ind w:left="426"/>
        <w:jc w:val="both"/>
        <w:rPr>
          <w:rFonts w:asciiTheme="minorHAnsi" w:hAnsiTheme="minorHAnsi" w:cstheme="minorHAnsi"/>
          <w:sz w:val="22"/>
          <w:szCs w:val="22"/>
        </w:rPr>
      </w:pPr>
      <w:r w:rsidRPr="0058424C">
        <w:rPr>
          <w:rFonts w:asciiTheme="minorHAnsi" w:hAnsiTheme="minorHAnsi" w:cstheme="minorHAnsi"/>
          <w:sz w:val="22"/>
          <w:szCs w:val="22"/>
        </w:rPr>
        <w:t xml:space="preserve">Los hutíes de Yemen, alineados con Irán; continúan realizando ataques en el Mar Rojo, a buques vinculados comercialmente a Estados Unidos, Gran Bretaña e Israel desde noviembre 2023. </w:t>
      </w:r>
    </w:p>
    <w:p w14:paraId="529952F8" w14:textId="5F10D892" w:rsidR="00584936" w:rsidRDefault="00584936" w:rsidP="00584936">
      <w:pPr>
        <w:ind w:left="426"/>
        <w:jc w:val="both"/>
        <w:rPr>
          <w:rFonts w:asciiTheme="minorHAnsi" w:hAnsiTheme="minorHAnsi" w:cstheme="minorHAnsi"/>
          <w:sz w:val="22"/>
          <w:szCs w:val="22"/>
        </w:rPr>
      </w:pPr>
    </w:p>
    <w:p w14:paraId="24514922" w14:textId="7B0FCE8D" w:rsidR="00584936" w:rsidRDefault="00584936" w:rsidP="00584936">
      <w:pPr>
        <w:ind w:left="426"/>
        <w:jc w:val="both"/>
        <w:rPr>
          <w:rFonts w:asciiTheme="minorHAnsi" w:hAnsiTheme="minorHAnsi" w:cstheme="minorHAnsi"/>
          <w:sz w:val="22"/>
          <w:szCs w:val="22"/>
        </w:rPr>
      </w:pPr>
    </w:p>
    <w:p w14:paraId="1A00EECF" w14:textId="77777777"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lastRenderedPageBreak/>
        <w:t>Situación del Canal de Panamá</w:t>
      </w:r>
    </w:p>
    <w:p w14:paraId="30D63F29" w14:textId="77777777" w:rsidR="000E5AC7" w:rsidRPr="005B4AF2" w:rsidRDefault="000E5AC7" w:rsidP="000E5AC7">
      <w:pPr>
        <w:ind w:left="426"/>
        <w:rPr>
          <w:rFonts w:asciiTheme="minorHAnsi" w:hAnsiTheme="minorHAnsi" w:cstheme="minorHAnsi"/>
          <w:b/>
          <w:bCs/>
          <w:sz w:val="22"/>
          <w:szCs w:val="22"/>
          <w:u w:val="single"/>
        </w:rPr>
      </w:pPr>
    </w:p>
    <w:p w14:paraId="1F8E9F83" w14:textId="52A2A512"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El Canal de Panamá comunica los océanos Atlántico y Pacífico en aproximadamente nueve horas sin tráfico, por esta vía pasan 180 rutas marítimas que llegan a 1</w:t>
      </w:r>
      <w:r>
        <w:rPr>
          <w:rFonts w:asciiTheme="minorHAnsi" w:hAnsiTheme="minorHAnsi" w:cstheme="minorHAnsi"/>
          <w:sz w:val="22"/>
          <w:szCs w:val="22"/>
        </w:rPr>
        <w:t xml:space="preserve"> </w:t>
      </w:r>
      <w:r w:rsidRPr="006C04F5">
        <w:rPr>
          <w:rFonts w:asciiTheme="minorHAnsi" w:hAnsiTheme="minorHAnsi" w:cstheme="minorHAnsi"/>
          <w:sz w:val="22"/>
          <w:szCs w:val="22"/>
        </w:rPr>
        <w:t>920 puertos en 170 países, según datos del Canal. Alrededor de 500 millones de toneladas atraviesan anualmente el istmo de Panamá. Los barcos transitan en esta vía fluvial por medio de un sistema de esclusas y el agua que abastece a esta infraestructura procede de dos lagos artificiales. Por esta infraestructura pasa alrededor del 6% del comercio marítimo mundial.</w:t>
      </w:r>
    </w:p>
    <w:p w14:paraId="60F89856" w14:textId="77777777" w:rsidR="006C04F5" w:rsidRPr="006C04F5" w:rsidRDefault="006C04F5" w:rsidP="006C04F5">
      <w:pPr>
        <w:jc w:val="both"/>
        <w:rPr>
          <w:rFonts w:asciiTheme="minorHAnsi" w:hAnsiTheme="minorHAnsi" w:cstheme="minorHAnsi"/>
          <w:sz w:val="22"/>
          <w:szCs w:val="22"/>
        </w:rPr>
      </w:pPr>
    </w:p>
    <w:p w14:paraId="3D8A287A" w14:textId="3BF9096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Desde mayo 2023, una significativa sequía afecta el suministro de agua del Canal de Panamá. En julio pasado, el nivel del lago Gatún –principal fuente de abastecimiento del Canal de Panamá– alcanzó mínimos históricos (su nivel más bajo en los últimos siete años). Esta falta de agua además de reducir la cantidad de buques que pueden pasar al mismo tiempo, obliga a limitar la carga que se puede transportar a través de la vía, que tiene 82 kilómetros de longitud.</w:t>
      </w:r>
    </w:p>
    <w:p w14:paraId="5BE9F541" w14:textId="77777777" w:rsidR="006C04F5" w:rsidRPr="006C04F5" w:rsidRDefault="006C04F5" w:rsidP="006C04F5">
      <w:pPr>
        <w:jc w:val="both"/>
        <w:rPr>
          <w:rFonts w:asciiTheme="minorHAnsi" w:hAnsiTheme="minorHAnsi" w:cstheme="minorHAnsi"/>
          <w:sz w:val="22"/>
          <w:szCs w:val="22"/>
        </w:rPr>
      </w:pPr>
    </w:p>
    <w:p w14:paraId="65B48E39" w14:textId="783F9986" w:rsidR="006C04F5" w:rsidRPr="000E5AC7"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Para hacer frente a la sequía, las autoridades de Panamá comenzaron a aplicar medidas de ahorro de agua, así como a imponer fuertes restricciones de calado y cargos por excedentes. El 30 de julio, la administración del Canal de Panamá limitó a 32, de un máximo de 38, el número de buques que pueden transitar diariamente para evitar más reducciones de la profundidad a la que pueden transitar los barcos. Actualmente el calado máximo se encuentra en 44 pies (13,4 metros) de un máximo de 50 pies (15,24 metros) que ofrece la estructura.</w:t>
      </w:r>
    </w:p>
    <w:p w14:paraId="42511A1E" w14:textId="4FB742A3" w:rsidR="000E5AC7" w:rsidRDefault="000E5AC7" w:rsidP="000E5AC7">
      <w:pPr>
        <w:jc w:val="both"/>
        <w:rPr>
          <w:rFonts w:asciiTheme="minorHAnsi" w:hAnsiTheme="minorHAnsi" w:cstheme="minorHAnsi"/>
          <w:b/>
          <w:bCs/>
          <w:sz w:val="22"/>
          <w:szCs w:val="22"/>
          <w:u w:val="single"/>
        </w:rPr>
      </w:pPr>
    </w:p>
    <w:p w14:paraId="3C63B695" w14:textId="2EE07C44" w:rsidR="000E5AC7" w:rsidRPr="005B4AF2" w:rsidRDefault="000E5AC7" w:rsidP="005C5CB8">
      <w:pPr>
        <w:rPr>
          <w:rFonts w:asciiTheme="minorHAnsi" w:hAnsiTheme="minorHAnsi" w:cstheme="minorHAnsi"/>
          <w:b/>
          <w:bCs/>
          <w:sz w:val="22"/>
          <w:szCs w:val="22"/>
          <w:u w:val="single"/>
        </w:rPr>
      </w:pPr>
      <w:r w:rsidRPr="005B4AF2">
        <w:rPr>
          <w:rFonts w:asciiTheme="minorHAnsi" w:hAnsiTheme="minorHAnsi" w:cstheme="minorHAnsi"/>
          <w:b/>
          <w:bCs/>
          <w:sz w:val="22"/>
          <w:szCs w:val="22"/>
          <w:u w:val="single"/>
        </w:rPr>
        <w:t xml:space="preserve">Impacto Económico </w:t>
      </w:r>
    </w:p>
    <w:p w14:paraId="5860491F" w14:textId="77777777" w:rsidR="000E5AC7" w:rsidRPr="005B4AF2" w:rsidRDefault="000E5AC7" w:rsidP="000E5AC7">
      <w:pPr>
        <w:jc w:val="both"/>
        <w:rPr>
          <w:rFonts w:asciiTheme="minorHAnsi" w:hAnsiTheme="minorHAnsi" w:cstheme="minorHAnsi"/>
          <w:b/>
          <w:bCs/>
          <w:sz w:val="22"/>
          <w:szCs w:val="22"/>
          <w:u w:val="single"/>
        </w:rPr>
      </w:pPr>
    </w:p>
    <w:p w14:paraId="75118899" w14:textId="4CB204C9"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Las medidas puestas en marcha por las autoridades del Canal de Panamá para enfrentar la fuerte sequía; han dado origen a una elevada congestión de buques en esta vía. Al cierre del mes de agosto, se registraron retrasos de 15 a 19 días en unos 130 buques. La congestión se ha visto acentuada por el fenómeno del Niño y el incremento de la demanda para transitar por el canal en esta época del año, debido principalmente a los barcos que llevan mercancías a la costa este de EE.UU. (un 70% de lo que transita por el canal tiene como origen o destino a esta zona).</w:t>
      </w:r>
    </w:p>
    <w:p w14:paraId="646E6FEE" w14:textId="77777777" w:rsidR="00DE7674" w:rsidRDefault="00DE7674" w:rsidP="006C04F5">
      <w:pPr>
        <w:jc w:val="both"/>
        <w:rPr>
          <w:rFonts w:asciiTheme="minorHAnsi" w:hAnsiTheme="minorHAnsi" w:cstheme="minorHAnsi"/>
          <w:sz w:val="22"/>
          <w:szCs w:val="22"/>
        </w:rPr>
      </w:pPr>
    </w:p>
    <w:p w14:paraId="3CB2417B" w14:textId="7AC62823" w:rsidR="006C04F5" w:rsidRDefault="006C04F5" w:rsidP="006C04F5">
      <w:pPr>
        <w:jc w:val="both"/>
        <w:rPr>
          <w:rFonts w:asciiTheme="minorHAnsi" w:hAnsiTheme="minorHAnsi" w:cstheme="minorHAnsi"/>
          <w:sz w:val="22"/>
          <w:szCs w:val="22"/>
        </w:rPr>
      </w:pPr>
      <w:r w:rsidRPr="006C04F5">
        <w:rPr>
          <w:rFonts w:asciiTheme="minorHAnsi" w:hAnsiTheme="minorHAnsi" w:cstheme="minorHAnsi"/>
          <w:sz w:val="22"/>
          <w:szCs w:val="22"/>
        </w:rPr>
        <w:t xml:space="preserve">En declaraciones a Bloomberg, el grupo de inversiones Clarksons Research Services señaló que el tiempo de tránsito dentro del canal ha llegado a ser de cuatro días, cuando en el mes de julio se atravesaba en una sola jornada. Para este mes, el tiempo medio de espera para tránsitos no reservados se sitúa entre 9 y 11 días. </w:t>
      </w:r>
    </w:p>
    <w:p w14:paraId="1EFEB250" w14:textId="77777777" w:rsidR="006C04F5" w:rsidRPr="006C04F5" w:rsidRDefault="006C04F5" w:rsidP="006C04F5">
      <w:pPr>
        <w:jc w:val="both"/>
        <w:rPr>
          <w:rFonts w:asciiTheme="minorHAnsi" w:hAnsiTheme="minorHAnsi" w:cstheme="minorHAnsi"/>
          <w:sz w:val="22"/>
          <w:szCs w:val="22"/>
        </w:rPr>
      </w:pPr>
    </w:p>
    <w:p w14:paraId="589C3452" w14:textId="10156AAD" w:rsidR="006C04F5" w:rsidRDefault="006C04F5" w:rsidP="00B12C4D">
      <w:pPr>
        <w:jc w:val="both"/>
        <w:rPr>
          <w:rFonts w:asciiTheme="minorHAnsi" w:hAnsiTheme="minorHAnsi" w:cstheme="minorHAnsi"/>
          <w:sz w:val="22"/>
          <w:szCs w:val="22"/>
        </w:rPr>
      </w:pPr>
      <w:r w:rsidRPr="006C04F5">
        <w:rPr>
          <w:rFonts w:asciiTheme="minorHAnsi" w:hAnsiTheme="minorHAnsi" w:cstheme="minorHAnsi"/>
          <w:sz w:val="22"/>
          <w:szCs w:val="22"/>
        </w:rPr>
        <w:t>La situación generada a raíz de las medidas implementadas por las autoridades del Canal de Panamá; tiene un impacto económico en todos los actores relacionados con el canal, el cual se está manifestando a través de los siguientes aspectos:</w:t>
      </w:r>
    </w:p>
    <w:p w14:paraId="20AA2FAA" w14:textId="77777777" w:rsidR="0003140D" w:rsidRPr="005B4AF2" w:rsidRDefault="0003140D" w:rsidP="00B12C4D">
      <w:pPr>
        <w:jc w:val="both"/>
        <w:rPr>
          <w:rFonts w:asciiTheme="minorHAnsi" w:hAnsiTheme="minorHAnsi" w:cstheme="minorHAnsi"/>
          <w:color w:val="000000" w:themeColor="text1"/>
          <w:sz w:val="22"/>
          <w:szCs w:val="22"/>
          <w:shd w:val="clear" w:color="auto" w:fill="FFFFFF"/>
        </w:rPr>
      </w:pPr>
    </w:p>
    <w:p w14:paraId="7B900993" w14:textId="66E73F8D"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del costo de las empresas navieras que tienen que pagar sumas récord para obtener un espacio, a fin de que sus embarcaciones puedan atravesar la vía fluvial más rápido. En algunos casos, estas empresas han comenzado a explorar rutas más lejanas y costosas como el canal de Suez o el cabo de Buena Esperanza en Sudáfrica. Los que siguen utilizando el canal centroamericano tienen que pagar un costo extra por cada día de espera.</w:t>
      </w:r>
    </w:p>
    <w:p w14:paraId="507DF5AA"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5FCC39CC" w14:textId="0B4654C0"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lastRenderedPageBreak/>
        <w:t>Disminución de la rentabilidad de la Autoridad del Canal de Panamá, cuyos ingresos en 2024 caerán en unos US$200 millones a causa de las restricciones.  La reducción del calado implica</w:t>
      </w:r>
      <w:r w:rsidRPr="006C04F5">
        <w:rPr>
          <w:rFonts w:asciiTheme="minorHAnsi" w:eastAsiaTheme="minorHAnsi" w:hAnsiTheme="minorHAnsi" w:cstheme="minorHAnsi"/>
          <w:color w:val="191919"/>
          <w:kern w:val="2"/>
          <w:sz w:val="22"/>
          <w:szCs w:val="22"/>
          <w:lang w:eastAsia="en-US"/>
          <w14:ligatures w14:val="standardContextual"/>
        </w:rPr>
        <w:t xml:space="preserve"> que los buques deben pasar con menos carga, lo que impacta en la tarifa del peaje que cobra el Canal.</w:t>
      </w:r>
    </w:p>
    <w:p w14:paraId="242E02FF" w14:textId="77777777" w:rsidR="006C04F5" w:rsidRPr="006C04F5" w:rsidRDefault="006C04F5" w:rsidP="006C04F5">
      <w:pPr>
        <w:pStyle w:val="NormalWeb"/>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p>
    <w:p w14:paraId="38D22871" w14:textId="4CB618B1"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5B4AF2">
        <w:rPr>
          <w:rFonts w:asciiTheme="minorHAnsi" w:eastAsiaTheme="minorHAnsi" w:hAnsiTheme="minorHAnsi" w:cstheme="minorHAnsi"/>
          <w:color w:val="191919"/>
          <w:kern w:val="2"/>
          <w:sz w:val="22"/>
          <w:szCs w:val="22"/>
          <w:lang w:eastAsia="en-US"/>
          <w14:ligatures w14:val="standardContextual"/>
        </w:rPr>
        <w:t>Aumento del precio de venta de los bienes transportados, por el traslado total o parcial de los costos extras que generan</w:t>
      </w:r>
      <w:r w:rsidRPr="006C04F5">
        <w:rPr>
          <w:rFonts w:asciiTheme="minorHAnsi" w:eastAsiaTheme="minorHAnsi" w:hAnsiTheme="minorHAnsi" w:cstheme="minorHAnsi"/>
          <w:color w:val="191919"/>
          <w:kern w:val="2"/>
          <w:sz w:val="22"/>
          <w:szCs w:val="22"/>
          <w:lang w:eastAsia="en-US"/>
          <w14:ligatures w14:val="standardContextual"/>
        </w:rPr>
        <w:t xml:space="preserve"> las restricciones establecidas, al consumidor final.</w:t>
      </w:r>
    </w:p>
    <w:p w14:paraId="00DE2C73" w14:textId="77777777" w:rsidR="006C04F5" w:rsidRPr="006C04F5" w:rsidRDefault="006C04F5" w:rsidP="006C04F5">
      <w:pPr>
        <w:pStyle w:val="NormalWeb"/>
        <w:shd w:val="clear" w:color="auto" w:fill="FFFFFF"/>
        <w:spacing w:before="0" w:beforeAutospacing="0" w:after="0" w:afterAutospacing="0"/>
        <w:jc w:val="both"/>
        <w:rPr>
          <w:rFonts w:asciiTheme="minorHAnsi" w:eastAsiaTheme="minorHAnsi" w:hAnsiTheme="minorHAnsi" w:cstheme="minorHAnsi"/>
          <w:color w:val="191919"/>
          <w:kern w:val="2"/>
          <w:sz w:val="22"/>
          <w:szCs w:val="22"/>
          <w:lang w:eastAsia="en-US"/>
          <w14:ligatures w14:val="standardContextual"/>
        </w:rPr>
      </w:pPr>
    </w:p>
    <w:p w14:paraId="71664F04" w14:textId="7AF0D88F" w:rsidR="006C04F5" w:rsidRDefault="006C04F5" w:rsidP="006C04F5">
      <w:pPr>
        <w:pStyle w:val="NormalWeb"/>
        <w:numPr>
          <w:ilvl w:val="0"/>
          <w:numId w:val="27"/>
        </w:numPr>
        <w:shd w:val="clear" w:color="auto" w:fill="FFFFFF"/>
        <w:spacing w:before="0" w:beforeAutospacing="0" w:after="0" w:afterAutospacing="0"/>
        <w:ind w:left="709"/>
        <w:jc w:val="both"/>
        <w:rPr>
          <w:rFonts w:asciiTheme="minorHAnsi" w:eastAsiaTheme="minorHAnsi" w:hAnsiTheme="minorHAnsi" w:cstheme="minorHAnsi"/>
          <w:color w:val="191919"/>
          <w:kern w:val="2"/>
          <w:sz w:val="22"/>
          <w:szCs w:val="22"/>
          <w:lang w:eastAsia="en-US"/>
          <w14:ligatures w14:val="standardContextual"/>
        </w:rPr>
      </w:pPr>
      <w:r w:rsidRPr="006C04F5">
        <w:rPr>
          <w:rFonts w:asciiTheme="minorHAnsi" w:eastAsiaTheme="minorHAnsi" w:hAnsiTheme="minorHAnsi" w:cstheme="minorHAnsi"/>
          <w:color w:val="191919"/>
          <w:kern w:val="2"/>
          <w:sz w:val="22"/>
          <w:szCs w:val="22"/>
          <w:lang w:eastAsia="en-US"/>
          <w14:ligatures w14:val="standardContextual"/>
        </w:rPr>
        <w:t>Incremento de las tarifas de los barcos que transportan combustibles y gas, derivado de las demoras, tal como puede observarse en la gráfica N°</w:t>
      </w:r>
      <w:r w:rsidR="002957C2">
        <w:rPr>
          <w:rFonts w:asciiTheme="minorHAnsi" w:eastAsiaTheme="minorHAnsi" w:hAnsiTheme="minorHAnsi" w:cstheme="minorHAnsi"/>
          <w:color w:val="191919"/>
          <w:kern w:val="2"/>
          <w:sz w:val="22"/>
          <w:szCs w:val="22"/>
          <w:lang w:eastAsia="en-US"/>
          <w14:ligatures w14:val="standardContextual"/>
        </w:rPr>
        <w:t xml:space="preserve"> </w:t>
      </w:r>
      <w:r w:rsidRPr="006C04F5">
        <w:rPr>
          <w:rFonts w:asciiTheme="minorHAnsi" w:eastAsiaTheme="minorHAnsi" w:hAnsiTheme="minorHAnsi" w:cstheme="minorHAnsi"/>
          <w:color w:val="191919"/>
          <w:kern w:val="2"/>
          <w:sz w:val="22"/>
          <w:szCs w:val="22"/>
          <w:lang w:eastAsia="en-US"/>
          <w14:ligatures w14:val="standardContextual"/>
        </w:rPr>
        <w:t>2 que muestra los fletes de referencia de importación del GLP y Diésel, en la ruta Houston - Callao.  Esto se debe a que el Canal tiene limitada la capacidad de tránsito de los buques y prioriza el transporte de contenedores y productos perecederos.</w:t>
      </w:r>
    </w:p>
    <w:p w14:paraId="3F5A431E" w14:textId="7BC8E04A" w:rsidR="00500CF0" w:rsidRDefault="00F91A25" w:rsidP="00DE7674">
      <w:pPr>
        <w:contextualSpacing/>
        <w:jc w:val="both"/>
        <w:rPr>
          <w:rFonts w:asciiTheme="minorHAnsi" w:hAnsiTheme="minorHAnsi" w:cstheme="minorHAnsi"/>
          <w:b/>
          <w:i/>
          <w:sz w:val="20"/>
          <w:szCs w:val="20"/>
        </w:rPr>
      </w:pPr>
      <w:r>
        <w:rPr>
          <w:rFonts w:asciiTheme="minorHAnsi" w:hAnsiTheme="minorHAnsi" w:cstheme="minorHAnsi"/>
          <w:color w:val="191919"/>
          <w:sz w:val="22"/>
          <w:szCs w:val="22"/>
        </w:rPr>
        <w:t xml:space="preserve"> </w:t>
      </w:r>
    </w:p>
    <w:p w14:paraId="03478BF2" w14:textId="7E312B62" w:rsidR="00B12C4D" w:rsidRPr="00B12C4D" w:rsidRDefault="00B12C4D" w:rsidP="00B12C4D">
      <w:pPr>
        <w:ind w:left="426"/>
        <w:jc w:val="both"/>
        <w:rPr>
          <w:rFonts w:asciiTheme="minorHAnsi" w:hAnsiTheme="minorHAnsi" w:cstheme="minorHAnsi"/>
          <w:b/>
          <w:i/>
          <w:sz w:val="20"/>
          <w:szCs w:val="20"/>
        </w:rPr>
      </w:pPr>
      <w:r>
        <w:rPr>
          <w:rFonts w:asciiTheme="minorHAnsi" w:hAnsiTheme="minorHAnsi" w:cstheme="minorHAnsi"/>
          <w:b/>
          <w:i/>
          <w:sz w:val="20"/>
          <w:szCs w:val="20"/>
        </w:rPr>
        <w:t>GRAFICA N° 2</w:t>
      </w:r>
      <w:r w:rsidRPr="00B12C4D">
        <w:rPr>
          <w:rFonts w:asciiTheme="minorHAnsi" w:hAnsiTheme="minorHAnsi" w:cstheme="minorHAnsi"/>
          <w:b/>
          <w:i/>
          <w:sz w:val="20"/>
          <w:szCs w:val="20"/>
        </w:rPr>
        <w:t xml:space="preserve">: </w:t>
      </w:r>
      <w:r w:rsidRPr="00B12C4D">
        <w:rPr>
          <w:rFonts w:asciiTheme="minorHAnsi" w:hAnsiTheme="minorHAnsi" w:cstheme="minorHAnsi"/>
          <w:bCs/>
          <w:i/>
          <w:sz w:val="20"/>
          <w:szCs w:val="20"/>
        </w:rPr>
        <w:t>Evolución de los Fletes Marítimos del GLP y Diésel para la ruta USGC – Callao</w:t>
      </w:r>
    </w:p>
    <w:p w14:paraId="1A610B67" w14:textId="17FF35AD" w:rsidR="002957C2" w:rsidRPr="002B3648" w:rsidRDefault="002957C2" w:rsidP="00B12C4D">
      <w:pPr>
        <w:pBdr>
          <w:top w:val="single" w:sz="4" w:space="1" w:color="auto"/>
          <w:bottom w:val="single" w:sz="4" w:space="1" w:color="auto"/>
        </w:pBdr>
        <w:tabs>
          <w:tab w:val="left" w:pos="284"/>
        </w:tabs>
        <w:ind w:left="142"/>
        <w:jc w:val="both"/>
        <w:rPr>
          <w:rFonts w:asciiTheme="minorHAnsi" w:hAnsiTheme="minorHAnsi" w:cstheme="minorHAnsi"/>
          <w:sz w:val="22"/>
          <w:szCs w:val="22"/>
        </w:rPr>
      </w:pPr>
      <w:r w:rsidRPr="00340FE7">
        <w:rPr>
          <w:noProof/>
        </w:rPr>
        <w:drawing>
          <wp:inline distT="0" distB="0" distL="0" distR="0" wp14:anchorId="34BAFDB9" wp14:editId="1D91D91F">
            <wp:extent cx="5396865" cy="3086100"/>
            <wp:effectExtent l="0" t="0" r="0" b="0"/>
            <wp:docPr id="45157455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470178" cy="3128023"/>
                    </a:xfrm>
                    <a:prstGeom prst="rect">
                      <a:avLst/>
                    </a:prstGeom>
                    <a:noFill/>
                    <a:ln>
                      <a:noFill/>
                    </a:ln>
                  </pic:spPr>
                </pic:pic>
              </a:graphicData>
            </a:graphic>
          </wp:inline>
        </w:drawing>
      </w:r>
    </w:p>
    <w:p w14:paraId="5C7153F2" w14:textId="77777777" w:rsidR="00B12C4D" w:rsidRDefault="00B12C4D" w:rsidP="00B12C4D">
      <w:pPr>
        <w:rPr>
          <w:rFonts w:asciiTheme="minorHAnsi" w:hAnsiTheme="minorHAnsi" w:cstheme="minorHAnsi"/>
          <w:sz w:val="22"/>
          <w:szCs w:val="22"/>
        </w:rPr>
      </w:pPr>
      <w:r>
        <w:rPr>
          <w:rFonts w:asciiTheme="minorHAnsi" w:hAnsiTheme="minorHAnsi" w:cstheme="minorHAnsi"/>
          <w:b/>
          <w:i/>
          <w:sz w:val="20"/>
          <w:szCs w:val="20"/>
        </w:rPr>
        <w:t xml:space="preserve">   </w:t>
      </w:r>
      <w:r w:rsidRPr="002B3648">
        <w:rPr>
          <w:rFonts w:asciiTheme="minorHAnsi" w:hAnsiTheme="minorHAnsi" w:cstheme="minorHAnsi"/>
          <w:b/>
          <w:i/>
          <w:sz w:val="20"/>
          <w:szCs w:val="20"/>
        </w:rPr>
        <w:t>Fuente</w:t>
      </w:r>
      <w:r w:rsidRPr="002B3648">
        <w:rPr>
          <w:rFonts w:asciiTheme="minorHAnsi" w:hAnsiTheme="minorHAnsi" w:cstheme="minorHAnsi"/>
          <w:i/>
          <w:sz w:val="20"/>
          <w:szCs w:val="20"/>
        </w:rPr>
        <w:t xml:space="preserve">: </w:t>
      </w:r>
      <w:r>
        <w:rPr>
          <w:rFonts w:asciiTheme="minorHAnsi" w:hAnsiTheme="minorHAnsi" w:cstheme="minorHAnsi"/>
          <w:i/>
          <w:sz w:val="20"/>
          <w:szCs w:val="20"/>
        </w:rPr>
        <w:t xml:space="preserve"> Argus                           </w:t>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r>
      <w:r>
        <w:rPr>
          <w:rFonts w:asciiTheme="minorHAnsi" w:hAnsiTheme="minorHAnsi" w:cstheme="minorHAnsi"/>
          <w:i/>
          <w:sz w:val="20"/>
          <w:szCs w:val="20"/>
        </w:rPr>
        <w:tab/>
        <w:t xml:space="preserve">                </w:t>
      </w:r>
      <w:r w:rsidRPr="002B3648">
        <w:rPr>
          <w:rFonts w:asciiTheme="minorHAnsi" w:hAnsiTheme="minorHAnsi" w:cstheme="minorHAnsi"/>
          <w:b/>
          <w:i/>
          <w:sz w:val="20"/>
          <w:szCs w:val="20"/>
        </w:rPr>
        <w:t>Elaboración</w:t>
      </w:r>
      <w:r w:rsidRPr="002B3648">
        <w:rPr>
          <w:rFonts w:asciiTheme="minorHAnsi" w:hAnsiTheme="minorHAnsi" w:cstheme="minorHAnsi"/>
          <w:i/>
          <w:sz w:val="20"/>
          <w:szCs w:val="20"/>
        </w:rPr>
        <w:t>: Propia</w:t>
      </w:r>
    </w:p>
    <w:p w14:paraId="621308AC" w14:textId="7B569185" w:rsidR="00500CF0" w:rsidRDefault="00500CF0" w:rsidP="00EC1FBC">
      <w:pPr>
        <w:ind w:left="426"/>
        <w:jc w:val="both"/>
        <w:rPr>
          <w:rFonts w:asciiTheme="minorHAnsi" w:hAnsiTheme="minorHAnsi" w:cstheme="minorHAnsi"/>
          <w:sz w:val="22"/>
          <w:szCs w:val="22"/>
        </w:rPr>
      </w:pPr>
    </w:p>
    <w:p w14:paraId="43199560" w14:textId="77777777" w:rsidR="00DE7674" w:rsidRDefault="00DE7674" w:rsidP="00EC1FBC">
      <w:pPr>
        <w:ind w:left="426"/>
        <w:jc w:val="both"/>
        <w:rPr>
          <w:rFonts w:asciiTheme="minorHAnsi" w:hAnsiTheme="minorHAnsi" w:cstheme="minorHAnsi"/>
          <w:sz w:val="22"/>
          <w:szCs w:val="22"/>
        </w:rPr>
      </w:pPr>
    </w:p>
    <w:p w14:paraId="674B94A5" w14:textId="54BFEDCF" w:rsidR="00EC1FBC"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De acuerdo con las autoridades del Canal de Panamá, con el comienzo del fenómeno “El Niño”, las condiciones podrían empeorar. Se espera que este año, El Niño aumente las temperaturas globales y podría ocasionar que el 2024 sea</w:t>
      </w:r>
      <w:r w:rsidR="002100D3">
        <w:rPr>
          <w:rFonts w:asciiTheme="minorHAnsi" w:hAnsiTheme="minorHAnsi" w:cstheme="minorHAnsi"/>
          <w:sz w:val="22"/>
          <w:szCs w:val="22"/>
        </w:rPr>
        <w:t xml:space="preserve"> uno de</w:t>
      </w:r>
      <w:r w:rsidRPr="00EC1FBC">
        <w:rPr>
          <w:rFonts w:asciiTheme="minorHAnsi" w:hAnsiTheme="minorHAnsi" w:cstheme="minorHAnsi"/>
          <w:sz w:val="22"/>
          <w:szCs w:val="22"/>
        </w:rPr>
        <w:t xml:space="preserve"> los años más cálidos nunca registrados. A raíz de este problema, las precipitaciones y la cantidad de agua del lago Gatún, se mantendrían escasos.</w:t>
      </w:r>
    </w:p>
    <w:p w14:paraId="4148669C" w14:textId="77777777" w:rsidR="00EC1FBC" w:rsidRPr="00EC1FBC" w:rsidRDefault="00EC1FBC" w:rsidP="00EC1FBC">
      <w:pPr>
        <w:ind w:left="426"/>
        <w:jc w:val="both"/>
        <w:rPr>
          <w:rFonts w:asciiTheme="minorHAnsi" w:hAnsiTheme="minorHAnsi" w:cstheme="minorHAnsi"/>
          <w:sz w:val="22"/>
          <w:szCs w:val="22"/>
        </w:rPr>
      </w:pPr>
    </w:p>
    <w:p w14:paraId="4E4B9DE5" w14:textId="25060CFB" w:rsidR="009765BA" w:rsidRDefault="00EC1FBC" w:rsidP="00EC1FBC">
      <w:pPr>
        <w:ind w:left="426"/>
        <w:jc w:val="both"/>
        <w:rPr>
          <w:rFonts w:asciiTheme="minorHAnsi" w:hAnsiTheme="minorHAnsi" w:cstheme="minorHAnsi"/>
          <w:sz w:val="22"/>
          <w:szCs w:val="22"/>
        </w:rPr>
      </w:pPr>
      <w:r w:rsidRPr="00EC1FBC">
        <w:rPr>
          <w:rFonts w:asciiTheme="minorHAnsi" w:hAnsiTheme="minorHAnsi" w:cstheme="minorHAnsi"/>
          <w:sz w:val="22"/>
          <w:szCs w:val="22"/>
        </w:rPr>
        <w:t>Actualmente se están implementando medidas para mejorar el flujo naviero. La Autoridad del Canal de Panamá realiza subastas para aquellos que deseen evitar la espera. También se redujo de 23 a 14 el número de espacios de reserva para buques que quieren atravesar el canal, de modo que se permite el paso de más embarcaciones sin reserva previa con el objetivo de aliviar así la congestión.</w:t>
      </w:r>
    </w:p>
    <w:p w14:paraId="13D59A67" w14:textId="77777777" w:rsidR="003F1466" w:rsidRDefault="003F1466" w:rsidP="00EC1FBC">
      <w:pPr>
        <w:ind w:left="426"/>
        <w:jc w:val="both"/>
        <w:rPr>
          <w:rFonts w:asciiTheme="minorHAnsi" w:hAnsiTheme="minorHAnsi" w:cstheme="minorHAnsi"/>
          <w:sz w:val="22"/>
          <w:szCs w:val="22"/>
        </w:rPr>
      </w:pPr>
    </w:p>
    <w:p w14:paraId="6A8F88AA" w14:textId="5DD90425" w:rsidR="00AF270F" w:rsidRDefault="00CA3C87" w:rsidP="00E31D6A">
      <w:pPr>
        <w:ind w:left="-426"/>
        <w:rPr>
          <w:rFonts w:asciiTheme="minorHAnsi" w:hAnsiTheme="minorHAnsi" w:cstheme="minorHAnsi"/>
          <w:b/>
          <w:bCs/>
          <w:u w:val="single"/>
        </w:rPr>
      </w:pPr>
      <w:r>
        <w:rPr>
          <w:rFonts w:asciiTheme="minorHAnsi" w:hAnsiTheme="minorHAnsi"/>
          <w:b/>
          <w:noProof/>
          <w:lang w:val="es-MX" w:eastAsia="en-US"/>
        </w:rPr>
        <w:lastRenderedPageBreak/>
        <w:t>1</w:t>
      </w:r>
      <w:r w:rsidR="00987CCC">
        <w:rPr>
          <w:rFonts w:asciiTheme="minorHAnsi" w:hAnsiTheme="minorHAnsi"/>
          <w:b/>
          <w:noProof/>
          <w:lang w:val="es-MX" w:eastAsia="en-US"/>
        </w:rPr>
        <w:t xml:space="preserve">.2.  </w:t>
      </w:r>
      <w:r w:rsidR="00AF270F" w:rsidRPr="009E1D22">
        <w:rPr>
          <w:rFonts w:asciiTheme="minorHAnsi" w:hAnsiTheme="minorHAnsi" w:cstheme="minorHAnsi"/>
          <w:b/>
          <w:bCs/>
          <w:u w:val="single"/>
        </w:rPr>
        <w:t>Mercado Local de</w:t>
      </w:r>
      <w:r w:rsidR="00707ED0">
        <w:rPr>
          <w:rFonts w:asciiTheme="minorHAnsi" w:hAnsiTheme="minorHAnsi" w:cstheme="minorHAnsi"/>
          <w:b/>
          <w:bCs/>
          <w:u w:val="single"/>
        </w:rPr>
        <w:t xml:space="preserve"> </w:t>
      </w:r>
      <w:r w:rsidR="00AF270F" w:rsidRPr="009E1D22">
        <w:rPr>
          <w:rFonts w:asciiTheme="minorHAnsi" w:hAnsiTheme="minorHAnsi" w:cstheme="minorHAnsi"/>
          <w:b/>
          <w:bCs/>
          <w:u w:val="single"/>
        </w:rPr>
        <w:t>Combustibles</w:t>
      </w:r>
    </w:p>
    <w:p w14:paraId="1F7AD0A7" w14:textId="77777777" w:rsidR="00123090" w:rsidRPr="009E1D22" w:rsidRDefault="00123090" w:rsidP="00123090">
      <w:pPr>
        <w:ind w:left="142" w:hanging="709"/>
        <w:rPr>
          <w:rFonts w:asciiTheme="minorHAnsi" w:hAnsiTheme="minorHAnsi" w:cstheme="minorHAnsi"/>
          <w:b/>
          <w:bCs/>
          <w:u w:val="single"/>
        </w:rPr>
      </w:pPr>
    </w:p>
    <w:p w14:paraId="0CD5E4CD"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bookmarkStart w:id="0" w:name="_Hlk104155325"/>
      <w:r w:rsidRPr="004A3F00">
        <w:rPr>
          <w:rFonts w:asciiTheme="minorHAnsi" w:hAnsiTheme="minorHAnsi" w:cstheme="minorHAnsi"/>
          <w:sz w:val="22"/>
          <w:szCs w:val="22"/>
        </w:rPr>
        <w:t>Mediante el </w:t>
      </w:r>
      <w:hyperlink r:id="rId13" w:history="1">
        <w:r w:rsidRPr="004A3F00">
          <w:rPr>
            <w:rFonts w:asciiTheme="minorHAnsi" w:hAnsiTheme="minorHAnsi" w:cstheme="minorHAnsi"/>
            <w:sz w:val="22"/>
            <w:szCs w:val="22"/>
          </w:rPr>
          <w:t>Decreto Supremo N° 023-2021-EM</w:t>
        </w:r>
      </w:hyperlink>
      <w:r w:rsidRPr="004A3F00">
        <w:rPr>
          <w:rFonts w:asciiTheme="minorHAnsi" w:hAnsiTheme="minorHAnsi" w:cstheme="minorHAnsi"/>
          <w:sz w:val="22"/>
          <w:szCs w:val="22"/>
        </w:rPr>
        <w:t> publicado</w:t>
      </w:r>
      <w:r>
        <w:rPr>
          <w:rFonts w:asciiTheme="minorHAnsi" w:hAnsiTheme="minorHAnsi" w:cstheme="minorHAnsi"/>
          <w:sz w:val="22"/>
          <w:szCs w:val="22"/>
        </w:rPr>
        <w:t xml:space="preserve"> el</w:t>
      </w:r>
      <w:r w:rsidRPr="004A3F00">
        <w:rPr>
          <w:rFonts w:asciiTheme="minorHAnsi" w:hAnsiTheme="minorHAnsi" w:cstheme="minorHAnsi"/>
          <w:sz w:val="22"/>
          <w:szCs w:val="22"/>
        </w:rPr>
        <w:t xml:space="preserve"> 06.09.2021 en el Diario Oficial «El</w:t>
      </w:r>
      <w:r>
        <w:rPr>
          <w:rFonts w:asciiTheme="minorHAnsi" w:hAnsiTheme="minorHAnsi" w:cstheme="minorHAnsi"/>
          <w:sz w:val="22"/>
          <w:szCs w:val="22"/>
        </w:rPr>
        <w:t xml:space="preserve"> Peruano», se incluyó a</w:t>
      </w:r>
      <w:r w:rsidRPr="004A3F00">
        <w:rPr>
          <w:rFonts w:asciiTheme="minorHAnsi" w:hAnsiTheme="minorHAnsi" w:cstheme="minorHAnsi"/>
          <w:sz w:val="22"/>
          <w:szCs w:val="22"/>
        </w:rPr>
        <w:t>l Gas Licuado de Petróleo destinado para envasado (</w:t>
      </w:r>
      <w:hyperlink r:id="rId14" w:tooltip="Posts tagged with GLP" w:history="1">
        <w:r w:rsidRPr="004A3F00">
          <w:rPr>
            <w:rFonts w:asciiTheme="minorHAnsi" w:hAnsiTheme="minorHAnsi" w:cstheme="minorHAnsi"/>
            <w:sz w:val="22"/>
            <w:szCs w:val="22"/>
          </w:rPr>
          <w:t>GLP</w:t>
        </w:r>
      </w:hyperlink>
      <w:r w:rsidRPr="004A3F00">
        <w:rPr>
          <w:rFonts w:asciiTheme="minorHAnsi" w:hAnsiTheme="minorHAnsi" w:cstheme="minorHAnsi"/>
          <w:sz w:val="22"/>
          <w:szCs w:val="22"/>
        </w:rPr>
        <w:t> – E) en la lista de productos afectos al Fondo para la Estabilización de Precios de los Combustibles Derivados del Petróleo (FEPC).</w:t>
      </w:r>
    </w:p>
    <w:p w14:paraId="04B74499" w14:textId="77777777" w:rsidR="00F5266A" w:rsidRDefault="00F5266A" w:rsidP="00F5266A">
      <w:pPr>
        <w:pStyle w:val="Textonotapie"/>
        <w:spacing w:before="0" w:after="0"/>
        <w:ind w:left="568" w:hanging="426"/>
        <w:rPr>
          <w:rFonts w:asciiTheme="minorHAnsi" w:hAnsiTheme="minorHAnsi" w:cstheme="minorHAnsi"/>
          <w:sz w:val="22"/>
          <w:szCs w:val="22"/>
        </w:rPr>
      </w:pPr>
    </w:p>
    <w:bookmarkEnd w:id="0"/>
    <w:p w14:paraId="05CF6270" w14:textId="77777777" w:rsidR="00F5266A" w:rsidRDefault="00F5266A" w:rsidP="00F5266A">
      <w:pPr>
        <w:pStyle w:val="Textonotapie"/>
        <w:numPr>
          <w:ilvl w:val="0"/>
          <w:numId w:val="2"/>
        </w:numPr>
        <w:spacing w:before="0" w:after="0"/>
        <w:ind w:left="568" w:hanging="426"/>
        <w:rPr>
          <w:rFonts w:asciiTheme="minorHAnsi" w:hAnsiTheme="minorHAnsi" w:cstheme="minorHAnsi"/>
          <w:sz w:val="22"/>
          <w:szCs w:val="22"/>
        </w:rPr>
      </w:pPr>
      <w:r w:rsidRPr="00D9369F">
        <w:rPr>
          <w:rFonts w:asciiTheme="minorHAnsi" w:hAnsiTheme="minorHAnsi" w:cstheme="minorHAnsi"/>
          <w:sz w:val="22"/>
          <w:szCs w:val="22"/>
        </w:rPr>
        <w:t>Según el </w:t>
      </w:r>
      <w:hyperlink r:id="rId15" w:history="1">
        <w:r w:rsidRPr="00D9369F">
          <w:rPr>
            <w:rFonts w:asciiTheme="minorHAnsi" w:hAnsiTheme="minorHAnsi" w:cstheme="minorHAnsi"/>
            <w:sz w:val="22"/>
            <w:szCs w:val="22"/>
          </w:rPr>
          <w:t>Decreto Supremo N° 025-2021-EM</w:t>
        </w:r>
      </w:hyperlink>
      <w:r w:rsidRPr="00D9369F">
        <w:rPr>
          <w:rFonts w:asciiTheme="minorHAnsi" w:hAnsiTheme="minorHAnsi" w:cstheme="minorHAnsi"/>
          <w:sz w:val="22"/>
          <w:szCs w:val="22"/>
        </w:rPr>
        <w:t> publicado el 09.11.2021 en el Diario Oficial «El Peruano», se incluyó al Diésel BX destinado al uso vehicular en la lista de productos afectos al FEPC.</w:t>
      </w:r>
    </w:p>
    <w:p w14:paraId="00000B0A" w14:textId="77777777" w:rsidR="00F5266A" w:rsidRDefault="00F5266A" w:rsidP="00F5266A">
      <w:pPr>
        <w:pStyle w:val="Prrafodelista"/>
        <w:rPr>
          <w:rFonts w:asciiTheme="minorHAnsi" w:hAnsiTheme="minorHAnsi" w:cstheme="minorHAnsi"/>
          <w:sz w:val="22"/>
          <w:szCs w:val="22"/>
        </w:rPr>
      </w:pPr>
    </w:p>
    <w:p w14:paraId="1CB43E23" w14:textId="77777777" w:rsidR="00F5266A" w:rsidRDefault="00F5266A" w:rsidP="00F5266A">
      <w:pPr>
        <w:pStyle w:val="Textonotapie"/>
        <w:numPr>
          <w:ilvl w:val="0"/>
          <w:numId w:val="16"/>
        </w:numPr>
        <w:tabs>
          <w:tab w:val="left" w:pos="709"/>
        </w:tabs>
        <w:spacing w:before="0" w:after="0"/>
        <w:ind w:left="568" w:hanging="426"/>
        <w:rPr>
          <w:rFonts w:asciiTheme="minorHAnsi" w:hAnsiTheme="minorHAnsi" w:cstheme="minorHAnsi"/>
          <w:sz w:val="22"/>
          <w:szCs w:val="22"/>
        </w:rPr>
      </w:pPr>
      <w:r w:rsidRPr="00BD4AC1">
        <w:rPr>
          <w:rFonts w:asciiTheme="minorHAnsi" w:hAnsiTheme="minorHAnsi" w:cstheme="minorHAnsi"/>
          <w:sz w:val="22"/>
          <w:szCs w:val="22"/>
        </w:rPr>
        <w:t>Según el </w:t>
      </w:r>
      <w:hyperlink r:id="rId16" w:history="1">
        <w:r w:rsidRPr="00BD4AC1">
          <w:rPr>
            <w:rFonts w:asciiTheme="minorHAnsi" w:hAnsiTheme="minorHAnsi" w:cstheme="minorHAnsi"/>
            <w:sz w:val="22"/>
            <w:szCs w:val="22"/>
          </w:rPr>
          <w:t>Decreto Supremo N° 026-2023-EM</w:t>
        </w:r>
      </w:hyperlink>
      <w:r w:rsidRPr="00BD4AC1">
        <w:rPr>
          <w:rFonts w:asciiTheme="minorHAnsi" w:hAnsiTheme="minorHAnsi" w:cstheme="minorHAnsi"/>
          <w:sz w:val="22"/>
          <w:szCs w:val="22"/>
        </w:rPr>
        <w:t xml:space="preserve"> publicado el 31.08.2023 en el Diario Oficial «El Peruano», se amplió la vigencia de la inclusión del GLP-E en la lista de productos afectos al FEPC hasta el 28 de diciembre de 2023. </w:t>
      </w:r>
    </w:p>
    <w:p w14:paraId="49C08917" w14:textId="77777777" w:rsidR="00F5266A" w:rsidRPr="00BD4AC1" w:rsidRDefault="00F5266A" w:rsidP="00F5266A">
      <w:pPr>
        <w:pStyle w:val="Textonotapie"/>
        <w:tabs>
          <w:tab w:val="left" w:pos="709"/>
        </w:tabs>
        <w:spacing w:before="0" w:after="0"/>
        <w:ind w:left="568"/>
        <w:rPr>
          <w:rFonts w:asciiTheme="minorHAnsi" w:hAnsiTheme="minorHAnsi" w:cstheme="minorHAnsi"/>
          <w:sz w:val="22"/>
          <w:szCs w:val="22"/>
        </w:rPr>
      </w:pPr>
    </w:p>
    <w:p w14:paraId="26130009" w14:textId="75DB09CF" w:rsidR="00180815" w:rsidRDefault="00180815" w:rsidP="00180815">
      <w:pPr>
        <w:pStyle w:val="Textonotapie"/>
        <w:numPr>
          <w:ilvl w:val="0"/>
          <w:numId w:val="16"/>
        </w:numPr>
        <w:tabs>
          <w:tab w:val="left" w:pos="709"/>
        </w:tabs>
        <w:spacing w:before="0" w:after="0"/>
        <w:ind w:left="568" w:hanging="426"/>
        <w:rPr>
          <w:rFonts w:asciiTheme="minorHAnsi" w:hAnsiTheme="minorHAnsi" w:cstheme="minorHAnsi"/>
          <w:sz w:val="22"/>
          <w:szCs w:val="22"/>
        </w:rPr>
      </w:pPr>
      <w:r>
        <w:rPr>
          <w:rFonts w:asciiTheme="minorHAnsi" w:hAnsiTheme="minorHAnsi" w:cstheme="minorHAnsi"/>
          <w:sz w:val="22"/>
          <w:szCs w:val="22"/>
        </w:rPr>
        <w:t>M</w:t>
      </w:r>
      <w:r w:rsidRPr="00236B07">
        <w:rPr>
          <w:rFonts w:asciiTheme="minorHAnsi" w:hAnsiTheme="minorHAnsi" w:cstheme="minorHAnsi"/>
          <w:sz w:val="22"/>
          <w:szCs w:val="22"/>
        </w:rPr>
        <w:t>ediante Resolución N°</w:t>
      </w:r>
      <w:r>
        <w:rPr>
          <w:rFonts w:asciiTheme="minorHAnsi" w:hAnsiTheme="minorHAnsi" w:cstheme="minorHAnsi"/>
          <w:sz w:val="22"/>
          <w:szCs w:val="22"/>
        </w:rPr>
        <w:t xml:space="preserve"> </w:t>
      </w:r>
      <w:r w:rsidRPr="00236B07">
        <w:rPr>
          <w:rFonts w:asciiTheme="minorHAnsi" w:hAnsiTheme="minorHAnsi" w:cstheme="minorHAnsi"/>
          <w:sz w:val="22"/>
          <w:szCs w:val="22"/>
        </w:rPr>
        <w:t>0</w:t>
      </w:r>
      <w:r w:rsidR="004B78EA">
        <w:rPr>
          <w:rFonts w:asciiTheme="minorHAnsi" w:hAnsiTheme="minorHAnsi" w:cstheme="minorHAnsi"/>
          <w:sz w:val="22"/>
          <w:szCs w:val="22"/>
        </w:rPr>
        <w:t>2</w:t>
      </w:r>
      <w:r>
        <w:rPr>
          <w:rFonts w:asciiTheme="minorHAnsi" w:hAnsiTheme="minorHAnsi" w:cstheme="minorHAnsi"/>
          <w:sz w:val="22"/>
          <w:szCs w:val="22"/>
        </w:rPr>
        <w:t>1</w:t>
      </w:r>
      <w:r w:rsidRPr="00236B07">
        <w:rPr>
          <w:rFonts w:asciiTheme="minorHAnsi" w:hAnsiTheme="minorHAnsi" w:cstheme="minorHAnsi"/>
          <w:sz w:val="22"/>
          <w:szCs w:val="22"/>
        </w:rPr>
        <w:t>-202</w:t>
      </w:r>
      <w:r>
        <w:rPr>
          <w:rFonts w:asciiTheme="minorHAnsi" w:hAnsiTheme="minorHAnsi" w:cstheme="minorHAnsi"/>
          <w:sz w:val="22"/>
          <w:szCs w:val="22"/>
        </w:rPr>
        <w:t>4</w:t>
      </w:r>
      <w:r w:rsidRPr="00236B07">
        <w:rPr>
          <w:rFonts w:asciiTheme="minorHAnsi" w:hAnsiTheme="minorHAnsi" w:cstheme="minorHAnsi"/>
          <w:sz w:val="22"/>
          <w:szCs w:val="22"/>
        </w:rPr>
        <w:t>-OS/GRT, se fijaron las Bandas de Precios y los Márgenes Comerciales para el Gas Licuado de Petróleo destinado para envasado (GLP-E)</w:t>
      </w:r>
      <w:r>
        <w:rPr>
          <w:rFonts w:asciiTheme="minorHAnsi" w:hAnsiTheme="minorHAnsi" w:cstheme="minorHAnsi"/>
          <w:sz w:val="22"/>
          <w:szCs w:val="22"/>
        </w:rPr>
        <w:t xml:space="preserve"> y el Diesel BX destinado al uso vehicular, </w:t>
      </w:r>
      <w:r w:rsidRPr="009C0925">
        <w:rPr>
          <w:rFonts w:asciiTheme="minorHAnsi" w:hAnsiTheme="minorHAnsi" w:cstheme="minorHAnsi"/>
          <w:sz w:val="22"/>
          <w:szCs w:val="22"/>
        </w:rPr>
        <w:t xml:space="preserve">con vigencia </w:t>
      </w:r>
      <w:r>
        <w:rPr>
          <w:rFonts w:asciiTheme="minorHAnsi" w:hAnsiTheme="minorHAnsi" w:cstheme="minorHAnsi"/>
          <w:sz w:val="22"/>
          <w:szCs w:val="22"/>
        </w:rPr>
        <w:t>a partir d</w:t>
      </w:r>
      <w:r w:rsidRPr="009C0925">
        <w:rPr>
          <w:rFonts w:asciiTheme="minorHAnsi" w:hAnsiTheme="minorHAnsi" w:cstheme="minorHAnsi"/>
          <w:sz w:val="22"/>
          <w:szCs w:val="22"/>
        </w:rPr>
        <w:t xml:space="preserve">el </w:t>
      </w:r>
      <w:r>
        <w:rPr>
          <w:rFonts w:asciiTheme="minorHAnsi" w:hAnsiTheme="minorHAnsi" w:cstheme="minorHAnsi"/>
          <w:sz w:val="22"/>
          <w:szCs w:val="22"/>
        </w:rPr>
        <w:t>viernes 2</w:t>
      </w:r>
      <w:r w:rsidR="004B78EA">
        <w:rPr>
          <w:rFonts w:asciiTheme="minorHAnsi" w:hAnsiTheme="minorHAnsi" w:cstheme="minorHAnsi"/>
          <w:sz w:val="22"/>
          <w:szCs w:val="22"/>
        </w:rPr>
        <w:t>6</w:t>
      </w:r>
      <w:r>
        <w:rPr>
          <w:rFonts w:asciiTheme="minorHAnsi" w:hAnsiTheme="minorHAnsi" w:cstheme="minorHAnsi"/>
          <w:sz w:val="22"/>
          <w:szCs w:val="22"/>
        </w:rPr>
        <w:t xml:space="preserve"> de a</w:t>
      </w:r>
      <w:r w:rsidR="004B78EA">
        <w:rPr>
          <w:rFonts w:asciiTheme="minorHAnsi" w:hAnsiTheme="minorHAnsi" w:cstheme="minorHAnsi"/>
          <w:sz w:val="22"/>
          <w:szCs w:val="22"/>
        </w:rPr>
        <w:t>b</w:t>
      </w:r>
      <w:r>
        <w:rPr>
          <w:rFonts w:asciiTheme="minorHAnsi" w:hAnsiTheme="minorHAnsi" w:cstheme="minorHAnsi"/>
          <w:sz w:val="22"/>
          <w:szCs w:val="22"/>
        </w:rPr>
        <w:t>r</w:t>
      </w:r>
      <w:r w:rsidR="004B78EA">
        <w:rPr>
          <w:rFonts w:asciiTheme="minorHAnsi" w:hAnsiTheme="minorHAnsi" w:cstheme="minorHAnsi"/>
          <w:sz w:val="22"/>
          <w:szCs w:val="22"/>
        </w:rPr>
        <w:t>il</w:t>
      </w:r>
      <w:r w:rsidRPr="009C0925">
        <w:rPr>
          <w:rFonts w:asciiTheme="minorHAnsi" w:hAnsiTheme="minorHAnsi" w:cstheme="minorHAnsi"/>
          <w:sz w:val="22"/>
          <w:szCs w:val="22"/>
        </w:rPr>
        <w:t xml:space="preserve"> hasta el </w:t>
      </w:r>
      <w:r>
        <w:rPr>
          <w:rFonts w:asciiTheme="minorHAnsi" w:hAnsiTheme="minorHAnsi" w:cstheme="minorHAnsi"/>
          <w:sz w:val="22"/>
          <w:szCs w:val="22"/>
        </w:rPr>
        <w:t xml:space="preserve">jueves </w:t>
      </w:r>
      <w:r w:rsidR="004B78EA">
        <w:rPr>
          <w:rFonts w:asciiTheme="minorHAnsi" w:hAnsiTheme="minorHAnsi" w:cstheme="minorHAnsi"/>
          <w:sz w:val="22"/>
          <w:szCs w:val="22"/>
        </w:rPr>
        <w:t>30</w:t>
      </w:r>
      <w:r>
        <w:rPr>
          <w:rFonts w:asciiTheme="minorHAnsi" w:hAnsiTheme="minorHAnsi" w:cstheme="minorHAnsi"/>
          <w:sz w:val="22"/>
          <w:szCs w:val="22"/>
        </w:rPr>
        <w:t xml:space="preserve"> de </w:t>
      </w:r>
      <w:r w:rsidR="004B78EA">
        <w:rPr>
          <w:rFonts w:asciiTheme="minorHAnsi" w:hAnsiTheme="minorHAnsi" w:cstheme="minorHAnsi"/>
          <w:sz w:val="22"/>
          <w:szCs w:val="22"/>
        </w:rPr>
        <w:t>mayo</w:t>
      </w:r>
      <w:r>
        <w:rPr>
          <w:rFonts w:asciiTheme="minorHAnsi" w:hAnsiTheme="minorHAnsi" w:cstheme="minorHAnsi"/>
          <w:sz w:val="22"/>
          <w:szCs w:val="22"/>
        </w:rPr>
        <w:t xml:space="preserve"> </w:t>
      </w:r>
      <w:r w:rsidRPr="009C0925">
        <w:rPr>
          <w:rFonts w:asciiTheme="minorHAnsi" w:hAnsiTheme="minorHAnsi" w:cstheme="minorHAnsi"/>
          <w:sz w:val="22"/>
          <w:szCs w:val="22"/>
        </w:rPr>
        <w:t>202</w:t>
      </w:r>
      <w:r>
        <w:rPr>
          <w:rFonts w:asciiTheme="minorHAnsi" w:hAnsiTheme="minorHAnsi" w:cstheme="minorHAnsi"/>
          <w:sz w:val="22"/>
          <w:szCs w:val="22"/>
        </w:rPr>
        <w:t>4</w:t>
      </w:r>
      <w:r w:rsidRPr="009C0925">
        <w:rPr>
          <w:rFonts w:asciiTheme="minorHAnsi" w:hAnsiTheme="minorHAnsi" w:cstheme="minorHAnsi"/>
          <w:sz w:val="22"/>
          <w:szCs w:val="22"/>
        </w:rPr>
        <w:t>.</w:t>
      </w:r>
      <w:r w:rsidR="004B78EA">
        <w:rPr>
          <w:rFonts w:asciiTheme="minorHAnsi" w:hAnsiTheme="minorHAnsi" w:cstheme="minorHAnsi"/>
          <w:sz w:val="22"/>
          <w:szCs w:val="22"/>
        </w:rPr>
        <w:t xml:space="preserve"> Asimismo, </w:t>
      </w:r>
      <w:r w:rsidR="004B78EA" w:rsidRPr="004D4B7D">
        <w:rPr>
          <w:rFonts w:asciiTheme="minorHAnsi" w:hAnsiTheme="minorHAnsi" w:cstheme="minorHAnsi"/>
          <w:sz w:val="22"/>
          <w:szCs w:val="22"/>
        </w:rPr>
        <w:t>se fij</w:t>
      </w:r>
      <w:r w:rsidR="004B78EA">
        <w:rPr>
          <w:rFonts w:asciiTheme="minorHAnsi" w:hAnsiTheme="minorHAnsi" w:cstheme="minorHAnsi"/>
          <w:sz w:val="22"/>
          <w:szCs w:val="22"/>
        </w:rPr>
        <w:t>ó</w:t>
      </w:r>
      <w:r w:rsidR="004B78EA" w:rsidRPr="004D4B7D">
        <w:rPr>
          <w:rFonts w:asciiTheme="minorHAnsi" w:hAnsiTheme="minorHAnsi" w:cstheme="minorHAnsi"/>
          <w:sz w:val="22"/>
          <w:szCs w:val="22"/>
        </w:rPr>
        <w:t xml:space="preserve"> </w:t>
      </w:r>
      <w:r w:rsidR="004B78EA">
        <w:rPr>
          <w:rFonts w:asciiTheme="minorHAnsi" w:hAnsiTheme="minorHAnsi" w:cstheme="minorHAnsi"/>
          <w:sz w:val="22"/>
          <w:szCs w:val="22"/>
        </w:rPr>
        <w:t>la Banda de Precios y el Margen Comercial para el Petróleo Industrial N° 6 utilizado en actividades de generación eléctrica en sistemas eléctricos Aislados con vigencia desde el 26 de abril de 2024 hasta el 27 de junio de 2024</w:t>
      </w:r>
    </w:p>
    <w:p w14:paraId="7BDC0B83" w14:textId="77777777" w:rsidR="00F5266A" w:rsidRDefault="00F5266A" w:rsidP="00F5266A">
      <w:pPr>
        <w:pStyle w:val="Textonotapie"/>
        <w:tabs>
          <w:tab w:val="left" w:pos="709"/>
        </w:tabs>
        <w:spacing w:before="0" w:after="0"/>
        <w:ind w:left="568"/>
        <w:rPr>
          <w:rFonts w:asciiTheme="minorHAnsi" w:hAnsiTheme="minorHAnsi" w:cstheme="minorHAnsi"/>
          <w:sz w:val="22"/>
          <w:szCs w:val="22"/>
        </w:rPr>
      </w:pPr>
    </w:p>
    <w:p w14:paraId="43B29D7F" w14:textId="214F3DD3" w:rsidR="00F5266A" w:rsidRPr="00DE7674" w:rsidRDefault="00F5266A" w:rsidP="00DE7674">
      <w:pPr>
        <w:pStyle w:val="Sangradetextonormal"/>
        <w:numPr>
          <w:ilvl w:val="0"/>
          <w:numId w:val="16"/>
        </w:numPr>
        <w:ind w:left="568" w:hanging="426"/>
        <w:rPr>
          <w:rFonts w:asciiTheme="minorHAnsi" w:hAnsiTheme="minorHAnsi" w:cstheme="minorHAnsi"/>
          <w:sz w:val="22"/>
          <w:szCs w:val="22"/>
        </w:rPr>
      </w:pPr>
      <w:r w:rsidRPr="00300844">
        <w:rPr>
          <w:rFonts w:asciiTheme="minorHAnsi" w:hAnsiTheme="minorHAnsi" w:cstheme="minorHAnsi"/>
          <w:sz w:val="22"/>
          <w:szCs w:val="22"/>
        </w:rPr>
        <w:t>Teniendo en cuenta las Bandas de Precios y los Márgenes Comerciales de los combustibles establecidos mediante la Resoluci</w:t>
      </w:r>
      <w:r>
        <w:rPr>
          <w:rFonts w:asciiTheme="minorHAnsi" w:hAnsiTheme="minorHAnsi" w:cstheme="minorHAnsi"/>
          <w:sz w:val="22"/>
          <w:szCs w:val="22"/>
        </w:rPr>
        <w:t xml:space="preserve">ón </w:t>
      </w:r>
      <w:r w:rsidRPr="00300844">
        <w:rPr>
          <w:rFonts w:asciiTheme="minorHAnsi" w:hAnsiTheme="minorHAnsi" w:cstheme="minorHAnsi"/>
          <w:sz w:val="22"/>
          <w:szCs w:val="22"/>
        </w:rPr>
        <w:t>de la Gerencia de Regulación Tarifaria Osinergmin N°</w:t>
      </w:r>
      <w:r w:rsidR="00180815">
        <w:rPr>
          <w:rFonts w:asciiTheme="minorHAnsi" w:hAnsiTheme="minorHAnsi" w:cstheme="minorHAnsi"/>
          <w:sz w:val="22"/>
          <w:szCs w:val="22"/>
        </w:rPr>
        <w:t xml:space="preserve"> </w:t>
      </w:r>
      <w:r w:rsidR="00180815" w:rsidRPr="00300844">
        <w:rPr>
          <w:rFonts w:asciiTheme="minorHAnsi" w:hAnsiTheme="minorHAnsi" w:cstheme="minorHAnsi"/>
          <w:sz w:val="22"/>
          <w:szCs w:val="22"/>
        </w:rPr>
        <w:t>0</w:t>
      </w:r>
      <w:r w:rsidR="004B78EA">
        <w:rPr>
          <w:rFonts w:asciiTheme="minorHAnsi" w:hAnsiTheme="minorHAnsi" w:cstheme="minorHAnsi"/>
          <w:sz w:val="22"/>
          <w:szCs w:val="22"/>
        </w:rPr>
        <w:t>2</w:t>
      </w:r>
      <w:r w:rsidR="00180815">
        <w:rPr>
          <w:rFonts w:asciiTheme="minorHAnsi" w:hAnsiTheme="minorHAnsi" w:cstheme="minorHAnsi"/>
          <w:sz w:val="22"/>
          <w:szCs w:val="22"/>
        </w:rPr>
        <w:t>1-2024-OS/GRT</w:t>
      </w:r>
      <w:r w:rsidR="00774F89">
        <w:rPr>
          <w:rFonts w:asciiTheme="minorHAnsi" w:hAnsiTheme="minorHAnsi" w:cstheme="minorHAnsi"/>
          <w:sz w:val="22"/>
          <w:szCs w:val="22"/>
        </w:rPr>
        <w:t xml:space="preserve"> y </w:t>
      </w:r>
      <w:r w:rsidR="00774F89" w:rsidRPr="00300844">
        <w:rPr>
          <w:rFonts w:asciiTheme="minorHAnsi" w:hAnsiTheme="minorHAnsi" w:cstheme="minorHAnsi"/>
          <w:sz w:val="22"/>
          <w:szCs w:val="22"/>
        </w:rPr>
        <w:t>N°</w:t>
      </w:r>
      <w:r w:rsidR="00774F89">
        <w:rPr>
          <w:rFonts w:asciiTheme="minorHAnsi" w:hAnsiTheme="minorHAnsi" w:cstheme="minorHAnsi"/>
          <w:sz w:val="22"/>
          <w:szCs w:val="22"/>
        </w:rPr>
        <w:t xml:space="preserve"> </w:t>
      </w:r>
      <w:r w:rsidR="00774F89" w:rsidRPr="00300844">
        <w:rPr>
          <w:rFonts w:asciiTheme="minorHAnsi" w:hAnsiTheme="minorHAnsi" w:cstheme="minorHAnsi"/>
          <w:sz w:val="22"/>
          <w:szCs w:val="22"/>
        </w:rPr>
        <w:t>0</w:t>
      </w:r>
      <w:r w:rsidR="00774F89">
        <w:rPr>
          <w:rFonts w:asciiTheme="minorHAnsi" w:hAnsiTheme="minorHAnsi" w:cstheme="minorHAnsi"/>
          <w:sz w:val="22"/>
          <w:szCs w:val="22"/>
        </w:rPr>
        <w:t>2</w:t>
      </w:r>
      <w:r w:rsidR="00774F89">
        <w:rPr>
          <w:rFonts w:asciiTheme="minorHAnsi" w:hAnsiTheme="minorHAnsi" w:cstheme="minorHAnsi"/>
          <w:sz w:val="22"/>
          <w:szCs w:val="22"/>
        </w:rPr>
        <w:t>5</w:t>
      </w:r>
      <w:r w:rsidR="00774F89">
        <w:rPr>
          <w:rFonts w:asciiTheme="minorHAnsi" w:hAnsiTheme="minorHAnsi" w:cstheme="minorHAnsi"/>
          <w:sz w:val="22"/>
          <w:szCs w:val="22"/>
        </w:rPr>
        <w:t>-2024-OS/GRT</w:t>
      </w:r>
      <w:r w:rsidRPr="00300844">
        <w:rPr>
          <w:rFonts w:asciiTheme="minorHAnsi" w:hAnsiTheme="minorHAnsi" w:cstheme="minorHAnsi"/>
          <w:sz w:val="22"/>
          <w:szCs w:val="22"/>
        </w:rPr>
        <w:t xml:space="preserve">, </w:t>
      </w:r>
      <w:r>
        <w:rPr>
          <w:rFonts w:asciiTheme="minorHAnsi" w:hAnsiTheme="minorHAnsi" w:cstheme="minorHAnsi"/>
          <w:sz w:val="22"/>
          <w:szCs w:val="22"/>
        </w:rPr>
        <w:t xml:space="preserve">le corresponde al </w:t>
      </w:r>
      <w:r w:rsidRPr="00300844">
        <w:rPr>
          <w:rFonts w:asciiTheme="minorHAnsi" w:hAnsiTheme="minorHAnsi" w:cstheme="minorHAnsi"/>
          <w:sz w:val="22"/>
          <w:szCs w:val="22"/>
        </w:rPr>
        <w:t>MINEM public</w:t>
      </w:r>
      <w:r>
        <w:rPr>
          <w:rFonts w:asciiTheme="minorHAnsi" w:hAnsiTheme="minorHAnsi" w:cstheme="minorHAnsi"/>
          <w:sz w:val="22"/>
          <w:szCs w:val="22"/>
        </w:rPr>
        <w:t>ar</w:t>
      </w:r>
      <w:r w:rsidRPr="00300844">
        <w:rPr>
          <w:rFonts w:asciiTheme="minorHAnsi" w:hAnsiTheme="minorHAnsi" w:cstheme="minorHAnsi"/>
          <w:sz w:val="22"/>
          <w:szCs w:val="22"/>
        </w:rPr>
        <w:t xml:space="preserve"> los Factores de Aportación y/o Compensación vigentes desde </w:t>
      </w:r>
      <w:r w:rsidRPr="00294829">
        <w:rPr>
          <w:rFonts w:asciiTheme="minorHAnsi" w:hAnsiTheme="minorHAnsi" w:cstheme="minorHAnsi"/>
          <w:sz w:val="22"/>
          <w:szCs w:val="22"/>
        </w:rPr>
        <w:t xml:space="preserve">el </w:t>
      </w:r>
      <w:r>
        <w:rPr>
          <w:rFonts w:asciiTheme="minorHAnsi" w:hAnsiTheme="minorHAnsi" w:cstheme="minorHAnsi"/>
          <w:sz w:val="22"/>
          <w:szCs w:val="22"/>
        </w:rPr>
        <w:t xml:space="preserve">martes </w:t>
      </w:r>
      <w:r w:rsidR="00774F89">
        <w:rPr>
          <w:rFonts w:asciiTheme="minorHAnsi" w:hAnsiTheme="minorHAnsi" w:cstheme="minorHAnsi"/>
          <w:sz w:val="22"/>
          <w:szCs w:val="22"/>
        </w:rPr>
        <w:t>04</w:t>
      </w:r>
      <w:r>
        <w:rPr>
          <w:rFonts w:asciiTheme="minorHAnsi" w:hAnsiTheme="minorHAnsi" w:cstheme="minorHAnsi"/>
          <w:sz w:val="22"/>
          <w:szCs w:val="22"/>
        </w:rPr>
        <w:t xml:space="preserve"> de </w:t>
      </w:r>
      <w:r w:rsidR="00774F89">
        <w:rPr>
          <w:rFonts w:asciiTheme="minorHAnsi" w:hAnsiTheme="minorHAnsi" w:cstheme="minorHAnsi"/>
          <w:sz w:val="22"/>
          <w:szCs w:val="22"/>
        </w:rPr>
        <w:t>junio</w:t>
      </w:r>
      <w:r>
        <w:rPr>
          <w:rFonts w:asciiTheme="minorHAnsi" w:hAnsiTheme="minorHAnsi" w:cstheme="minorHAnsi"/>
          <w:sz w:val="22"/>
          <w:szCs w:val="22"/>
        </w:rPr>
        <w:t xml:space="preserve"> </w:t>
      </w:r>
      <w:r w:rsidRPr="00294829">
        <w:rPr>
          <w:rFonts w:asciiTheme="minorHAnsi" w:hAnsiTheme="minorHAnsi" w:cstheme="minorHAnsi"/>
          <w:sz w:val="22"/>
          <w:szCs w:val="22"/>
        </w:rPr>
        <w:t xml:space="preserve">al </w:t>
      </w:r>
      <w:r w:rsidR="00584936">
        <w:rPr>
          <w:rFonts w:asciiTheme="minorHAnsi" w:hAnsiTheme="minorHAnsi" w:cstheme="minorHAnsi"/>
          <w:sz w:val="22"/>
          <w:szCs w:val="22"/>
        </w:rPr>
        <w:t>jueves</w:t>
      </w:r>
      <w:r w:rsidRPr="00294829">
        <w:rPr>
          <w:rFonts w:asciiTheme="minorHAnsi" w:hAnsiTheme="minorHAnsi" w:cstheme="minorHAnsi"/>
          <w:sz w:val="22"/>
          <w:szCs w:val="22"/>
        </w:rPr>
        <w:t xml:space="preserve"> </w:t>
      </w:r>
      <w:r w:rsidR="00774F89">
        <w:rPr>
          <w:rFonts w:asciiTheme="minorHAnsi" w:hAnsiTheme="minorHAnsi" w:cstheme="minorHAnsi"/>
          <w:sz w:val="22"/>
          <w:szCs w:val="22"/>
        </w:rPr>
        <w:t>06</w:t>
      </w:r>
      <w:r w:rsidRPr="00DE7674">
        <w:rPr>
          <w:rFonts w:asciiTheme="minorHAnsi" w:hAnsiTheme="minorHAnsi" w:cstheme="minorHAnsi"/>
          <w:sz w:val="22"/>
          <w:szCs w:val="22"/>
        </w:rPr>
        <w:t xml:space="preserve"> de</w:t>
      </w:r>
      <w:r w:rsidR="00774F89">
        <w:rPr>
          <w:rFonts w:asciiTheme="minorHAnsi" w:hAnsiTheme="minorHAnsi" w:cstheme="minorHAnsi"/>
          <w:sz w:val="22"/>
          <w:szCs w:val="22"/>
        </w:rPr>
        <w:t xml:space="preserve"> junio</w:t>
      </w:r>
      <w:r w:rsidRPr="00DE7674">
        <w:rPr>
          <w:rFonts w:asciiTheme="minorHAnsi" w:hAnsiTheme="minorHAnsi" w:cstheme="minorHAnsi"/>
          <w:sz w:val="22"/>
          <w:szCs w:val="22"/>
        </w:rPr>
        <w:t xml:space="preserve"> de 202</w:t>
      </w:r>
      <w:r w:rsidR="004573EA" w:rsidRPr="00DE7674">
        <w:rPr>
          <w:rFonts w:asciiTheme="minorHAnsi" w:hAnsiTheme="minorHAnsi" w:cstheme="minorHAnsi"/>
          <w:sz w:val="22"/>
          <w:szCs w:val="22"/>
        </w:rPr>
        <w:t>4</w:t>
      </w:r>
      <w:r w:rsidRPr="00DE7674">
        <w:rPr>
          <w:rFonts w:asciiTheme="minorHAnsi" w:hAnsiTheme="minorHAnsi" w:cstheme="minorHAnsi"/>
          <w:sz w:val="22"/>
          <w:szCs w:val="22"/>
        </w:rPr>
        <w:t>.</w:t>
      </w:r>
    </w:p>
    <w:p w14:paraId="3650E32F" w14:textId="77777777" w:rsidR="00F5266A" w:rsidRDefault="00F5266A" w:rsidP="00F5266A">
      <w:pPr>
        <w:pStyle w:val="Prrafodelista"/>
        <w:rPr>
          <w:rFonts w:asciiTheme="minorHAnsi" w:hAnsiTheme="minorHAnsi" w:cstheme="minorHAnsi"/>
          <w:sz w:val="22"/>
          <w:szCs w:val="22"/>
        </w:rPr>
      </w:pPr>
    </w:p>
    <w:p w14:paraId="555447D2" w14:textId="358D978C" w:rsidR="00557C48" w:rsidRDefault="00F5266A" w:rsidP="00563A6A">
      <w:pPr>
        <w:pStyle w:val="Sangradetextonormal"/>
        <w:numPr>
          <w:ilvl w:val="0"/>
          <w:numId w:val="16"/>
        </w:numPr>
        <w:ind w:left="568" w:hanging="426"/>
        <w:rPr>
          <w:rFonts w:asciiTheme="minorHAnsi" w:hAnsiTheme="minorHAnsi" w:cstheme="minorHAnsi"/>
          <w:sz w:val="22"/>
          <w:szCs w:val="22"/>
        </w:rPr>
      </w:pPr>
      <w:r w:rsidRPr="00A75228">
        <w:rPr>
          <w:rFonts w:asciiTheme="minorHAnsi" w:hAnsiTheme="minorHAnsi" w:cstheme="minorHAnsi"/>
          <w:sz w:val="22"/>
          <w:szCs w:val="22"/>
        </w:rPr>
        <w:t xml:space="preserve">El día </w:t>
      </w:r>
      <w:r w:rsidR="00774F89">
        <w:rPr>
          <w:rFonts w:asciiTheme="minorHAnsi" w:hAnsiTheme="minorHAnsi" w:cstheme="minorHAnsi"/>
          <w:sz w:val="22"/>
          <w:szCs w:val="22"/>
        </w:rPr>
        <w:t>31</w:t>
      </w:r>
      <w:r w:rsidR="00C7098F" w:rsidRPr="00A75228">
        <w:rPr>
          <w:rFonts w:asciiTheme="minorHAnsi" w:hAnsiTheme="minorHAnsi" w:cstheme="minorHAnsi"/>
          <w:sz w:val="22"/>
          <w:szCs w:val="22"/>
        </w:rPr>
        <w:t>.0</w:t>
      </w:r>
      <w:r w:rsidR="00DE7674">
        <w:rPr>
          <w:rFonts w:asciiTheme="minorHAnsi" w:hAnsiTheme="minorHAnsi" w:cstheme="minorHAnsi"/>
          <w:sz w:val="22"/>
          <w:szCs w:val="22"/>
        </w:rPr>
        <w:t>5</w:t>
      </w:r>
      <w:r w:rsidRPr="00A75228">
        <w:rPr>
          <w:rFonts w:asciiTheme="minorHAnsi" w:hAnsiTheme="minorHAnsi" w:cstheme="minorHAnsi"/>
          <w:sz w:val="22"/>
          <w:szCs w:val="22"/>
        </w:rPr>
        <w:t>.202</w:t>
      </w:r>
      <w:r w:rsidR="004573EA" w:rsidRPr="00A75228">
        <w:rPr>
          <w:rFonts w:asciiTheme="minorHAnsi" w:hAnsiTheme="minorHAnsi" w:cstheme="minorHAnsi"/>
          <w:sz w:val="22"/>
          <w:szCs w:val="22"/>
        </w:rPr>
        <w:t>4</w:t>
      </w:r>
      <w:r w:rsidRPr="00A75228">
        <w:rPr>
          <w:rFonts w:asciiTheme="minorHAnsi" w:hAnsiTheme="minorHAnsi" w:cstheme="minorHAnsi"/>
          <w:sz w:val="22"/>
          <w:szCs w:val="22"/>
        </w:rPr>
        <w:t>, P</w:t>
      </w:r>
      <w:r w:rsidR="001D5BE5">
        <w:rPr>
          <w:rFonts w:asciiTheme="minorHAnsi" w:hAnsiTheme="minorHAnsi" w:cstheme="minorHAnsi"/>
          <w:sz w:val="22"/>
          <w:szCs w:val="22"/>
        </w:rPr>
        <w:t>etroperú</w:t>
      </w:r>
      <w:r w:rsidRPr="00A75228">
        <w:rPr>
          <w:rFonts w:asciiTheme="minorHAnsi" w:hAnsiTheme="minorHAnsi" w:cstheme="minorHAnsi"/>
          <w:sz w:val="22"/>
          <w:szCs w:val="22"/>
        </w:rPr>
        <w:t xml:space="preserve"> publicó su lista de precios de venta de combustibles. Se registraron variaciones en los precios de</w:t>
      </w:r>
      <w:r w:rsidR="00A057BA" w:rsidRPr="00A75228">
        <w:rPr>
          <w:rFonts w:asciiTheme="minorHAnsi" w:hAnsiTheme="minorHAnsi" w:cstheme="minorHAnsi"/>
          <w:sz w:val="22"/>
          <w:szCs w:val="22"/>
        </w:rPr>
        <w:t xml:space="preserve"> la Gasolina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10</w:t>
      </w:r>
      <w:r w:rsidR="00A057BA" w:rsidRPr="00A75228">
        <w:rPr>
          <w:rFonts w:asciiTheme="minorHAnsi" w:hAnsiTheme="minorHAnsi" w:cstheme="minorHAnsi"/>
          <w:sz w:val="22"/>
          <w:szCs w:val="22"/>
        </w:rPr>
        <w:t xml:space="preserve"> S/Gln),</w:t>
      </w:r>
      <w:r w:rsidRPr="00A75228">
        <w:rPr>
          <w:rFonts w:asciiTheme="minorHAnsi" w:hAnsiTheme="minorHAnsi" w:cstheme="minorHAnsi"/>
          <w:sz w:val="22"/>
          <w:szCs w:val="22"/>
        </w:rPr>
        <w:t xml:space="preserve"> </w:t>
      </w:r>
      <w:r w:rsidR="00A057BA" w:rsidRPr="00A75228">
        <w:rPr>
          <w:rFonts w:asciiTheme="minorHAnsi" w:hAnsiTheme="minorHAnsi" w:cstheme="minorHAnsi"/>
          <w:sz w:val="22"/>
          <w:szCs w:val="22"/>
        </w:rPr>
        <w:t>Gasolina Regular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1</w:t>
      </w:r>
      <w:r w:rsidR="00584936">
        <w:rPr>
          <w:rFonts w:asciiTheme="minorHAnsi" w:hAnsiTheme="minorHAnsi" w:cstheme="minorHAnsi"/>
          <w:sz w:val="22"/>
          <w:szCs w:val="22"/>
        </w:rPr>
        <w:t>0</w:t>
      </w:r>
      <w:r w:rsidR="00A057BA" w:rsidRPr="00A75228">
        <w:rPr>
          <w:rFonts w:asciiTheme="minorHAnsi" w:hAnsiTheme="minorHAnsi" w:cstheme="minorHAnsi"/>
          <w:sz w:val="22"/>
          <w:szCs w:val="22"/>
        </w:rPr>
        <w:t xml:space="preserve"> S/Gln), Gasohol Premium (</w:t>
      </w:r>
      <w:r w:rsidR="004B78EA">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08</w:t>
      </w:r>
      <w:r w:rsidR="00A057BA" w:rsidRPr="00A75228">
        <w:rPr>
          <w:rFonts w:asciiTheme="minorHAnsi" w:hAnsiTheme="minorHAnsi" w:cstheme="minorHAnsi"/>
          <w:sz w:val="22"/>
          <w:szCs w:val="22"/>
        </w:rPr>
        <w:t xml:space="preserve"> S/Gln), Gasohol Regular (</w:t>
      </w:r>
      <w:r w:rsidR="00FA3CC3">
        <w:rPr>
          <w:rFonts w:asciiTheme="minorHAnsi" w:hAnsiTheme="minorHAnsi" w:cstheme="minorHAnsi"/>
          <w:sz w:val="22"/>
          <w:szCs w:val="22"/>
        </w:rPr>
        <w:t>-</w:t>
      </w:r>
      <w:r w:rsidR="00A057BA" w:rsidRPr="00A75228">
        <w:rPr>
          <w:rFonts w:asciiTheme="minorHAnsi" w:hAnsiTheme="minorHAnsi" w:cstheme="minorHAnsi"/>
          <w:sz w:val="22"/>
          <w:szCs w:val="22"/>
        </w:rPr>
        <w:t>0,</w:t>
      </w:r>
      <w:r w:rsidR="00774F89">
        <w:rPr>
          <w:rFonts w:asciiTheme="minorHAnsi" w:hAnsiTheme="minorHAnsi" w:cstheme="minorHAnsi"/>
          <w:sz w:val="22"/>
          <w:szCs w:val="22"/>
        </w:rPr>
        <w:t>09</w:t>
      </w:r>
      <w:r w:rsidR="00A057BA" w:rsidRPr="00A75228">
        <w:rPr>
          <w:rFonts w:asciiTheme="minorHAnsi" w:hAnsiTheme="minorHAnsi" w:cstheme="minorHAnsi"/>
          <w:sz w:val="22"/>
          <w:szCs w:val="22"/>
        </w:rPr>
        <w:t xml:space="preserve"> S/Gln), </w:t>
      </w:r>
      <w:r w:rsidR="00557C48" w:rsidRPr="00A75228">
        <w:rPr>
          <w:rFonts w:asciiTheme="minorHAnsi" w:hAnsiTheme="minorHAnsi" w:cstheme="minorHAnsi"/>
          <w:sz w:val="22"/>
          <w:szCs w:val="22"/>
        </w:rPr>
        <w:t xml:space="preserve">Diésel B5 </w:t>
      </w:r>
      <w:r w:rsidR="00A057BA" w:rsidRPr="00A75228">
        <w:rPr>
          <w:rFonts w:asciiTheme="minorHAnsi" w:hAnsiTheme="minorHAnsi" w:cstheme="minorHAnsi"/>
          <w:sz w:val="22"/>
          <w:szCs w:val="22"/>
        </w:rPr>
        <w:t>S-50</w:t>
      </w:r>
      <w:r w:rsidR="00557C48" w:rsidRPr="00A75228">
        <w:rPr>
          <w:rFonts w:asciiTheme="minorHAnsi" w:hAnsiTheme="minorHAnsi" w:cstheme="minorHAnsi"/>
          <w:sz w:val="22"/>
          <w:szCs w:val="22"/>
        </w:rPr>
        <w:t xml:space="preserve"> (</w:t>
      </w:r>
      <w:r w:rsidR="00FA3CC3">
        <w:rPr>
          <w:rFonts w:asciiTheme="minorHAnsi" w:hAnsiTheme="minorHAnsi" w:cstheme="minorHAnsi"/>
          <w:sz w:val="22"/>
          <w:szCs w:val="22"/>
        </w:rPr>
        <w:t>-</w:t>
      </w:r>
      <w:r w:rsidR="00557C48" w:rsidRPr="00A75228">
        <w:rPr>
          <w:rFonts w:asciiTheme="minorHAnsi" w:hAnsiTheme="minorHAnsi" w:cstheme="minorHAnsi"/>
          <w:sz w:val="22"/>
          <w:szCs w:val="22"/>
        </w:rPr>
        <w:t>0,</w:t>
      </w:r>
      <w:r w:rsidR="00774F89">
        <w:rPr>
          <w:rFonts w:asciiTheme="minorHAnsi" w:hAnsiTheme="minorHAnsi" w:cstheme="minorHAnsi"/>
          <w:sz w:val="22"/>
          <w:szCs w:val="22"/>
        </w:rPr>
        <w:t>74</w:t>
      </w:r>
      <w:r w:rsidR="00557C48" w:rsidRPr="00A75228">
        <w:rPr>
          <w:rFonts w:asciiTheme="minorHAnsi" w:hAnsiTheme="minorHAnsi" w:cstheme="minorHAnsi"/>
          <w:sz w:val="22"/>
          <w:szCs w:val="22"/>
        </w:rPr>
        <w:t xml:space="preserve"> S/Gln)</w:t>
      </w:r>
      <w:r w:rsidR="00246F93">
        <w:rPr>
          <w:rFonts w:asciiTheme="minorHAnsi" w:hAnsiTheme="minorHAnsi" w:cstheme="minorHAnsi"/>
          <w:sz w:val="22"/>
          <w:szCs w:val="22"/>
        </w:rPr>
        <w:t xml:space="preserve"> y los residuales R6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774F89">
        <w:rPr>
          <w:rFonts w:asciiTheme="minorHAnsi" w:hAnsiTheme="minorHAnsi" w:cstheme="minorHAnsi"/>
          <w:sz w:val="22"/>
          <w:szCs w:val="22"/>
        </w:rPr>
        <w:t>05</w:t>
      </w:r>
      <w:r w:rsidR="00246F93" w:rsidRPr="00A75228">
        <w:rPr>
          <w:rFonts w:asciiTheme="minorHAnsi" w:hAnsiTheme="minorHAnsi" w:cstheme="minorHAnsi"/>
          <w:sz w:val="22"/>
          <w:szCs w:val="22"/>
        </w:rPr>
        <w:t xml:space="preserve"> S/Gln)</w:t>
      </w:r>
      <w:r w:rsidR="00246F93">
        <w:rPr>
          <w:rFonts w:asciiTheme="minorHAnsi" w:hAnsiTheme="minorHAnsi" w:cstheme="minorHAnsi"/>
          <w:sz w:val="22"/>
          <w:szCs w:val="22"/>
        </w:rPr>
        <w:t xml:space="preserve"> y R500 </w:t>
      </w:r>
      <w:r w:rsidR="00246F93" w:rsidRPr="00A75228">
        <w:rPr>
          <w:rFonts w:asciiTheme="minorHAnsi" w:hAnsiTheme="minorHAnsi" w:cstheme="minorHAnsi"/>
          <w:sz w:val="22"/>
          <w:szCs w:val="22"/>
        </w:rPr>
        <w:t>(</w:t>
      </w:r>
      <w:r w:rsidR="00A16F9F">
        <w:rPr>
          <w:rFonts w:asciiTheme="minorHAnsi" w:hAnsiTheme="minorHAnsi" w:cstheme="minorHAnsi"/>
          <w:sz w:val="22"/>
          <w:szCs w:val="22"/>
        </w:rPr>
        <w:t>-</w:t>
      </w:r>
      <w:r w:rsidR="00246F93" w:rsidRPr="00A75228">
        <w:rPr>
          <w:rFonts w:asciiTheme="minorHAnsi" w:hAnsiTheme="minorHAnsi" w:cstheme="minorHAnsi"/>
          <w:sz w:val="22"/>
          <w:szCs w:val="22"/>
        </w:rPr>
        <w:t>0,</w:t>
      </w:r>
      <w:r w:rsidR="00774F89">
        <w:rPr>
          <w:rFonts w:asciiTheme="minorHAnsi" w:hAnsiTheme="minorHAnsi" w:cstheme="minorHAnsi"/>
          <w:sz w:val="22"/>
          <w:szCs w:val="22"/>
        </w:rPr>
        <w:t>0</w:t>
      </w:r>
      <w:r w:rsidR="00584936">
        <w:rPr>
          <w:rFonts w:asciiTheme="minorHAnsi" w:hAnsiTheme="minorHAnsi" w:cstheme="minorHAnsi"/>
          <w:sz w:val="22"/>
          <w:szCs w:val="22"/>
        </w:rPr>
        <w:t>5</w:t>
      </w:r>
      <w:r w:rsidR="00246F93" w:rsidRPr="00A75228">
        <w:rPr>
          <w:rFonts w:asciiTheme="minorHAnsi" w:hAnsiTheme="minorHAnsi" w:cstheme="minorHAnsi"/>
          <w:sz w:val="22"/>
          <w:szCs w:val="22"/>
        </w:rPr>
        <w:t xml:space="preserve"> S/Gln)</w:t>
      </w:r>
      <w:r w:rsidR="00FA3CC3" w:rsidRPr="00774F89">
        <w:rPr>
          <w:rFonts w:asciiTheme="minorHAnsi" w:hAnsiTheme="minorHAnsi" w:cstheme="minorHAnsi"/>
          <w:sz w:val="22"/>
          <w:szCs w:val="22"/>
        </w:rPr>
        <w:t>.</w:t>
      </w:r>
      <w:r w:rsidR="00774F89" w:rsidRPr="00774F89">
        <w:rPr>
          <w:rFonts w:asciiTheme="minorHAnsi" w:hAnsiTheme="minorHAnsi" w:cstheme="minorHAnsi"/>
          <w:sz w:val="22"/>
          <w:szCs w:val="22"/>
        </w:rPr>
        <w:t xml:space="preserve">  </w:t>
      </w:r>
      <w:r w:rsidR="00774F89">
        <w:rPr>
          <w:rFonts w:asciiTheme="minorHAnsi" w:hAnsiTheme="minorHAnsi" w:cstheme="minorHAnsi"/>
          <w:sz w:val="22"/>
          <w:szCs w:val="22"/>
        </w:rPr>
        <w:t>El 01.06.2024 se publicó una nueva lista, en la que se registró variación en el precio del GLP</w:t>
      </w:r>
      <w:r w:rsidR="00774F89">
        <w:rPr>
          <w:rFonts w:asciiTheme="minorHAnsi" w:hAnsiTheme="minorHAnsi" w:cstheme="minorHAnsi"/>
          <w:sz w:val="22"/>
          <w:szCs w:val="22"/>
        </w:rPr>
        <w:t>-E</w:t>
      </w:r>
      <w:r w:rsidR="00774F89">
        <w:rPr>
          <w:rFonts w:asciiTheme="minorHAnsi" w:hAnsiTheme="minorHAnsi" w:cstheme="minorHAnsi"/>
          <w:sz w:val="22"/>
          <w:szCs w:val="22"/>
        </w:rPr>
        <w:t xml:space="preserve"> (-0</w:t>
      </w:r>
      <w:r w:rsidR="00774F89">
        <w:rPr>
          <w:rFonts w:asciiTheme="minorHAnsi" w:hAnsiTheme="minorHAnsi" w:cstheme="minorHAnsi"/>
          <w:sz w:val="22"/>
          <w:szCs w:val="22"/>
        </w:rPr>
        <w:t>,</w:t>
      </w:r>
      <w:r w:rsidR="00774F89">
        <w:rPr>
          <w:rFonts w:asciiTheme="minorHAnsi" w:hAnsiTheme="minorHAnsi" w:cstheme="minorHAnsi"/>
          <w:sz w:val="22"/>
          <w:szCs w:val="22"/>
        </w:rPr>
        <w:t>13 S/kg).</w:t>
      </w:r>
    </w:p>
    <w:p w14:paraId="1A58C23B" w14:textId="12D59679" w:rsidR="004B78EA" w:rsidRDefault="004B78EA" w:rsidP="004B78EA">
      <w:pPr>
        <w:pStyle w:val="Prrafodelista"/>
        <w:rPr>
          <w:rFonts w:asciiTheme="minorHAnsi" w:hAnsiTheme="minorHAnsi" w:cstheme="minorHAnsi"/>
          <w:sz w:val="22"/>
          <w:szCs w:val="22"/>
        </w:rPr>
      </w:pPr>
    </w:p>
    <w:p w14:paraId="26FA6CF3" w14:textId="70325EF5" w:rsidR="00DE7674" w:rsidRDefault="00DE7674" w:rsidP="004B78EA">
      <w:pPr>
        <w:pStyle w:val="Prrafodelista"/>
        <w:rPr>
          <w:rFonts w:asciiTheme="minorHAnsi" w:hAnsiTheme="minorHAnsi" w:cstheme="minorHAnsi"/>
          <w:sz w:val="22"/>
          <w:szCs w:val="22"/>
        </w:rPr>
      </w:pPr>
    </w:p>
    <w:p w14:paraId="3B70CE23" w14:textId="77777777" w:rsidR="00DE7674" w:rsidRDefault="00DE7674" w:rsidP="00500CF0">
      <w:pPr>
        <w:pStyle w:val="Prrafodelista"/>
        <w:rPr>
          <w:rFonts w:asciiTheme="minorHAnsi" w:hAnsiTheme="minorHAnsi" w:cstheme="minorHAnsi"/>
          <w:sz w:val="22"/>
          <w:szCs w:val="22"/>
        </w:rPr>
      </w:pPr>
    </w:p>
    <w:p w14:paraId="079A93BE" w14:textId="77777777" w:rsidR="00A16F9F" w:rsidRDefault="00A16F9F" w:rsidP="00500CF0">
      <w:pPr>
        <w:pStyle w:val="Prrafodelista"/>
        <w:rPr>
          <w:rFonts w:asciiTheme="minorHAnsi" w:hAnsiTheme="minorHAnsi" w:cstheme="minorHAnsi"/>
          <w:sz w:val="22"/>
          <w:szCs w:val="22"/>
        </w:rPr>
      </w:pPr>
    </w:p>
    <w:p w14:paraId="5C19694C" w14:textId="77777777" w:rsidR="00A16F9F" w:rsidRDefault="00A16F9F" w:rsidP="00500CF0">
      <w:pPr>
        <w:pStyle w:val="Prrafodelista"/>
        <w:rPr>
          <w:rFonts w:asciiTheme="minorHAnsi" w:hAnsiTheme="minorHAnsi" w:cstheme="minorHAnsi"/>
          <w:sz w:val="22"/>
          <w:szCs w:val="22"/>
        </w:rPr>
      </w:pPr>
    </w:p>
    <w:p w14:paraId="76727BF0" w14:textId="77777777" w:rsidR="00A16F9F" w:rsidRDefault="00A16F9F" w:rsidP="00500CF0">
      <w:pPr>
        <w:pStyle w:val="Prrafodelista"/>
        <w:rPr>
          <w:rFonts w:asciiTheme="minorHAnsi" w:hAnsiTheme="minorHAnsi" w:cstheme="minorHAnsi"/>
          <w:sz w:val="22"/>
          <w:szCs w:val="22"/>
        </w:rPr>
      </w:pPr>
    </w:p>
    <w:p w14:paraId="06F6E20C" w14:textId="77777777" w:rsidR="00A16F9F" w:rsidRDefault="00A16F9F" w:rsidP="00500CF0">
      <w:pPr>
        <w:pStyle w:val="Prrafodelista"/>
        <w:rPr>
          <w:rFonts w:asciiTheme="minorHAnsi" w:hAnsiTheme="minorHAnsi" w:cstheme="minorHAnsi"/>
          <w:sz w:val="22"/>
          <w:szCs w:val="22"/>
        </w:rPr>
      </w:pPr>
    </w:p>
    <w:p w14:paraId="6FFCA3EC" w14:textId="77777777" w:rsidR="00A16F9F" w:rsidRDefault="00A16F9F" w:rsidP="00500CF0">
      <w:pPr>
        <w:pStyle w:val="Prrafodelista"/>
        <w:rPr>
          <w:rFonts w:asciiTheme="minorHAnsi" w:hAnsiTheme="minorHAnsi" w:cstheme="minorHAnsi"/>
          <w:sz w:val="22"/>
          <w:szCs w:val="22"/>
        </w:rPr>
      </w:pPr>
    </w:p>
    <w:p w14:paraId="35AB8ABC" w14:textId="77777777" w:rsidR="00A16F9F" w:rsidRDefault="00A16F9F" w:rsidP="00500CF0">
      <w:pPr>
        <w:pStyle w:val="Prrafodelista"/>
        <w:rPr>
          <w:rFonts w:asciiTheme="minorHAnsi" w:hAnsiTheme="minorHAnsi" w:cstheme="minorHAnsi"/>
          <w:sz w:val="22"/>
          <w:szCs w:val="22"/>
        </w:rPr>
      </w:pPr>
    </w:p>
    <w:p w14:paraId="4D4C4573" w14:textId="77777777" w:rsidR="00A16F9F" w:rsidRDefault="00A16F9F" w:rsidP="00500CF0">
      <w:pPr>
        <w:pStyle w:val="Prrafodelista"/>
        <w:rPr>
          <w:rFonts w:asciiTheme="minorHAnsi" w:hAnsiTheme="minorHAnsi" w:cstheme="minorHAnsi"/>
          <w:sz w:val="22"/>
          <w:szCs w:val="22"/>
        </w:rPr>
      </w:pPr>
    </w:p>
    <w:p w14:paraId="6614B7CD" w14:textId="09871523" w:rsidR="00A16F9F" w:rsidRDefault="00A16F9F" w:rsidP="00500CF0">
      <w:pPr>
        <w:pStyle w:val="Prrafodelista"/>
        <w:rPr>
          <w:rFonts w:asciiTheme="minorHAnsi" w:hAnsiTheme="minorHAnsi" w:cstheme="minorHAnsi"/>
          <w:sz w:val="22"/>
          <w:szCs w:val="22"/>
        </w:rPr>
      </w:pPr>
    </w:p>
    <w:p w14:paraId="1E42A33A" w14:textId="7D7CB4CB" w:rsidR="00584936" w:rsidRDefault="00584936" w:rsidP="00500CF0">
      <w:pPr>
        <w:pStyle w:val="Prrafodelista"/>
        <w:rPr>
          <w:rFonts w:asciiTheme="minorHAnsi" w:hAnsiTheme="minorHAnsi" w:cstheme="minorHAnsi"/>
          <w:sz w:val="22"/>
          <w:szCs w:val="22"/>
        </w:rPr>
      </w:pPr>
    </w:p>
    <w:p w14:paraId="3430CFF3" w14:textId="4FA66F06" w:rsidR="00584936" w:rsidRDefault="00584936" w:rsidP="00500CF0">
      <w:pPr>
        <w:pStyle w:val="Prrafodelista"/>
        <w:rPr>
          <w:rFonts w:asciiTheme="minorHAnsi" w:hAnsiTheme="minorHAnsi" w:cstheme="minorHAnsi"/>
          <w:sz w:val="22"/>
          <w:szCs w:val="22"/>
        </w:rPr>
      </w:pPr>
    </w:p>
    <w:p w14:paraId="3EFE198A" w14:textId="77777777" w:rsidR="00584936" w:rsidRDefault="00584936" w:rsidP="00500CF0">
      <w:pPr>
        <w:pStyle w:val="Prrafodelista"/>
        <w:rPr>
          <w:rFonts w:asciiTheme="minorHAnsi" w:hAnsiTheme="minorHAnsi" w:cstheme="minorHAnsi"/>
          <w:sz w:val="22"/>
          <w:szCs w:val="22"/>
        </w:rPr>
      </w:pPr>
    </w:p>
    <w:p w14:paraId="712A82DB" w14:textId="77777777" w:rsidR="00A16F9F" w:rsidRDefault="00A16F9F" w:rsidP="00500CF0">
      <w:pPr>
        <w:pStyle w:val="Prrafodelista"/>
        <w:rPr>
          <w:rFonts w:asciiTheme="minorHAnsi" w:hAnsiTheme="minorHAnsi" w:cstheme="minorHAnsi"/>
          <w:sz w:val="22"/>
          <w:szCs w:val="22"/>
        </w:rPr>
      </w:pPr>
    </w:p>
    <w:p w14:paraId="7856B9EC" w14:textId="77777777" w:rsidR="00A16F9F" w:rsidRDefault="00A16F9F" w:rsidP="00500CF0">
      <w:pPr>
        <w:pStyle w:val="Prrafodelista"/>
        <w:rPr>
          <w:rFonts w:asciiTheme="minorHAnsi" w:hAnsiTheme="minorHAnsi" w:cstheme="minorHAnsi"/>
          <w:sz w:val="22"/>
          <w:szCs w:val="22"/>
        </w:rPr>
      </w:pPr>
    </w:p>
    <w:p w14:paraId="7894EBA0" w14:textId="77777777" w:rsidR="00E53D92" w:rsidRDefault="00AF270F" w:rsidP="0004242F">
      <w:pPr>
        <w:pStyle w:val="Textonotapie"/>
        <w:numPr>
          <w:ilvl w:val="0"/>
          <w:numId w:val="3"/>
        </w:numPr>
        <w:tabs>
          <w:tab w:val="left" w:pos="284"/>
          <w:tab w:val="left" w:pos="851"/>
        </w:tabs>
        <w:spacing w:before="0" w:after="0"/>
        <w:ind w:left="0" w:hanging="426"/>
        <w:rPr>
          <w:rFonts w:asciiTheme="minorHAnsi" w:hAnsiTheme="minorHAnsi" w:cstheme="minorHAnsi"/>
          <w:b/>
          <w:sz w:val="24"/>
          <w:szCs w:val="24"/>
        </w:rPr>
      </w:pPr>
      <w:r w:rsidRPr="00E53D92">
        <w:rPr>
          <w:rFonts w:asciiTheme="minorHAnsi" w:hAnsiTheme="minorHAnsi" w:cstheme="minorHAnsi"/>
          <w:b/>
          <w:sz w:val="24"/>
          <w:szCs w:val="24"/>
        </w:rPr>
        <w:t>PRECIOS DE REFERENCIA DE COMBUSTIBLES</w:t>
      </w:r>
    </w:p>
    <w:p w14:paraId="04204015" w14:textId="77777777" w:rsidR="00C02C51" w:rsidRDefault="00C02C51" w:rsidP="00C02C51">
      <w:pPr>
        <w:pStyle w:val="Textonotapie"/>
        <w:tabs>
          <w:tab w:val="left" w:pos="284"/>
          <w:tab w:val="left" w:pos="851"/>
        </w:tabs>
        <w:spacing w:before="0" w:after="0"/>
        <w:rPr>
          <w:rFonts w:asciiTheme="minorHAnsi" w:hAnsiTheme="minorHAnsi" w:cstheme="minorHAnsi"/>
          <w:b/>
          <w:sz w:val="24"/>
          <w:szCs w:val="24"/>
        </w:rPr>
      </w:pPr>
    </w:p>
    <w:p w14:paraId="644708EB" w14:textId="77777777" w:rsidR="00E53D92" w:rsidRPr="00862617" w:rsidRDefault="00E53D92" w:rsidP="0004242F">
      <w:pPr>
        <w:pStyle w:val="Sangradetextonormal"/>
        <w:numPr>
          <w:ilvl w:val="1"/>
          <w:numId w:val="3"/>
        </w:numPr>
        <w:ind w:left="0" w:hanging="426"/>
        <w:rPr>
          <w:rFonts w:asciiTheme="minorHAnsi" w:hAnsiTheme="minorHAnsi" w:cstheme="minorHAnsi"/>
          <w:b/>
          <w:bCs/>
          <w:sz w:val="24"/>
          <w:u w:val="single"/>
        </w:rPr>
      </w:pPr>
      <w:r>
        <w:rPr>
          <w:rFonts w:asciiTheme="minorHAnsi" w:hAnsiTheme="minorHAnsi" w:cstheme="minorHAnsi"/>
          <w:b/>
          <w:bCs/>
          <w:sz w:val="24"/>
          <w:u w:val="single"/>
        </w:rPr>
        <w:t>Procedimiento de Cálcu</w:t>
      </w:r>
      <w:r w:rsidRPr="00862617">
        <w:rPr>
          <w:rFonts w:asciiTheme="minorHAnsi" w:hAnsiTheme="minorHAnsi" w:cstheme="minorHAnsi"/>
          <w:b/>
          <w:bCs/>
          <w:sz w:val="24"/>
          <w:u w:val="single"/>
        </w:rPr>
        <w:t>l</w:t>
      </w:r>
      <w:r>
        <w:rPr>
          <w:rFonts w:asciiTheme="minorHAnsi" w:hAnsiTheme="minorHAnsi" w:cstheme="minorHAnsi"/>
          <w:b/>
          <w:bCs/>
          <w:sz w:val="24"/>
          <w:u w:val="single"/>
        </w:rPr>
        <w:t>o de los Precios de Referencia</w:t>
      </w:r>
      <w:r w:rsidRPr="00862617">
        <w:rPr>
          <w:rFonts w:asciiTheme="minorHAnsi" w:hAnsiTheme="minorHAnsi" w:cstheme="minorHAnsi"/>
          <w:b/>
          <w:bCs/>
          <w:sz w:val="24"/>
          <w:u w:val="single"/>
        </w:rPr>
        <w:t xml:space="preserve"> de Combustibles</w:t>
      </w:r>
    </w:p>
    <w:p w14:paraId="142E0E6B" w14:textId="77777777" w:rsidR="00E53D92" w:rsidRDefault="00E53D92" w:rsidP="00E53D92">
      <w:pPr>
        <w:pStyle w:val="Textonotapie"/>
        <w:tabs>
          <w:tab w:val="left" w:pos="284"/>
          <w:tab w:val="left" w:pos="851"/>
        </w:tabs>
        <w:spacing w:before="0" w:after="0"/>
        <w:ind w:left="720"/>
        <w:rPr>
          <w:rFonts w:asciiTheme="minorHAnsi" w:hAnsiTheme="minorHAnsi" w:cstheme="minorHAnsi"/>
          <w:b/>
          <w:sz w:val="24"/>
          <w:szCs w:val="24"/>
        </w:rPr>
      </w:pPr>
    </w:p>
    <w:p w14:paraId="45EBD9B1" w14:textId="007C7A3D" w:rsidR="00E53D92" w:rsidRDefault="00E53D92" w:rsidP="00E53D92">
      <w:pPr>
        <w:jc w:val="both"/>
        <w:rPr>
          <w:rFonts w:asciiTheme="minorHAnsi" w:hAnsiTheme="minorHAnsi" w:cstheme="minorHAnsi"/>
          <w:sz w:val="22"/>
          <w:szCs w:val="22"/>
        </w:rPr>
      </w:pPr>
      <w:r>
        <w:rPr>
          <w:rFonts w:asciiTheme="minorHAnsi" w:hAnsiTheme="minorHAnsi" w:cstheme="minorHAnsi"/>
          <w:sz w:val="22"/>
          <w:szCs w:val="22"/>
        </w:rPr>
        <w:t>Con fecha</w:t>
      </w:r>
      <w:r w:rsidRPr="003D69FC">
        <w:rPr>
          <w:rFonts w:asciiTheme="minorHAnsi" w:hAnsiTheme="minorHAnsi" w:cstheme="minorHAnsi"/>
          <w:sz w:val="22"/>
          <w:szCs w:val="22"/>
        </w:rPr>
        <w:t xml:space="preserve"> 01.07.2021 se aprobó la Norma “Procedimiento para el Cálculo de los Precios de Referencia de los Combustibles derivados del Petróleo”</w:t>
      </w:r>
      <w:r>
        <w:rPr>
          <w:rFonts w:asciiTheme="minorHAnsi" w:hAnsiTheme="minorHAnsi" w:cstheme="minorHAnsi"/>
          <w:sz w:val="22"/>
          <w:szCs w:val="22"/>
        </w:rPr>
        <w:t xml:space="preserve"> mediante la Resolución del Consejo Directivo de OSINERGMIN </w:t>
      </w:r>
      <w:r w:rsidRPr="003D69FC">
        <w:rPr>
          <w:rFonts w:asciiTheme="minorHAnsi" w:hAnsiTheme="minorHAnsi" w:cstheme="minorHAnsi"/>
          <w:sz w:val="22"/>
          <w:szCs w:val="22"/>
        </w:rPr>
        <w:t>N° 174-2021-OS/CD</w:t>
      </w:r>
      <w:r>
        <w:rPr>
          <w:rFonts w:asciiTheme="minorHAnsi" w:hAnsiTheme="minorHAnsi" w:cstheme="minorHAnsi"/>
          <w:sz w:val="22"/>
          <w:szCs w:val="22"/>
        </w:rPr>
        <w:t>.</w:t>
      </w:r>
      <w:r w:rsidR="00336251">
        <w:rPr>
          <w:rFonts w:asciiTheme="minorHAnsi" w:hAnsiTheme="minorHAnsi" w:cstheme="minorHAnsi"/>
          <w:sz w:val="22"/>
          <w:szCs w:val="22"/>
        </w:rPr>
        <w:t xml:space="preserve"> </w:t>
      </w:r>
      <w:r w:rsidR="00336251" w:rsidRPr="00336251">
        <w:rPr>
          <w:rFonts w:asciiTheme="minorHAnsi" w:hAnsiTheme="minorHAnsi" w:cstheme="minorHAnsi"/>
          <w:sz w:val="22"/>
          <w:szCs w:val="22"/>
        </w:rPr>
        <w:t>Asimismo, con Resolución de Consejo Directivo 127-2023-OS/CD fueron establecidas las últimas modificaciones al mencionado procedimiento.</w:t>
      </w:r>
    </w:p>
    <w:p w14:paraId="040B2555" w14:textId="77777777" w:rsidR="00E53D92" w:rsidRDefault="00E53D92" w:rsidP="00E53D92">
      <w:pPr>
        <w:jc w:val="both"/>
        <w:rPr>
          <w:rFonts w:asciiTheme="minorHAnsi" w:hAnsiTheme="minorHAnsi" w:cstheme="minorHAnsi"/>
          <w:sz w:val="22"/>
          <w:szCs w:val="22"/>
        </w:rPr>
      </w:pPr>
    </w:p>
    <w:p w14:paraId="3AA3F30A" w14:textId="00AA0674"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Los Precios de Referencia (PR) de Combustibles Líquidos determinados por el O</w:t>
      </w:r>
      <w:r>
        <w:rPr>
          <w:rFonts w:asciiTheme="minorHAnsi" w:hAnsiTheme="minorHAnsi" w:cstheme="minorHAnsi"/>
          <w:sz w:val="22"/>
          <w:szCs w:val="22"/>
        </w:rPr>
        <w:t>sinergmin</w:t>
      </w:r>
      <w:r w:rsidRPr="002B3648">
        <w:rPr>
          <w:rFonts w:asciiTheme="minorHAnsi" w:hAnsiTheme="minorHAnsi" w:cstheme="minorHAnsi"/>
          <w:sz w:val="22"/>
          <w:szCs w:val="22"/>
        </w:rPr>
        <w:t xml:space="preserve">, cuya metodología de cálculo se </w:t>
      </w:r>
      <w:r>
        <w:rPr>
          <w:rFonts w:asciiTheme="minorHAnsi" w:hAnsiTheme="minorHAnsi" w:cstheme="minorHAnsi"/>
          <w:sz w:val="22"/>
          <w:szCs w:val="22"/>
        </w:rPr>
        <w:t>grafica en el Anexo N°</w:t>
      </w:r>
      <w:r w:rsidR="00CB12BD">
        <w:rPr>
          <w:rFonts w:asciiTheme="minorHAnsi" w:hAnsiTheme="minorHAnsi" w:cstheme="minorHAnsi"/>
          <w:sz w:val="22"/>
          <w:szCs w:val="22"/>
        </w:rPr>
        <w:t xml:space="preserve"> </w:t>
      </w:r>
      <w:r>
        <w:rPr>
          <w:rFonts w:asciiTheme="minorHAnsi" w:hAnsiTheme="minorHAnsi" w:cstheme="minorHAnsi"/>
          <w:sz w:val="22"/>
          <w:szCs w:val="22"/>
        </w:rPr>
        <w:t>2</w:t>
      </w:r>
      <w:r w:rsidRPr="002B3648">
        <w:rPr>
          <w:rFonts w:asciiTheme="minorHAnsi" w:hAnsiTheme="minorHAnsi" w:cstheme="minorHAnsi"/>
          <w:sz w:val="22"/>
          <w:szCs w:val="22"/>
        </w:rPr>
        <w:t>, tienen como base conceptual lo siguiente:</w:t>
      </w:r>
    </w:p>
    <w:p w14:paraId="3EAF9336" w14:textId="77777777" w:rsidR="00E53D92" w:rsidRDefault="00E53D92" w:rsidP="00E53D92">
      <w:pPr>
        <w:jc w:val="both"/>
        <w:rPr>
          <w:rFonts w:asciiTheme="minorHAnsi" w:hAnsiTheme="minorHAnsi" w:cstheme="minorHAnsi"/>
          <w:sz w:val="22"/>
          <w:szCs w:val="22"/>
        </w:rPr>
      </w:pPr>
    </w:p>
    <w:p w14:paraId="70AF4A84"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Representan costos de eficiencia para la sociedad.</w:t>
      </w:r>
    </w:p>
    <w:p w14:paraId="0FCAAA3C" w14:textId="77777777" w:rsidR="00E53D92" w:rsidRPr="002B3648" w:rsidRDefault="00E53D92" w:rsidP="0004242F">
      <w:pPr>
        <w:numPr>
          <w:ilvl w:val="0"/>
          <w:numId w:val="5"/>
        </w:numPr>
        <w:jc w:val="both"/>
        <w:rPr>
          <w:rFonts w:asciiTheme="minorHAnsi" w:hAnsiTheme="minorHAnsi" w:cstheme="minorHAnsi"/>
          <w:sz w:val="22"/>
          <w:szCs w:val="22"/>
        </w:rPr>
      </w:pPr>
      <w:r>
        <w:rPr>
          <w:rFonts w:asciiTheme="minorHAnsi" w:hAnsiTheme="minorHAnsi" w:cstheme="minorHAnsi"/>
          <w:sz w:val="22"/>
          <w:szCs w:val="22"/>
        </w:rPr>
        <w:t xml:space="preserve">Son los </w:t>
      </w:r>
      <w:r w:rsidRPr="002B3648">
        <w:rPr>
          <w:rFonts w:asciiTheme="minorHAnsi" w:hAnsiTheme="minorHAnsi" w:cstheme="minorHAnsi"/>
          <w:sz w:val="22"/>
          <w:szCs w:val="22"/>
        </w:rPr>
        <w:t>costo</w:t>
      </w:r>
      <w:r>
        <w:rPr>
          <w:rFonts w:asciiTheme="minorHAnsi" w:hAnsiTheme="minorHAnsi" w:cstheme="minorHAnsi"/>
          <w:sz w:val="22"/>
          <w:szCs w:val="22"/>
        </w:rPr>
        <w:t>s</w:t>
      </w:r>
      <w:r w:rsidRPr="002B3648">
        <w:rPr>
          <w:rFonts w:asciiTheme="minorHAnsi" w:hAnsiTheme="minorHAnsi" w:cstheme="minorHAnsi"/>
          <w:sz w:val="22"/>
          <w:szCs w:val="22"/>
        </w:rPr>
        <w:t xml:space="preserve"> de oportunidad que la sociedad tendría que pagar para adquirir un combustible que satisface las exigencias impuestas a los combustibles nacionales.</w:t>
      </w:r>
    </w:p>
    <w:p w14:paraId="6CF17212" w14:textId="77777777" w:rsidR="00E53D92" w:rsidRPr="002B3648" w:rsidRDefault="00E53D92" w:rsidP="0004242F">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Introduce</w:t>
      </w:r>
      <w:r>
        <w:rPr>
          <w:rFonts w:asciiTheme="minorHAnsi" w:hAnsiTheme="minorHAnsi" w:cstheme="minorHAnsi"/>
          <w:sz w:val="22"/>
          <w:szCs w:val="22"/>
        </w:rPr>
        <w:t>n</w:t>
      </w:r>
      <w:r w:rsidRPr="002B3648">
        <w:rPr>
          <w:rFonts w:asciiTheme="minorHAnsi" w:hAnsiTheme="minorHAnsi" w:cstheme="minorHAnsi"/>
          <w:sz w:val="22"/>
          <w:szCs w:val="22"/>
        </w:rPr>
        <w:t xml:space="preserve"> las eficiencias que se obtendrían en un Mercado Competitivo.</w:t>
      </w:r>
    </w:p>
    <w:p w14:paraId="05B2182D" w14:textId="754E108D" w:rsidR="00E53D92" w:rsidRPr="002B3648" w:rsidRDefault="00E53D92" w:rsidP="00523CA0">
      <w:pPr>
        <w:numPr>
          <w:ilvl w:val="0"/>
          <w:numId w:val="5"/>
        </w:numPr>
        <w:jc w:val="both"/>
        <w:rPr>
          <w:rFonts w:asciiTheme="minorHAnsi" w:hAnsiTheme="minorHAnsi" w:cstheme="minorHAnsi"/>
          <w:sz w:val="22"/>
          <w:szCs w:val="22"/>
        </w:rPr>
      </w:pPr>
      <w:r w:rsidRPr="002B3648">
        <w:rPr>
          <w:rFonts w:asciiTheme="minorHAnsi" w:hAnsiTheme="minorHAnsi" w:cstheme="minorHAnsi"/>
          <w:sz w:val="22"/>
          <w:szCs w:val="22"/>
        </w:rPr>
        <w:t>No está limitado al Corto Plazo.</w:t>
      </w:r>
    </w:p>
    <w:p w14:paraId="1C561EBD" w14:textId="77777777" w:rsidR="00E53D92" w:rsidRPr="00E77343" w:rsidRDefault="00E53D92" w:rsidP="0004242F">
      <w:pPr>
        <w:numPr>
          <w:ilvl w:val="0"/>
          <w:numId w:val="5"/>
        </w:numPr>
        <w:jc w:val="both"/>
        <w:rPr>
          <w:rFonts w:asciiTheme="minorHAnsi" w:hAnsiTheme="minorHAnsi" w:cstheme="minorHAnsi"/>
          <w:sz w:val="22"/>
          <w:szCs w:val="22"/>
          <w:lang w:val="es-PE"/>
        </w:rPr>
      </w:pPr>
      <w:r w:rsidRPr="002B3648">
        <w:rPr>
          <w:rFonts w:asciiTheme="minorHAnsi" w:hAnsiTheme="minorHAnsi" w:cstheme="minorHAnsi"/>
          <w:sz w:val="22"/>
          <w:szCs w:val="22"/>
        </w:rPr>
        <w:t>Se usa</w:t>
      </w:r>
      <w:r>
        <w:rPr>
          <w:rFonts w:asciiTheme="minorHAnsi" w:hAnsiTheme="minorHAnsi" w:cstheme="minorHAnsi"/>
          <w:sz w:val="22"/>
          <w:szCs w:val="22"/>
        </w:rPr>
        <w:t>n</w:t>
      </w:r>
      <w:r w:rsidRPr="002B3648">
        <w:rPr>
          <w:rFonts w:asciiTheme="minorHAnsi" w:hAnsiTheme="minorHAnsi" w:cstheme="minorHAnsi"/>
          <w:sz w:val="22"/>
          <w:szCs w:val="22"/>
        </w:rPr>
        <w:t xml:space="preserve"> como referencia en un mercado competitivo. En el Perú los precios se rigen por la Oferta y Demanda (Art. 77° Ley Orgánica de Hidrocarburos</w:t>
      </w:r>
      <w:r w:rsidRPr="002B3648">
        <w:rPr>
          <w:rFonts w:asciiTheme="minorHAnsi" w:hAnsiTheme="minorHAnsi" w:cstheme="minorHAnsi"/>
          <w:color w:val="000066"/>
          <w:sz w:val="22"/>
          <w:szCs w:val="22"/>
          <w:lang w:val="es-PE"/>
        </w:rPr>
        <w:t>).</w:t>
      </w:r>
    </w:p>
    <w:p w14:paraId="2EE5E877" w14:textId="77777777" w:rsidR="00E53D92" w:rsidRDefault="00E53D92" w:rsidP="00E53D92">
      <w:pPr>
        <w:jc w:val="both"/>
        <w:rPr>
          <w:rFonts w:asciiTheme="minorHAnsi" w:hAnsiTheme="minorHAnsi" w:cstheme="minorHAnsi"/>
          <w:color w:val="000066"/>
          <w:sz w:val="22"/>
          <w:szCs w:val="22"/>
          <w:lang w:val="es-PE"/>
        </w:rPr>
      </w:pPr>
    </w:p>
    <w:p w14:paraId="4513F2B9" w14:textId="77777777" w:rsidR="00E53D92" w:rsidRDefault="00E53D92" w:rsidP="00675871">
      <w:pPr>
        <w:jc w:val="both"/>
        <w:rPr>
          <w:rFonts w:asciiTheme="minorHAnsi" w:hAnsiTheme="minorHAnsi" w:cstheme="minorHAnsi"/>
          <w:sz w:val="22"/>
          <w:szCs w:val="22"/>
        </w:rPr>
      </w:pPr>
      <w:r w:rsidRPr="00E77343">
        <w:rPr>
          <w:rFonts w:asciiTheme="minorHAnsi" w:hAnsiTheme="minorHAnsi" w:cstheme="minorHAnsi"/>
          <w:sz w:val="22"/>
          <w:szCs w:val="22"/>
        </w:rPr>
        <w:t>En el Procedimiento se definen dos tipos de precios de referencia: Precio de Referencia de Importación (PR1) y Precio de Referencia de Exportación (PR2)</w:t>
      </w:r>
      <w:r>
        <w:rPr>
          <w:rFonts w:asciiTheme="minorHAnsi" w:hAnsiTheme="minorHAnsi" w:cstheme="minorHAnsi"/>
          <w:sz w:val="22"/>
          <w:szCs w:val="22"/>
        </w:rPr>
        <w:t>. Sin embargo, a la fecha corresponde publicar únicamente los PR1.</w:t>
      </w:r>
      <w:r w:rsidRPr="00E77343">
        <w:rPr>
          <w:rFonts w:asciiTheme="minorHAnsi" w:hAnsiTheme="minorHAnsi" w:cstheme="minorHAnsi"/>
          <w:sz w:val="22"/>
          <w:szCs w:val="22"/>
        </w:rPr>
        <w:t xml:space="preserve"> </w:t>
      </w:r>
    </w:p>
    <w:p w14:paraId="295386B7" w14:textId="77777777" w:rsidR="00E53D92" w:rsidRDefault="00E53D92" w:rsidP="00675871">
      <w:pPr>
        <w:jc w:val="both"/>
        <w:rPr>
          <w:rFonts w:asciiTheme="minorHAnsi" w:hAnsiTheme="minorHAnsi" w:cstheme="minorHAnsi"/>
          <w:sz w:val="22"/>
          <w:szCs w:val="22"/>
        </w:rPr>
      </w:pPr>
    </w:p>
    <w:p w14:paraId="0463D65A" w14:textId="2EC78D66" w:rsidR="00E53D92" w:rsidRDefault="00E53D92" w:rsidP="00675871">
      <w:pPr>
        <w:jc w:val="both"/>
        <w:rPr>
          <w:rFonts w:asciiTheme="minorHAnsi" w:hAnsiTheme="minorHAnsi" w:cstheme="minorHAnsi"/>
          <w:sz w:val="22"/>
          <w:szCs w:val="22"/>
        </w:rPr>
      </w:pPr>
      <w:r w:rsidRPr="002710E1">
        <w:rPr>
          <w:rFonts w:asciiTheme="minorHAnsi" w:hAnsiTheme="minorHAnsi" w:cstheme="minorHAnsi"/>
          <w:sz w:val="22"/>
          <w:szCs w:val="22"/>
        </w:rPr>
        <w:t>Cabe indicar que el Precio de Referencia es un cálculo teórico, y no tiene que coincidir con el precio de realización o precio real de importación</w:t>
      </w:r>
      <w:r>
        <w:rPr>
          <w:rFonts w:asciiTheme="minorHAnsi" w:hAnsiTheme="minorHAnsi" w:cstheme="minorHAnsi"/>
          <w:sz w:val="22"/>
          <w:szCs w:val="22"/>
        </w:rPr>
        <w:t xml:space="preserve"> o exportación</w:t>
      </w:r>
      <w:r w:rsidRPr="002710E1">
        <w:rPr>
          <w:rFonts w:asciiTheme="minorHAnsi" w:hAnsiTheme="minorHAnsi" w:cstheme="minorHAnsi"/>
          <w:sz w:val="22"/>
          <w:szCs w:val="22"/>
        </w:rPr>
        <w:t>.</w:t>
      </w:r>
    </w:p>
    <w:p w14:paraId="1359C019" w14:textId="6B480F2B" w:rsidR="00E53D92" w:rsidRPr="00E77343" w:rsidRDefault="00E53D92" w:rsidP="00E53D92">
      <w:pPr>
        <w:rPr>
          <w:rFonts w:asciiTheme="minorHAnsi" w:hAnsiTheme="minorHAnsi" w:cstheme="minorHAnsi"/>
          <w:b/>
          <w:sz w:val="22"/>
          <w:szCs w:val="22"/>
        </w:rPr>
      </w:pPr>
      <w:r w:rsidRPr="00E77343">
        <w:rPr>
          <w:rFonts w:asciiTheme="minorHAnsi" w:hAnsiTheme="minorHAnsi" w:cstheme="minorHAnsi"/>
          <w:b/>
          <w:sz w:val="22"/>
          <w:szCs w:val="22"/>
        </w:rPr>
        <w:t>Precio de Referencia de Importación (PR1)</w:t>
      </w:r>
    </w:p>
    <w:p w14:paraId="7BA0B472" w14:textId="77777777" w:rsidR="00502C6D" w:rsidRDefault="00502C6D" w:rsidP="00E53D92">
      <w:pPr>
        <w:jc w:val="both"/>
        <w:rPr>
          <w:rFonts w:asciiTheme="minorHAnsi" w:hAnsiTheme="minorHAnsi" w:cstheme="minorHAnsi"/>
          <w:sz w:val="22"/>
          <w:szCs w:val="22"/>
        </w:rPr>
      </w:pPr>
    </w:p>
    <w:p w14:paraId="1744D258" w14:textId="3C07D35D" w:rsidR="00E53D92" w:rsidRDefault="00E53D92" w:rsidP="00E53D92">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1 (PR1): Es el Precio de R</w:t>
      </w:r>
      <w:r w:rsidRPr="002B3648">
        <w:rPr>
          <w:rFonts w:asciiTheme="minorHAnsi" w:hAnsiTheme="minorHAnsi" w:cstheme="minorHAnsi"/>
          <w:sz w:val="22"/>
          <w:szCs w:val="22"/>
        </w:rPr>
        <w:t>efere</w:t>
      </w:r>
      <w:r>
        <w:rPr>
          <w:rFonts w:asciiTheme="minorHAnsi" w:hAnsiTheme="minorHAnsi" w:cstheme="minorHAnsi"/>
          <w:sz w:val="22"/>
          <w:szCs w:val="22"/>
        </w:rPr>
        <w:t>ncia Ex - P</w:t>
      </w:r>
      <w:r w:rsidRPr="002B3648">
        <w:rPr>
          <w:rFonts w:asciiTheme="minorHAnsi" w:hAnsiTheme="minorHAnsi" w:cstheme="minorHAnsi"/>
          <w:sz w:val="22"/>
          <w:szCs w:val="22"/>
        </w:rPr>
        <w:t>lanta sin impuestos, que refleja una operación eficiente d</w:t>
      </w:r>
      <w:r>
        <w:rPr>
          <w:rFonts w:asciiTheme="minorHAnsi" w:hAnsiTheme="minorHAnsi" w:cstheme="minorHAnsi"/>
          <w:sz w:val="22"/>
          <w:szCs w:val="22"/>
        </w:rPr>
        <w:t>e importación desde el mercado relevante. Se determina</w:t>
      </w:r>
      <w:r w:rsidRPr="002B3648">
        <w:rPr>
          <w:rFonts w:asciiTheme="minorHAnsi" w:hAnsiTheme="minorHAnsi" w:cstheme="minorHAnsi"/>
          <w:sz w:val="22"/>
          <w:szCs w:val="22"/>
        </w:rPr>
        <w:t xml:space="preserve"> considerando</w:t>
      </w:r>
      <w:r>
        <w:rPr>
          <w:rFonts w:asciiTheme="minorHAnsi" w:hAnsiTheme="minorHAnsi" w:cstheme="minorHAnsi"/>
          <w:sz w:val="22"/>
          <w:szCs w:val="22"/>
        </w:rPr>
        <w:t xml:space="preserve"> el precio del producto marcador en el mercado relevante con el ajuste de calidad requerido; al cual se le adiciona el </w:t>
      </w:r>
      <w:r w:rsidRPr="002B3648">
        <w:rPr>
          <w:rFonts w:asciiTheme="minorHAnsi" w:hAnsiTheme="minorHAnsi" w:cstheme="minorHAnsi"/>
          <w:sz w:val="22"/>
          <w:szCs w:val="22"/>
        </w:rPr>
        <w:t>f</w:t>
      </w:r>
      <w:r>
        <w:rPr>
          <w:rFonts w:asciiTheme="minorHAnsi" w:hAnsiTheme="minorHAnsi" w:cstheme="minorHAnsi"/>
          <w:sz w:val="22"/>
          <w:szCs w:val="22"/>
        </w:rPr>
        <w:t>lete marítimo, seguro, arancel, gastos de importación, gastos de recepción, almacenamiento y despacho, alícuota y sobreestadías.</w:t>
      </w:r>
    </w:p>
    <w:p w14:paraId="13445BF2" w14:textId="77777777" w:rsidR="00DA0A03" w:rsidRDefault="00DA0A03" w:rsidP="00E53D92">
      <w:pPr>
        <w:jc w:val="both"/>
        <w:rPr>
          <w:rFonts w:asciiTheme="minorHAnsi" w:hAnsiTheme="minorHAnsi" w:cstheme="minorHAnsi"/>
          <w:sz w:val="22"/>
          <w:szCs w:val="22"/>
        </w:rPr>
      </w:pPr>
    </w:p>
    <w:p w14:paraId="111014A3" w14:textId="77777777" w:rsidR="00E53D92" w:rsidRPr="00E77343" w:rsidRDefault="00E53D92" w:rsidP="00E53D92">
      <w:pPr>
        <w:pStyle w:val="xl26"/>
        <w:autoSpaceDE w:val="0"/>
        <w:autoSpaceDN w:val="0"/>
        <w:adjustRightInd w:val="0"/>
        <w:spacing w:before="0" w:beforeAutospacing="0" w:after="0" w:afterAutospacing="0"/>
        <w:rPr>
          <w:rFonts w:asciiTheme="minorHAnsi" w:eastAsia="Times New Roman" w:hAnsiTheme="minorHAnsi" w:cstheme="minorHAnsi"/>
          <w:sz w:val="22"/>
          <w:szCs w:val="22"/>
        </w:rPr>
      </w:pPr>
      <w:r w:rsidRPr="00E77343">
        <w:rPr>
          <w:rFonts w:asciiTheme="minorHAnsi" w:eastAsia="Times New Roman" w:hAnsiTheme="minorHAnsi" w:cstheme="minorHAnsi"/>
          <w:sz w:val="22"/>
          <w:szCs w:val="22"/>
        </w:rPr>
        <w:t>Precio de Referencia de Exportación (PR2)</w:t>
      </w:r>
    </w:p>
    <w:p w14:paraId="70387D96" w14:textId="77777777" w:rsidR="00502C6D" w:rsidRDefault="00502C6D" w:rsidP="00313709">
      <w:pPr>
        <w:jc w:val="both"/>
        <w:rPr>
          <w:rFonts w:asciiTheme="minorHAnsi" w:hAnsiTheme="minorHAnsi" w:cstheme="minorHAnsi"/>
          <w:sz w:val="22"/>
          <w:szCs w:val="22"/>
        </w:rPr>
      </w:pPr>
    </w:p>
    <w:p w14:paraId="5167901B" w14:textId="512BAFD1" w:rsidR="00A6706E" w:rsidRDefault="00E53D92" w:rsidP="00313709">
      <w:pPr>
        <w:jc w:val="both"/>
        <w:rPr>
          <w:rFonts w:asciiTheme="minorHAnsi" w:hAnsiTheme="minorHAnsi" w:cstheme="minorHAnsi"/>
          <w:sz w:val="22"/>
          <w:szCs w:val="22"/>
        </w:rPr>
      </w:pPr>
      <w:r w:rsidRPr="002B3648">
        <w:rPr>
          <w:rFonts w:asciiTheme="minorHAnsi" w:hAnsiTheme="minorHAnsi" w:cstheme="minorHAnsi"/>
          <w:sz w:val="22"/>
          <w:szCs w:val="22"/>
        </w:rPr>
        <w:t>El Preci</w:t>
      </w:r>
      <w:r>
        <w:rPr>
          <w:rFonts w:asciiTheme="minorHAnsi" w:hAnsiTheme="minorHAnsi" w:cstheme="minorHAnsi"/>
          <w:sz w:val="22"/>
          <w:szCs w:val="22"/>
        </w:rPr>
        <w:t>o de Referencia 2 (PR2): Es el P</w:t>
      </w:r>
      <w:r w:rsidRPr="002B3648">
        <w:rPr>
          <w:rFonts w:asciiTheme="minorHAnsi" w:hAnsiTheme="minorHAnsi" w:cstheme="minorHAnsi"/>
          <w:sz w:val="22"/>
          <w:szCs w:val="22"/>
        </w:rPr>
        <w:t>recio FOB que refleja una ope</w:t>
      </w:r>
      <w:r>
        <w:rPr>
          <w:rFonts w:asciiTheme="minorHAnsi" w:hAnsiTheme="minorHAnsi" w:cstheme="minorHAnsi"/>
          <w:sz w:val="22"/>
          <w:szCs w:val="22"/>
        </w:rPr>
        <w:t>ración eficiente de exportación hacia el mercado relevante. Se</w:t>
      </w:r>
      <w:r w:rsidRPr="002B3648">
        <w:rPr>
          <w:rFonts w:asciiTheme="minorHAnsi" w:hAnsiTheme="minorHAnsi" w:cstheme="minorHAnsi"/>
          <w:sz w:val="22"/>
          <w:szCs w:val="22"/>
        </w:rPr>
        <w:t xml:space="preserve"> </w:t>
      </w:r>
      <w:r>
        <w:rPr>
          <w:rFonts w:asciiTheme="minorHAnsi" w:hAnsiTheme="minorHAnsi" w:cstheme="minorHAnsi"/>
          <w:sz w:val="22"/>
          <w:szCs w:val="22"/>
        </w:rPr>
        <w:t>determina en base al precio del producto marcador, al cual se le aplica el ajuste de calidad que corresponda y se le descuenta el costo de transporte y seguro.</w:t>
      </w:r>
    </w:p>
    <w:p w14:paraId="6A6391AA" w14:textId="0E70A1B0" w:rsidR="000264C9" w:rsidRDefault="000264C9" w:rsidP="00313709">
      <w:pPr>
        <w:jc w:val="both"/>
        <w:rPr>
          <w:rFonts w:asciiTheme="minorHAnsi" w:hAnsiTheme="minorHAnsi" w:cstheme="minorHAnsi"/>
          <w:sz w:val="22"/>
          <w:szCs w:val="22"/>
        </w:rPr>
      </w:pPr>
    </w:p>
    <w:p w14:paraId="11F79510" w14:textId="621E3C29" w:rsidR="00246F93" w:rsidRDefault="00246F93" w:rsidP="00313709">
      <w:pPr>
        <w:jc w:val="both"/>
        <w:rPr>
          <w:rFonts w:asciiTheme="minorHAnsi" w:hAnsiTheme="minorHAnsi" w:cstheme="minorHAnsi"/>
          <w:sz w:val="22"/>
          <w:szCs w:val="22"/>
        </w:rPr>
      </w:pPr>
    </w:p>
    <w:p w14:paraId="3CF6D752" w14:textId="64AF4A3D" w:rsidR="00246F93" w:rsidRDefault="00246F93" w:rsidP="00313709">
      <w:pPr>
        <w:jc w:val="both"/>
        <w:rPr>
          <w:rFonts w:asciiTheme="minorHAnsi" w:hAnsiTheme="minorHAnsi" w:cstheme="minorHAnsi"/>
          <w:sz w:val="22"/>
          <w:szCs w:val="22"/>
        </w:rPr>
      </w:pPr>
    </w:p>
    <w:p w14:paraId="33C0041E" w14:textId="686AB356" w:rsidR="00246F93" w:rsidRDefault="00246F93" w:rsidP="00313709">
      <w:pPr>
        <w:jc w:val="both"/>
        <w:rPr>
          <w:rFonts w:asciiTheme="minorHAnsi" w:hAnsiTheme="minorHAnsi" w:cstheme="minorHAnsi"/>
          <w:sz w:val="22"/>
          <w:szCs w:val="22"/>
        </w:rPr>
      </w:pPr>
    </w:p>
    <w:p w14:paraId="606ECC2C" w14:textId="159B9D56" w:rsidR="00246F93" w:rsidRDefault="00246F93" w:rsidP="00313709">
      <w:pPr>
        <w:jc w:val="both"/>
        <w:rPr>
          <w:rFonts w:asciiTheme="minorHAnsi" w:hAnsiTheme="minorHAnsi" w:cstheme="minorHAnsi"/>
          <w:sz w:val="22"/>
          <w:szCs w:val="22"/>
        </w:rPr>
      </w:pPr>
    </w:p>
    <w:p w14:paraId="0DEFAE8F" w14:textId="77777777" w:rsidR="00246F93" w:rsidRDefault="00246F93" w:rsidP="00313709">
      <w:pPr>
        <w:jc w:val="both"/>
        <w:rPr>
          <w:rFonts w:asciiTheme="minorHAnsi" w:hAnsiTheme="minorHAnsi" w:cstheme="minorHAnsi"/>
          <w:sz w:val="22"/>
          <w:szCs w:val="22"/>
        </w:rPr>
      </w:pPr>
    </w:p>
    <w:p w14:paraId="0D104C48" w14:textId="77777777" w:rsidR="00F85D23" w:rsidRPr="00352553" w:rsidRDefault="00F85D23" w:rsidP="00740A03">
      <w:pPr>
        <w:pStyle w:val="Prrafodelista"/>
        <w:keepNext/>
        <w:numPr>
          <w:ilvl w:val="1"/>
          <w:numId w:val="3"/>
        </w:numPr>
        <w:spacing w:after="200" w:line="276" w:lineRule="auto"/>
        <w:ind w:left="0" w:hanging="567"/>
        <w:outlineLvl w:val="1"/>
        <w:rPr>
          <w:rFonts w:ascii="Calibri" w:hAnsi="Calibri" w:cs="Calibri"/>
          <w:b/>
          <w:bCs/>
          <w:iCs/>
          <w:u w:val="single"/>
          <w:lang w:val="es-PE" w:eastAsia="en-US"/>
        </w:rPr>
      </w:pPr>
      <w:r w:rsidRPr="00352553">
        <w:rPr>
          <w:rFonts w:ascii="Calibri" w:hAnsi="Calibri" w:cs="Calibri"/>
          <w:b/>
          <w:bCs/>
          <w:iCs/>
          <w:u w:val="single"/>
          <w:lang w:val="es-PE" w:eastAsia="en-US"/>
        </w:rPr>
        <w:lastRenderedPageBreak/>
        <w:t>Composición de los Precios de Referencia de Importación</w:t>
      </w:r>
      <w:r>
        <w:rPr>
          <w:rFonts w:ascii="Calibri" w:hAnsi="Calibri" w:cs="Calibri"/>
          <w:b/>
          <w:bCs/>
          <w:iCs/>
          <w:u w:val="single"/>
          <w:lang w:val="es-PE" w:eastAsia="en-US"/>
        </w:rPr>
        <w:t xml:space="preserve"> de Combustibles</w:t>
      </w:r>
    </w:p>
    <w:p w14:paraId="454B0BEC" w14:textId="2A604940" w:rsidR="00F85D23" w:rsidRDefault="00F85D23" w:rsidP="00F85D23">
      <w:pPr>
        <w:jc w:val="both"/>
        <w:rPr>
          <w:rFonts w:asciiTheme="minorHAnsi" w:hAnsiTheme="minorHAnsi" w:cstheme="minorHAnsi"/>
          <w:sz w:val="22"/>
          <w:szCs w:val="22"/>
        </w:rPr>
      </w:pPr>
      <w:r w:rsidRPr="00E77343">
        <w:rPr>
          <w:rFonts w:asciiTheme="minorHAnsi" w:hAnsiTheme="minorHAnsi" w:cstheme="minorHAnsi"/>
          <w:sz w:val="22"/>
          <w:szCs w:val="22"/>
        </w:rPr>
        <w:t>El cálculo de cada uno de los componentes de los Precios de Referencia de Importación se realiza siguiendo la metodología detalla</w:t>
      </w:r>
      <w:r>
        <w:rPr>
          <w:rFonts w:asciiTheme="minorHAnsi" w:hAnsiTheme="minorHAnsi" w:cstheme="minorHAnsi"/>
          <w:sz w:val="22"/>
          <w:szCs w:val="22"/>
        </w:rPr>
        <w:t xml:space="preserve">da </w:t>
      </w:r>
      <w:r w:rsidRPr="00E77343">
        <w:rPr>
          <w:rFonts w:asciiTheme="minorHAnsi" w:hAnsiTheme="minorHAnsi" w:cstheme="minorHAnsi"/>
          <w:sz w:val="22"/>
          <w:szCs w:val="22"/>
        </w:rPr>
        <w:t xml:space="preserve">en el </w:t>
      </w:r>
      <w:r>
        <w:rPr>
          <w:rFonts w:asciiTheme="minorHAnsi" w:hAnsiTheme="minorHAnsi" w:cstheme="minorHAnsi"/>
          <w:sz w:val="22"/>
          <w:szCs w:val="22"/>
        </w:rPr>
        <w:t xml:space="preserve">Procedimiento aprobado por la </w:t>
      </w:r>
      <w:r w:rsidRPr="00E77343">
        <w:rPr>
          <w:rFonts w:asciiTheme="minorHAnsi" w:hAnsiTheme="minorHAnsi" w:cstheme="minorHAnsi"/>
          <w:sz w:val="22"/>
          <w:szCs w:val="22"/>
        </w:rPr>
        <w:t>Resolución Osinergmin 174-2021-OS/CD</w:t>
      </w:r>
      <w:r>
        <w:rPr>
          <w:rStyle w:val="Refdenotaalpie"/>
          <w:rFonts w:asciiTheme="minorHAnsi" w:hAnsiTheme="minorHAnsi" w:cstheme="minorHAnsi"/>
          <w:sz w:val="22"/>
          <w:szCs w:val="22"/>
        </w:rPr>
        <w:footnoteReference w:id="3"/>
      </w:r>
      <w:r>
        <w:rPr>
          <w:rFonts w:asciiTheme="minorHAnsi" w:hAnsiTheme="minorHAnsi" w:cstheme="minorHAnsi"/>
          <w:sz w:val="22"/>
          <w:szCs w:val="22"/>
        </w:rPr>
        <w:t xml:space="preserve"> y </w:t>
      </w:r>
      <w:r w:rsidR="00506836">
        <w:rPr>
          <w:rFonts w:asciiTheme="minorHAnsi" w:hAnsiTheme="minorHAnsi" w:cstheme="minorHAnsi"/>
          <w:sz w:val="22"/>
          <w:szCs w:val="22"/>
        </w:rPr>
        <w:t xml:space="preserve">sus respectivas modificaciones, establecidas con Resolución de Consejo Directivo </w:t>
      </w:r>
      <w:r w:rsidR="00506836" w:rsidRPr="00E77343">
        <w:rPr>
          <w:rFonts w:asciiTheme="minorHAnsi" w:hAnsiTheme="minorHAnsi" w:cstheme="minorHAnsi"/>
          <w:sz w:val="22"/>
          <w:szCs w:val="22"/>
        </w:rPr>
        <w:t>1</w:t>
      </w:r>
      <w:r w:rsidR="00506836">
        <w:rPr>
          <w:rFonts w:asciiTheme="minorHAnsi" w:hAnsiTheme="minorHAnsi" w:cstheme="minorHAnsi"/>
          <w:sz w:val="22"/>
          <w:szCs w:val="22"/>
        </w:rPr>
        <w:t>27</w:t>
      </w:r>
      <w:r w:rsidR="00506836" w:rsidRPr="00E77343">
        <w:rPr>
          <w:rFonts w:asciiTheme="minorHAnsi" w:hAnsiTheme="minorHAnsi" w:cstheme="minorHAnsi"/>
          <w:sz w:val="22"/>
          <w:szCs w:val="22"/>
        </w:rPr>
        <w:t>-202</w:t>
      </w:r>
      <w:r w:rsidR="00506836">
        <w:rPr>
          <w:rFonts w:asciiTheme="minorHAnsi" w:hAnsiTheme="minorHAnsi" w:cstheme="minorHAnsi"/>
          <w:sz w:val="22"/>
          <w:szCs w:val="22"/>
        </w:rPr>
        <w:t>3</w:t>
      </w:r>
      <w:r w:rsidR="00506836" w:rsidRPr="00E77343">
        <w:rPr>
          <w:rFonts w:asciiTheme="minorHAnsi" w:hAnsiTheme="minorHAnsi" w:cstheme="minorHAnsi"/>
          <w:sz w:val="22"/>
          <w:szCs w:val="22"/>
        </w:rPr>
        <w:t>-OS/CD</w:t>
      </w:r>
      <w:r w:rsidRPr="00E77343">
        <w:rPr>
          <w:rFonts w:asciiTheme="minorHAnsi" w:hAnsiTheme="minorHAnsi" w:cstheme="minorHAnsi"/>
          <w:sz w:val="22"/>
          <w:szCs w:val="22"/>
        </w:rPr>
        <w:t>.</w:t>
      </w:r>
    </w:p>
    <w:p w14:paraId="6B152530" w14:textId="77777777" w:rsidR="00F85D23" w:rsidRDefault="00F85D23" w:rsidP="00F85D23">
      <w:pPr>
        <w:jc w:val="both"/>
        <w:rPr>
          <w:rFonts w:asciiTheme="minorHAnsi" w:hAnsiTheme="minorHAnsi" w:cstheme="minorHAnsi"/>
          <w:sz w:val="22"/>
          <w:szCs w:val="22"/>
        </w:rPr>
      </w:pPr>
    </w:p>
    <w:p w14:paraId="68171A31" w14:textId="78CC9EAA"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De acuerdo con la mencionada metodología, la composición porcentual de los Precios de Referencia de Combustibles, durante e</w:t>
      </w:r>
      <w:r w:rsidR="009D3604">
        <w:rPr>
          <w:rFonts w:asciiTheme="minorHAnsi" w:hAnsiTheme="minorHAnsi" w:cstheme="minorHAnsi"/>
          <w:sz w:val="22"/>
          <w:szCs w:val="22"/>
        </w:rPr>
        <w:t xml:space="preserve">l periodo comprendido entre el </w:t>
      </w:r>
      <w:r w:rsidR="00584936">
        <w:rPr>
          <w:rFonts w:asciiTheme="minorHAnsi" w:hAnsiTheme="minorHAnsi" w:cstheme="minorHAnsi"/>
          <w:sz w:val="22"/>
          <w:szCs w:val="22"/>
        </w:rPr>
        <w:t>1</w:t>
      </w:r>
      <w:r w:rsidR="003752D0">
        <w:rPr>
          <w:rFonts w:asciiTheme="minorHAnsi" w:hAnsiTheme="minorHAnsi" w:cstheme="minorHAnsi"/>
          <w:sz w:val="22"/>
          <w:szCs w:val="22"/>
        </w:rPr>
        <w:t>7</w:t>
      </w:r>
      <w:r w:rsidR="00336251" w:rsidRPr="00336251">
        <w:rPr>
          <w:rFonts w:asciiTheme="minorHAnsi" w:hAnsiTheme="minorHAnsi" w:cstheme="minorHAnsi"/>
          <w:sz w:val="22"/>
          <w:szCs w:val="22"/>
        </w:rPr>
        <w:t>/</w:t>
      </w:r>
      <w:r w:rsidR="001457B2">
        <w:rPr>
          <w:rFonts w:asciiTheme="minorHAnsi" w:hAnsiTheme="minorHAnsi" w:cstheme="minorHAnsi"/>
          <w:sz w:val="22"/>
          <w:szCs w:val="22"/>
        </w:rPr>
        <w:t>0</w:t>
      </w:r>
      <w:r w:rsidR="00A16F9F">
        <w:rPr>
          <w:rFonts w:asciiTheme="minorHAnsi" w:hAnsiTheme="minorHAnsi" w:cstheme="minorHAnsi"/>
          <w:sz w:val="22"/>
          <w:szCs w:val="22"/>
        </w:rPr>
        <w:t>5</w:t>
      </w:r>
      <w:r w:rsidR="00336251" w:rsidRPr="00336251">
        <w:rPr>
          <w:rFonts w:asciiTheme="minorHAnsi" w:hAnsiTheme="minorHAnsi" w:cstheme="minorHAnsi"/>
          <w:sz w:val="22"/>
          <w:szCs w:val="22"/>
        </w:rPr>
        <w:t>/202</w:t>
      </w:r>
      <w:r w:rsidR="003E1433">
        <w:rPr>
          <w:rFonts w:asciiTheme="minorHAnsi" w:hAnsiTheme="minorHAnsi" w:cstheme="minorHAnsi"/>
          <w:sz w:val="22"/>
          <w:szCs w:val="22"/>
        </w:rPr>
        <w:t>4</w:t>
      </w:r>
      <w:r w:rsidR="00336251" w:rsidRPr="00336251">
        <w:rPr>
          <w:rFonts w:asciiTheme="minorHAnsi" w:hAnsiTheme="minorHAnsi" w:cstheme="minorHAnsi"/>
          <w:sz w:val="22"/>
          <w:szCs w:val="22"/>
        </w:rPr>
        <w:t xml:space="preserve"> y el </w:t>
      </w:r>
      <w:r w:rsidR="003752D0">
        <w:rPr>
          <w:rFonts w:asciiTheme="minorHAnsi" w:hAnsiTheme="minorHAnsi" w:cstheme="minorHAnsi"/>
          <w:sz w:val="22"/>
          <w:szCs w:val="22"/>
        </w:rPr>
        <w:t>31</w:t>
      </w:r>
      <w:r w:rsidR="00336251" w:rsidRPr="00336251">
        <w:rPr>
          <w:rFonts w:asciiTheme="minorHAnsi" w:hAnsiTheme="minorHAnsi" w:cstheme="minorHAnsi"/>
          <w:sz w:val="22"/>
          <w:szCs w:val="22"/>
        </w:rPr>
        <w:t>/</w:t>
      </w:r>
      <w:r w:rsidR="0003140D">
        <w:rPr>
          <w:rFonts w:asciiTheme="minorHAnsi" w:hAnsiTheme="minorHAnsi" w:cstheme="minorHAnsi"/>
          <w:sz w:val="22"/>
          <w:szCs w:val="22"/>
        </w:rPr>
        <w:t>0</w:t>
      </w:r>
      <w:r w:rsidR="00DE7674">
        <w:rPr>
          <w:rFonts w:asciiTheme="minorHAnsi" w:hAnsiTheme="minorHAnsi" w:cstheme="minorHAnsi"/>
          <w:sz w:val="22"/>
          <w:szCs w:val="22"/>
        </w:rPr>
        <w:t>5</w:t>
      </w:r>
      <w:r w:rsidR="00336251" w:rsidRPr="00336251">
        <w:rPr>
          <w:rFonts w:asciiTheme="minorHAnsi" w:hAnsiTheme="minorHAnsi" w:cstheme="minorHAnsi"/>
          <w:sz w:val="22"/>
          <w:szCs w:val="22"/>
        </w:rPr>
        <w:t>/202</w:t>
      </w:r>
      <w:r w:rsidR="0003140D">
        <w:rPr>
          <w:rFonts w:asciiTheme="minorHAnsi" w:hAnsiTheme="minorHAnsi" w:cstheme="minorHAnsi"/>
          <w:sz w:val="22"/>
          <w:szCs w:val="22"/>
        </w:rPr>
        <w:t>4</w:t>
      </w:r>
      <w:r>
        <w:rPr>
          <w:rFonts w:asciiTheme="minorHAnsi" w:hAnsiTheme="minorHAnsi" w:cstheme="minorHAnsi"/>
          <w:sz w:val="22"/>
          <w:szCs w:val="22"/>
        </w:rPr>
        <w:t>, se muestra en la Gráfica N°</w:t>
      </w:r>
      <w:r w:rsidR="00E37B1A">
        <w:rPr>
          <w:rFonts w:asciiTheme="minorHAnsi" w:hAnsiTheme="minorHAnsi" w:cstheme="minorHAnsi"/>
          <w:sz w:val="22"/>
          <w:szCs w:val="22"/>
        </w:rPr>
        <w:t xml:space="preserve"> </w:t>
      </w:r>
      <w:r w:rsidR="002C3713">
        <w:rPr>
          <w:rFonts w:asciiTheme="minorHAnsi" w:hAnsiTheme="minorHAnsi" w:cstheme="minorHAnsi"/>
          <w:sz w:val="22"/>
          <w:szCs w:val="22"/>
        </w:rPr>
        <w:t>3</w:t>
      </w:r>
      <w:r>
        <w:rPr>
          <w:rFonts w:asciiTheme="minorHAnsi" w:hAnsiTheme="minorHAnsi" w:cstheme="minorHAnsi"/>
          <w:sz w:val="22"/>
          <w:szCs w:val="22"/>
        </w:rPr>
        <w:t>.</w:t>
      </w:r>
    </w:p>
    <w:p w14:paraId="179751A3" w14:textId="77777777" w:rsidR="00713C2F" w:rsidRDefault="00713C2F" w:rsidP="00A86191">
      <w:pPr>
        <w:rPr>
          <w:rFonts w:ascii="Calibri" w:hAnsi="Calibri" w:cs="Arial"/>
          <w:b/>
          <w:bCs/>
          <w:i/>
          <w:sz w:val="22"/>
          <w:szCs w:val="22"/>
          <w:lang w:eastAsia="es-PE"/>
        </w:rPr>
      </w:pPr>
    </w:p>
    <w:p w14:paraId="086D8755" w14:textId="6A7238EF" w:rsidR="00A86191" w:rsidRPr="00884871" w:rsidRDefault="00A86191" w:rsidP="00A86191">
      <w:pPr>
        <w:rPr>
          <w:rFonts w:ascii="Calibri" w:hAnsi="Calibri" w:cs="Arial"/>
          <w:b/>
          <w:bCs/>
          <w:i/>
          <w:sz w:val="22"/>
          <w:szCs w:val="22"/>
          <w:lang w:eastAsia="es-PE"/>
        </w:rPr>
      </w:pPr>
      <w:r>
        <w:rPr>
          <w:rFonts w:ascii="Calibri" w:hAnsi="Calibri" w:cs="Arial"/>
          <w:b/>
          <w:bCs/>
          <w:i/>
          <w:sz w:val="22"/>
          <w:szCs w:val="22"/>
          <w:lang w:eastAsia="es-PE"/>
        </w:rPr>
        <w:t>GRÁFICA N°</w:t>
      </w:r>
      <w:r w:rsidR="00E37B1A">
        <w:rPr>
          <w:rFonts w:ascii="Calibri" w:hAnsi="Calibri" w:cs="Arial"/>
          <w:b/>
          <w:bCs/>
          <w:i/>
          <w:sz w:val="22"/>
          <w:szCs w:val="22"/>
          <w:lang w:eastAsia="es-PE"/>
        </w:rPr>
        <w:t xml:space="preserve"> </w:t>
      </w:r>
      <w:r w:rsidR="002C3713">
        <w:rPr>
          <w:rFonts w:ascii="Calibri" w:hAnsi="Calibri" w:cs="Arial"/>
          <w:b/>
          <w:bCs/>
          <w:i/>
          <w:sz w:val="22"/>
          <w:szCs w:val="22"/>
          <w:lang w:eastAsia="es-PE"/>
        </w:rPr>
        <w:t>3</w:t>
      </w:r>
      <w:r>
        <w:rPr>
          <w:rFonts w:ascii="Calibri" w:hAnsi="Calibri" w:cs="Arial"/>
          <w:b/>
          <w:bCs/>
          <w:i/>
          <w:sz w:val="22"/>
          <w:szCs w:val="22"/>
          <w:lang w:eastAsia="es-PE"/>
        </w:rPr>
        <w:t xml:space="preserve">: </w:t>
      </w:r>
      <w:r w:rsidRPr="00884871">
        <w:rPr>
          <w:rFonts w:ascii="Calibri" w:hAnsi="Calibri" w:cs="Arial"/>
          <w:b/>
          <w:bCs/>
          <w:i/>
          <w:sz w:val="22"/>
          <w:szCs w:val="22"/>
          <w:lang w:eastAsia="es-PE"/>
        </w:rPr>
        <w:t>Composición del Precio de Referencia</w:t>
      </w:r>
      <w:r>
        <w:rPr>
          <w:rFonts w:ascii="Calibri" w:hAnsi="Calibri" w:cs="Arial"/>
          <w:b/>
          <w:bCs/>
          <w:i/>
          <w:sz w:val="22"/>
          <w:szCs w:val="22"/>
          <w:lang w:eastAsia="es-PE"/>
        </w:rPr>
        <w:t xml:space="preserve"> </w:t>
      </w:r>
      <w:r w:rsidRPr="00884871">
        <w:rPr>
          <w:rFonts w:ascii="Calibri" w:hAnsi="Calibri" w:cs="Arial"/>
          <w:b/>
          <w:bCs/>
          <w:i/>
          <w:sz w:val="22"/>
          <w:szCs w:val="22"/>
          <w:lang w:eastAsia="es-PE"/>
        </w:rPr>
        <w:t>1</w:t>
      </w:r>
      <w:r w:rsidR="007769B8">
        <w:rPr>
          <w:rFonts w:ascii="Calibri" w:hAnsi="Calibri" w:cs="Arial"/>
          <w:b/>
          <w:bCs/>
          <w:i/>
          <w:sz w:val="22"/>
          <w:szCs w:val="22"/>
          <w:lang w:eastAsia="es-PE"/>
        </w:rPr>
        <w:t xml:space="preserve"> (PR1)</w:t>
      </w:r>
      <w:r>
        <w:rPr>
          <w:rFonts w:ascii="Calibri" w:hAnsi="Calibri" w:cs="Arial"/>
          <w:b/>
          <w:bCs/>
          <w:i/>
          <w:sz w:val="22"/>
          <w:szCs w:val="22"/>
          <w:lang w:eastAsia="es-PE"/>
        </w:rPr>
        <w:t xml:space="preserve"> de los Combustibles</w:t>
      </w:r>
      <w:r w:rsidR="00277E11">
        <w:rPr>
          <w:rFonts w:ascii="Calibri" w:hAnsi="Calibri" w:cs="Arial"/>
          <w:b/>
          <w:bCs/>
          <w:i/>
          <w:sz w:val="22"/>
          <w:szCs w:val="22"/>
          <w:lang w:eastAsia="es-PE"/>
        </w:rPr>
        <w:t xml:space="preserve">, al </w:t>
      </w:r>
      <w:r w:rsidR="003752D0">
        <w:rPr>
          <w:rFonts w:ascii="Calibri" w:hAnsi="Calibri" w:cs="Arial"/>
          <w:b/>
          <w:bCs/>
          <w:i/>
          <w:sz w:val="22"/>
          <w:szCs w:val="22"/>
          <w:lang w:eastAsia="es-PE"/>
        </w:rPr>
        <w:t>03</w:t>
      </w:r>
      <w:r>
        <w:rPr>
          <w:rFonts w:ascii="Calibri" w:hAnsi="Calibri" w:cs="Arial"/>
          <w:b/>
          <w:bCs/>
          <w:i/>
          <w:sz w:val="22"/>
          <w:szCs w:val="22"/>
          <w:lang w:eastAsia="es-PE"/>
        </w:rPr>
        <w:t>-</w:t>
      </w:r>
      <w:r w:rsidR="00FF75D8">
        <w:rPr>
          <w:rFonts w:ascii="Calibri" w:hAnsi="Calibri" w:cs="Arial"/>
          <w:b/>
          <w:bCs/>
          <w:i/>
          <w:sz w:val="22"/>
          <w:szCs w:val="22"/>
          <w:lang w:eastAsia="es-PE"/>
        </w:rPr>
        <w:t>0</w:t>
      </w:r>
      <w:r w:rsidR="003752D0">
        <w:rPr>
          <w:rFonts w:ascii="Calibri" w:hAnsi="Calibri" w:cs="Arial"/>
          <w:b/>
          <w:bCs/>
          <w:i/>
          <w:sz w:val="22"/>
          <w:szCs w:val="22"/>
          <w:lang w:eastAsia="es-PE"/>
        </w:rPr>
        <w:t>6</w:t>
      </w:r>
      <w:r w:rsidR="003D6E7D">
        <w:rPr>
          <w:rFonts w:ascii="Calibri" w:hAnsi="Calibri" w:cs="Arial"/>
          <w:b/>
          <w:bCs/>
          <w:i/>
          <w:sz w:val="22"/>
          <w:szCs w:val="22"/>
          <w:lang w:eastAsia="es-PE"/>
        </w:rPr>
        <w:t>-</w:t>
      </w:r>
      <w:r>
        <w:rPr>
          <w:rFonts w:ascii="Calibri" w:hAnsi="Calibri" w:cs="Arial"/>
          <w:b/>
          <w:bCs/>
          <w:i/>
          <w:sz w:val="22"/>
          <w:szCs w:val="22"/>
          <w:lang w:eastAsia="es-PE"/>
        </w:rPr>
        <w:t>2</w:t>
      </w:r>
      <w:r w:rsidR="00FF75D8">
        <w:rPr>
          <w:rFonts w:ascii="Calibri" w:hAnsi="Calibri" w:cs="Arial"/>
          <w:b/>
          <w:bCs/>
          <w:i/>
          <w:sz w:val="22"/>
          <w:szCs w:val="22"/>
          <w:lang w:eastAsia="es-PE"/>
        </w:rPr>
        <w:t>4</w:t>
      </w:r>
      <w:r w:rsidRPr="00884871">
        <w:rPr>
          <w:rFonts w:ascii="Calibri" w:hAnsi="Calibri" w:cs="Arial"/>
          <w:b/>
          <w:bCs/>
          <w:i/>
          <w:sz w:val="22"/>
          <w:szCs w:val="22"/>
          <w:lang w:eastAsia="es-PE"/>
        </w:rPr>
        <w:t>, en %</w:t>
      </w:r>
    </w:p>
    <w:p w14:paraId="5A8F05F6" w14:textId="1EA8C8CE" w:rsidR="00A75228" w:rsidRPr="00CC2A8A" w:rsidRDefault="003752D0" w:rsidP="00336251">
      <w:pPr>
        <w:pBdr>
          <w:top w:val="single" w:sz="4" w:space="1" w:color="auto"/>
          <w:bottom w:val="single" w:sz="4" w:space="1" w:color="auto"/>
        </w:pBdr>
        <w:jc w:val="center"/>
        <w:rPr>
          <w:rFonts w:ascii="Calibri" w:hAnsi="Calibri" w:cs="Arial"/>
          <w:bCs/>
          <w:sz w:val="32"/>
          <w:szCs w:val="32"/>
        </w:rPr>
      </w:pPr>
      <w:r w:rsidRPr="00D15E2D">
        <w:rPr>
          <w:noProof/>
        </w:rPr>
        <w:drawing>
          <wp:inline distT="0" distB="0" distL="0" distR="0" wp14:anchorId="4C2C3CB5" wp14:editId="79ADBEFF">
            <wp:extent cx="5490845" cy="2916555"/>
            <wp:effectExtent l="0" t="0" r="0" b="0"/>
            <wp:docPr id="57768242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7682428" name=""/>
                    <pic:cNvPicPr/>
                  </pic:nvPicPr>
                  <pic:blipFill>
                    <a:blip r:embed="rId17"/>
                    <a:stretch>
                      <a:fillRect/>
                    </a:stretch>
                  </pic:blipFill>
                  <pic:spPr>
                    <a:xfrm>
                      <a:off x="0" y="0"/>
                      <a:ext cx="5490845" cy="2916555"/>
                    </a:xfrm>
                    <a:prstGeom prst="rect">
                      <a:avLst/>
                    </a:prstGeom>
                  </pic:spPr>
                </pic:pic>
              </a:graphicData>
            </a:graphic>
          </wp:inline>
        </w:drawing>
      </w:r>
    </w:p>
    <w:p w14:paraId="6F543033" w14:textId="58F09ADD" w:rsidR="00A86191" w:rsidRPr="001A4F79" w:rsidRDefault="00A86191" w:rsidP="00A86191">
      <w:pPr>
        <w:spacing w:line="360" w:lineRule="auto"/>
        <w:ind w:right="49"/>
        <w:jc w:val="both"/>
        <w:rPr>
          <w:rFonts w:ascii="Arial" w:eastAsia="Calibri" w:hAnsi="Arial" w:cs="Arial"/>
          <w:i/>
          <w:sz w:val="16"/>
          <w:szCs w:val="16"/>
        </w:rPr>
      </w:pPr>
      <w:r w:rsidRPr="001A4F79">
        <w:rPr>
          <w:rFonts w:ascii="Arial" w:eastAsia="Calibri" w:hAnsi="Arial" w:cs="Arial"/>
          <w:b/>
          <w:i/>
          <w:sz w:val="16"/>
          <w:szCs w:val="16"/>
        </w:rPr>
        <w:t>Fuente</w:t>
      </w:r>
      <w:r w:rsidR="00AF3F44">
        <w:rPr>
          <w:rFonts w:ascii="Arial" w:eastAsia="Calibri" w:hAnsi="Arial" w:cs="Arial"/>
          <w:i/>
          <w:sz w:val="16"/>
          <w:szCs w:val="16"/>
        </w:rPr>
        <w:t>: Osinergmin</w:t>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r>
      <w:r>
        <w:rPr>
          <w:rFonts w:ascii="Arial" w:eastAsia="Calibri" w:hAnsi="Arial" w:cs="Arial"/>
          <w:i/>
          <w:sz w:val="16"/>
          <w:szCs w:val="16"/>
        </w:rPr>
        <w:tab/>
        <w:t xml:space="preserve">                                                           Elaboración: Propia</w:t>
      </w:r>
    </w:p>
    <w:p w14:paraId="44B61D3A" w14:textId="77777777" w:rsidR="00DE7674" w:rsidRDefault="00DE7674" w:rsidP="00AF3F44">
      <w:pPr>
        <w:jc w:val="both"/>
        <w:rPr>
          <w:rFonts w:asciiTheme="minorHAnsi" w:hAnsiTheme="minorHAnsi" w:cstheme="minorHAnsi"/>
          <w:sz w:val="22"/>
          <w:szCs w:val="22"/>
        </w:rPr>
      </w:pPr>
    </w:p>
    <w:p w14:paraId="5187EED7" w14:textId="71A0E675" w:rsidR="00AF3F44" w:rsidRDefault="00AF3F44" w:rsidP="00AF3F44">
      <w:pPr>
        <w:jc w:val="both"/>
        <w:rPr>
          <w:rFonts w:asciiTheme="minorHAnsi" w:hAnsiTheme="minorHAnsi" w:cstheme="minorHAnsi"/>
          <w:sz w:val="22"/>
          <w:szCs w:val="22"/>
        </w:rPr>
      </w:pPr>
      <w:r>
        <w:rPr>
          <w:rFonts w:asciiTheme="minorHAnsi" w:hAnsiTheme="minorHAnsi" w:cstheme="minorHAnsi"/>
          <w:sz w:val="22"/>
          <w:szCs w:val="22"/>
        </w:rPr>
        <w:t>El mercado relevante para la determinación de los precios de referencia de las gasolinas, diésel, turbo, petróleos industriales y etanol es la Costa del Golfo de Estados Unidos; y Mont Belvieu para el GLP. El Precio FOB y el Flete desde el mercado relevante al Callao, son los componentes que tienen un mayor impacto en el comportamiento de los precios de referencia de los combustibles.</w:t>
      </w:r>
    </w:p>
    <w:p w14:paraId="7F424ACA" w14:textId="77777777" w:rsidR="00DA0A03" w:rsidRDefault="00DA0A03" w:rsidP="00E812D9">
      <w:pPr>
        <w:jc w:val="both"/>
        <w:rPr>
          <w:rFonts w:asciiTheme="minorHAnsi" w:hAnsiTheme="minorHAnsi" w:cstheme="minorHAnsi"/>
          <w:sz w:val="22"/>
          <w:szCs w:val="22"/>
        </w:rPr>
      </w:pPr>
    </w:p>
    <w:p w14:paraId="100B6F80" w14:textId="4C0C45D8" w:rsidR="00E812D9" w:rsidRDefault="00336251" w:rsidP="00E812D9">
      <w:pPr>
        <w:jc w:val="both"/>
        <w:rPr>
          <w:rFonts w:asciiTheme="minorHAnsi" w:hAnsiTheme="minorHAnsi" w:cstheme="minorHAnsi"/>
          <w:sz w:val="22"/>
          <w:szCs w:val="22"/>
        </w:rPr>
      </w:pPr>
      <w:r w:rsidRPr="00336251">
        <w:rPr>
          <w:rFonts w:asciiTheme="minorHAnsi" w:hAnsiTheme="minorHAnsi" w:cstheme="minorHAnsi"/>
          <w:sz w:val="22"/>
          <w:szCs w:val="22"/>
        </w:rPr>
        <w:t>En la Gráfica N°</w:t>
      </w:r>
      <w:r w:rsidR="0003140D">
        <w:rPr>
          <w:rFonts w:asciiTheme="minorHAnsi" w:hAnsiTheme="minorHAnsi" w:cstheme="minorHAnsi"/>
          <w:sz w:val="22"/>
          <w:szCs w:val="22"/>
        </w:rPr>
        <w:t xml:space="preserve"> </w:t>
      </w:r>
      <w:r w:rsidR="002C3713">
        <w:rPr>
          <w:rFonts w:asciiTheme="minorHAnsi" w:hAnsiTheme="minorHAnsi" w:cstheme="minorHAnsi"/>
          <w:sz w:val="22"/>
          <w:szCs w:val="22"/>
        </w:rPr>
        <w:t>3</w:t>
      </w:r>
      <w:r w:rsidRPr="00336251">
        <w:rPr>
          <w:rFonts w:asciiTheme="minorHAnsi" w:hAnsiTheme="minorHAnsi" w:cstheme="minorHAnsi"/>
          <w:sz w:val="22"/>
          <w:szCs w:val="22"/>
        </w:rPr>
        <w:t xml:space="preserve">, se aprecia que el Precio FOB se ubicó en </w:t>
      </w:r>
      <w:r w:rsidR="001457B2">
        <w:rPr>
          <w:rFonts w:asciiTheme="minorHAnsi" w:hAnsiTheme="minorHAnsi" w:cstheme="minorHAnsi"/>
          <w:sz w:val="22"/>
          <w:szCs w:val="22"/>
        </w:rPr>
        <w:t>7</w:t>
      </w:r>
      <w:r w:rsidR="00246F93">
        <w:rPr>
          <w:rFonts w:asciiTheme="minorHAnsi" w:hAnsiTheme="minorHAnsi" w:cstheme="minorHAnsi"/>
          <w:sz w:val="22"/>
          <w:szCs w:val="22"/>
        </w:rPr>
        <w:t>0</w:t>
      </w:r>
      <w:r w:rsidRPr="00336251">
        <w:rPr>
          <w:rFonts w:asciiTheme="minorHAnsi" w:hAnsiTheme="minorHAnsi" w:cstheme="minorHAnsi"/>
          <w:sz w:val="22"/>
          <w:szCs w:val="22"/>
        </w:rPr>
        <w:t xml:space="preserve">% del precio de referencia del GLP, </w:t>
      </w:r>
      <w:r w:rsidR="00893F38">
        <w:rPr>
          <w:rFonts w:asciiTheme="minorHAnsi" w:hAnsiTheme="minorHAnsi" w:cstheme="minorHAnsi"/>
          <w:sz w:val="22"/>
          <w:szCs w:val="22"/>
        </w:rPr>
        <w:t>8</w:t>
      </w:r>
      <w:r w:rsidR="00A16F9F">
        <w:rPr>
          <w:rFonts w:asciiTheme="minorHAnsi" w:hAnsiTheme="minorHAnsi" w:cstheme="minorHAnsi"/>
          <w:sz w:val="22"/>
          <w:szCs w:val="22"/>
        </w:rPr>
        <w:t>3</w:t>
      </w:r>
      <w:r w:rsidR="00893F38">
        <w:rPr>
          <w:rFonts w:asciiTheme="minorHAnsi" w:hAnsiTheme="minorHAnsi" w:cstheme="minorHAnsi"/>
          <w:sz w:val="22"/>
          <w:szCs w:val="22"/>
        </w:rPr>
        <w:t xml:space="preserve">% y </w:t>
      </w:r>
      <w:r w:rsidRPr="00336251">
        <w:rPr>
          <w:rFonts w:asciiTheme="minorHAnsi" w:hAnsiTheme="minorHAnsi" w:cstheme="minorHAnsi"/>
          <w:sz w:val="22"/>
          <w:szCs w:val="22"/>
        </w:rPr>
        <w:t>9</w:t>
      </w:r>
      <w:r w:rsidR="003752D0">
        <w:rPr>
          <w:rFonts w:asciiTheme="minorHAnsi" w:hAnsiTheme="minorHAnsi" w:cstheme="minorHAnsi"/>
          <w:sz w:val="22"/>
          <w:szCs w:val="22"/>
        </w:rPr>
        <w:t>2</w:t>
      </w:r>
      <w:r w:rsidRPr="00336251">
        <w:rPr>
          <w:rFonts w:asciiTheme="minorHAnsi" w:hAnsiTheme="minorHAnsi" w:cstheme="minorHAnsi"/>
          <w:sz w:val="22"/>
          <w:szCs w:val="22"/>
        </w:rPr>
        <w:t>% del precio de referencia de los biocombustibles</w:t>
      </w:r>
      <w:r w:rsidR="00893F38">
        <w:rPr>
          <w:rFonts w:asciiTheme="minorHAnsi" w:hAnsiTheme="minorHAnsi" w:cstheme="minorHAnsi"/>
          <w:sz w:val="22"/>
          <w:szCs w:val="22"/>
        </w:rPr>
        <w:t xml:space="preserve"> Etanol y Biodiesel B100</w:t>
      </w:r>
      <w:r w:rsidRPr="00336251">
        <w:rPr>
          <w:rFonts w:asciiTheme="minorHAnsi" w:hAnsiTheme="minorHAnsi" w:cstheme="minorHAnsi"/>
          <w:sz w:val="22"/>
          <w:szCs w:val="22"/>
        </w:rPr>
        <w:t xml:space="preserve">, </w:t>
      </w:r>
      <w:r w:rsidR="00F10B96">
        <w:rPr>
          <w:rFonts w:asciiTheme="minorHAnsi" w:hAnsiTheme="minorHAnsi" w:cstheme="minorHAnsi"/>
          <w:sz w:val="22"/>
          <w:szCs w:val="22"/>
        </w:rPr>
        <w:t>8</w:t>
      </w:r>
      <w:r w:rsidR="00FA3CC3">
        <w:rPr>
          <w:rFonts w:asciiTheme="minorHAnsi" w:hAnsiTheme="minorHAnsi" w:cstheme="minorHAnsi"/>
          <w:sz w:val="22"/>
          <w:szCs w:val="22"/>
        </w:rPr>
        <w:t>7</w:t>
      </w:r>
      <w:r w:rsidR="009A567C">
        <w:rPr>
          <w:rFonts w:asciiTheme="minorHAnsi" w:hAnsiTheme="minorHAnsi" w:cstheme="minorHAnsi"/>
          <w:sz w:val="22"/>
          <w:szCs w:val="22"/>
        </w:rPr>
        <w:t>%</w:t>
      </w:r>
      <w:r w:rsidR="00A057BA">
        <w:rPr>
          <w:rFonts w:asciiTheme="minorHAnsi" w:hAnsiTheme="minorHAnsi" w:cstheme="minorHAnsi"/>
          <w:sz w:val="22"/>
          <w:szCs w:val="22"/>
        </w:rPr>
        <w:t xml:space="preserve"> </w:t>
      </w:r>
      <w:r w:rsidRPr="00336251">
        <w:rPr>
          <w:rFonts w:asciiTheme="minorHAnsi" w:hAnsiTheme="minorHAnsi" w:cstheme="minorHAnsi"/>
          <w:sz w:val="22"/>
          <w:szCs w:val="22"/>
        </w:rPr>
        <w:t xml:space="preserve">del precio de los residuales R6 y R500; y fue igual o superior al </w:t>
      </w:r>
      <w:r w:rsidR="008B7962">
        <w:rPr>
          <w:rFonts w:asciiTheme="minorHAnsi" w:hAnsiTheme="minorHAnsi" w:cstheme="minorHAnsi"/>
          <w:sz w:val="22"/>
          <w:szCs w:val="22"/>
        </w:rPr>
        <w:t>8</w:t>
      </w:r>
      <w:r w:rsidR="003752D0">
        <w:rPr>
          <w:rFonts w:asciiTheme="minorHAnsi" w:hAnsiTheme="minorHAnsi" w:cstheme="minorHAnsi"/>
          <w:sz w:val="22"/>
          <w:szCs w:val="22"/>
        </w:rPr>
        <w:t>6</w:t>
      </w:r>
      <w:r w:rsidRPr="00336251">
        <w:rPr>
          <w:rFonts w:asciiTheme="minorHAnsi" w:hAnsiTheme="minorHAnsi" w:cstheme="minorHAnsi"/>
          <w:sz w:val="22"/>
          <w:szCs w:val="22"/>
        </w:rPr>
        <w:t>% del precio de referencia de los demás combustibles. Cabe recalcar que el Precio FOB incluye la tarifa “Terminalling” del GLP; el descuento por concepto de RVO, aplicado al precio de las Gasolinas y Diésel 2; y los ajustes de calidad para las Gasolinas, Diésel y Residual 500.</w:t>
      </w:r>
    </w:p>
    <w:p w14:paraId="17E67E3D" w14:textId="77777777" w:rsidR="00336251" w:rsidRDefault="00336251" w:rsidP="00E812D9">
      <w:pPr>
        <w:jc w:val="both"/>
        <w:rPr>
          <w:rFonts w:asciiTheme="minorHAnsi" w:hAnsiTheme="minorHAnsi" w:cstheme="minorHAnsi"/>
          <w:sz w:val="22"/>
          <w:szCs w:val="22"/>
        </w:rPr>
      </w:pPr>
    </w:p>
    <w:p w14:paraId="67AD74E3" w14:textId="46AA5FD2" w:rsidR="00FC618C" w:rsidRDefault="00E812D9" w:rsidP="00E812D9">
      <w:pPr>
        <w:jc w:val="both"/>
        <w:rPr>
          <w:rFonts w:asciiTheme="minorHAnsi" w:hAnsiTheme="minorHAnsi" w:cstheme="minorHAnsi"/>
          <w:sz w:val="22"/>
          <w:szCs w:val="22"/>
        </w:rPr>
      </w:pPr>
      <w:r>
        <w:rPr>
          <w:rFonts w:asciiTheme="minorHAnsi" w:hAnsiTheme="minorHAnsi" w:cstheme="minorHAnsi"/>
          <w:sz w:val="22"/>
          <w:szCs w:val="22"/>
        </w:rPr>
        <w:lastRenderedPageBreak/>
        <w:t xml:space="preserve">A continuación, se presenta una descripción del cálculo del Precio FOB de los Combustibles, indicando los valores obtenidos para cada uno de sus componentes al </w:t>
      </w:r>
      <w:r w:rsidR="003752D0">
        <w:rPr>
          <w:rFonts w:asciiTheme="minorHAnsi" w:hAnsiTheme="minorHAnsi" w:cstheme="minorHAnsi"/>
          <w:sz w:val="22"/>
          <w:szCs w:val="22"/>
        </w:rPr>
        <w:t>03</w:t>
      </w:r>
      <w:r>
        <w:rPr>
          <w:rFonts w:asciiTheme="minorHAnsi" w:hAnsiTheme="minorHAnsi" w:cstheme="minorHAnsi"/>
          <w:sz w:val="22"/>
          <w:szCs w:val="22"/>
        </w:rPr>
        <w:t xml:space="preserve"> de </w:t>
      </w:r>
      <w:r w:rsidR="003752D0">
        <w:rPr>
          <w:rFonts w:asciiTheme="minorHAnsi" w:hAnsiTheme="minorHAnsi" w:cstheme="minorHAnsi"/>
          <w:sz w:val="22"/>
          <w:szCs w:val="22"/>
        </w:rPr>
        <w:t>juni</w:t>
      </w:r>
      <w:r w:rsidR="001173C5">
        <w:rPr>
          <w:rFonts w:asciiTheme="minorHAnsi" w:hAnsiTheme="minorHAnsi" w:cstheme="minorHAnsi"/>
          <w:sz w:val="22"/>
          <w:szCs w:val="22"/>
        </w:rPr>
        <w:t>o</w:t>
      </w:r>
      <w:r w:rsidR="00C0422E">
        <w:rPr>
          <w:rFonts w:asciiTheme="minorHAnsi" w:hAnsiTheme="minorHAnsi" w:cstheme="minorHAnsi"/>
          <w:sz w:val="22"/>
          <w:szCs w:val="22"/>
        </w:rPr>
        <w:t xml:space="preserve"> de </w:t>
      </w:r>
      <w:r>
        <w:rPr>
          <w:rFonts w:asciiTheme="minorHAnsi" w:hAnsiTheme="minorHAnsi" w:cstheme="minorHAnsi"/>
          <w:sz w:val="22"/>
          <w:szCs w:val="22"/>
        </w:rPr>
        <w:t>202</w:t>
      </w:r>
      <w:r w:rsidR="008B7962">
        <w:rPr>
          <w:rFonts w:asciiTheme="minorHAnsi" w:hAnsiTheme="minorHAnsi" w:cstheme="minorHAnsi"/>
          <w:sz w:val="22"/>
          <w:szCs w:val="22"/>
        </w:rPr>
        <w:t>4</w:t>
      </w:r>
      <w:r w:rsidR="00FC618C">
        <w:rPr>
          <w:rFonts w:asciiTheme="minorHAnsi" w:hAnsiTheme="minorHAnsi" w:cstheme="minorHAnsi"/>
          <w:sz w:val="22"/>
          <w:szCs w:val="22"/>
        </w:rPr>
        <w:t xml:space="preserve">. </w:t>
      </w:r>
    </w:p>
    <w:p w14:paraId="6E940F2B" w14:textId="77777777" w:rsidR="009F7EDF" w:rsidRDefault="009F7EDF" w:rsidP="00E812D9">
      <w:pPr>
        <w:jc w:val="both"/>
        <w:rPr>
          <w:rFonts w:asciiTheme="minorHAnsi" w:hAnsiTheme="minorHAnsi" w:cstheme="minorHAnsi"/>
          <w:sz w:val="22"/>
          <w:szCs w:val="22"/>
        </w:rPr>
      </w:pPr>
    </w:p>
    <w:p w14:paraId="046A2287" w14:textId="2CC42C51" w:rsidR="00FC618C" w:rsidRDefault="00FC618C" w:rsidP="00FC618C">
      <w:pPr>
        <w:jc w:val="both"/>
        <w:rPr>
          <w:rFonts w:asciiTheme="minorHAnsi" w:hAnsiTheme="minorHAnsi" w:cstheme="minorHAnsi"/>
          <w:sz w:val="22"/>
          <w:szCs w:val="22"/>
        </w:rPr>
      </w:pPr>
      <w:r>
        <w:rPr>
          <w:rFonts w:asciiTheme="minorHAnsi" w:hAnsiTheme="minorHAnsi" w:cstheme="minorHAnsi"/>
          <w:sz w:val="22"/>
          <w:szCs w:val="22"/>
        </w:rPr>
        <w:t>Los precios de los productos marcadores, el terminalling, el descuento por RVO y los ajustes de calidad corresponden al promedio de las diez últimas cotizaciones diarias publicadas por Argus.</w:t>
      </w:r>
    </w:p>
    <w:p w14:paraId="57ECB63C" w14:textId="2F180A18" w:rsidR="00713C2F" w:rsidRDefault="00713C2F" w:rsidP="00FC618C">
      <w:pPr>
        <w:jc w:val="both"/>
        <w:rPr>
          <w:rFonts w:asciiTheme="minorHAnsi" w:hAnsiTheme="minorHAnsi" w:cstheme="minorHAnsi"/>
          <w:sz w:val="22"/>
          <w:szCs w:val="22"/>
        </w:rPr>
      </w:pPr>
    </w:p>
    <w:p w14:paraId="31F0E34B" w14:textId="77777777" w:rsidR="00E812D9"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265D45">
        <w:rPr>
          <w:rFonts w:asciiTheme="minorHAnsi" w:hAnsiTheme="minorHAnsi" w:cstheme="minorHAnsi"/>
          <w:b/>
          <w:sz w:val="22"/>
          <w:szCs w:val="22"/>
          <w:u w:val="single"/>
        </w:rPr>
        <w:t>Precio FOB del GLP</w:t>
      </w:r>
    </w:p>
    <w:p w14:paraId="014C77D6" w14:textId="77777777" w:rsidR="00E812D9" w:rsidRPr="00265D45" w:rsidRDefault="00E812D9" w:rsidP="00E812D9">
      <w:pPr>
        <w:pStyle w:val="Prrafodelista"/>
        <w:ind w:left="426" w:hanging="426"/>
        <w:jc w:val="both"/>
        <w:rPr>
          <w:rFonts w:asciiTheme="minorHAnsi" w:hAnsiTheme="minorHAnsi" w:cstheme="minorHAnsi"/>
          <w:b/>
          <w:sz w:val="22"/>
          <w:szCs w:val="22"/>
          <w:u w:val="single"/>
        </w:rPr>
      </w:pPr>
    </w:p>
    <w:p w14:paraId="6D9DFA12" w14:textId="58964126" w:rsidR="00E812D9" w:rsidRDefault="00E812D9" w:rsidP="00E812D9">
      <w:pPr>
        <w:pStyle w:val="Prrafodelista"/>
        <w:numPr>
          <w:ilvl w:val="1"/>
          <w:numId w:val="1"/>
        </w:numPr>
        <w:tabs>
          <w:tab w:val="clear" w:pos="1185"/>
          <w:tab w:val="num" w:pos="993"/>
        </w:tabs>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Fue determinado, considerando la mezcla típica del GLP comercializado en nuestro país, cuya composición propano/butano es de 70%/30%.</w:t>
      </w:r>
    </w:p>
    <w:p w14:paraId="174E3203" w14:textId="77777777" w:rsidR="004B070A" w:rsidRPr="006E3A77" w:rsidRDefault="004B070A" w:rsidP="004B070A">
      <w:pPr>
        <w:pStyle w:val="Prrafodelista"/>
        <w:ind w:left="851"/>
        <w:jc w:val="both"/>
        <w:rPr>
          <w:rFonts w:asciiTheme="minorHAnsi" w:hAnsiTheme="minorHAnsi" w:cstheme="minorHAnsi"/>
          <w:sz w:val="22"/>
          <w:szCs w:val="22"/>
        </w:rPr>
      </w:pPr>
    </w:p>
    <w:p w14:paraId="608F809F" w14:textId="75A0AAF6" w:rsidR="00E812D9" w:rsidRDefault="00E812D9" w:rsidP="00E812D9">
      <w:pPr>
        <w:pStyle w:val="Prrafodelista"/>
        <w:numPr>
          <w:ilvl w:val="1"/>
          <w:numId w:val="1"/>
        </w:numPr>
        <w:tabs>
          <w:tab w:val="clear" w:pos="1185"/>
          <w:tab w:val="num" w:pos="161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Terminalling</w:t>
      </w:r>
      <w:r w:rsidRPr="006E3A77">
        <w:rPr>
          <w:rFonts w:asciiTheme="minorHAnsi" w:hAnsiTheme="minorHAnsi" w:cstheme="minorHAnsi"/>
          <w:sz w:val="22"/>
          <w:szCs w:val="22"/>
        </w:rPr>
        <w:t>: Calculado en base al promedio de las 10 últimas cotizaciones del terminalling de propano refrigerado publicadas</w:t>
      </w:r>
      <w:r>
        <w:rPr>
          <w:rFonts w:asciiTheme="minorHAnsi" w:hAnsiTheme="minorHAnsi" w:cstheme="minorHAnsi"/>
          <w:sz w:val="22"/>
          <w:szCs w:val="22"/>
        </w:rPr>
        <w:t xml:space="preserve"> por Argus</w:t>
      </w:r>
      <w:r w:rsidRPr="006E3A77">
        <w:rPr>
          <w:rFonts w:asciiTheme="minorHAnsi" w:hAnsiTheme="minorHAnsi" w:cstheme="minorHAnsi"/>
          <w:sz w:val="22"/>
          <w:szCs w:val="22"/>
        </w:rPr>
        <w:t xml:space="preserve">, igual a </w:t>
      </w:r>
      <w:r w:rsidR="001173C5">
        <w:rPr>
          <w:rFonts w:asciiTheme="minorHAnsi" w:hAnsiTheme="minorHAnsi" w:cstheme="minorHAnsi"/>
          <w:sz w:val="22"/>
          <w:szCs w:val="22"/>
        </w:rPr>
        <w:t>9</w:t>
      </w:r>
      <w:r w:rsidR="00A75228">
        <w:rPr>
          <w:rFonts w:asciiTheme="minorHAnsi" w:hAnsiTheme="minorHAnsi" w:cstheme="minorHAnsi"/>
          <w:sz w:val="22"/>
          <w:szCs w:val="22"/>
        </w:rPr>
        <w:t>,</w:t>
      </w:r>
      <w:r w:rsidR="00246F93">
        <w:rPr>
          <w:rFonts w:asciiTheme="minorHAnsi" w:hAnsiTheme="minorHAnsi" w:cstheme="minorHAnsi"/>
          <w:sz w:val="22"/>
          <w:szCs w:val="22"/>
        </w:rPr>
        <w:t>8</w:t>
      </w:r>
      <w:r w:rsidR="00ED21AF">
        <w:rPr>
          <w:rFonts w:asciiTheme="minorHAnsi" w:hAnsiTheme="minorHAnsi" w:cstheme="minorHAnsi"/>
          <w:sz w:val="22"/>
          <w:szCs w:val="22"/>
        </w:rPr>
        <w:t>8</w:t>
      </w:r>
      <w:r w:rsidRPr="006E3A77">
        <w:rPr>
          <w:rFonts w:asciiTheme="minorHAnsi" w:hAnsiTheme="minorHAnsi" w:cstheme="minorHAnsi"/>
          <w:sz w:val="22"/>
          <w:szCs w:val="22"/>
        </w:rPr>
        <w:t xml:space="preserve"> cent$/galón. Para obtener la tarifa del terminalling del GLP a temperatura ambiente, usamos la siguiente ecuación: </w:t>
      </w:r>
    </w:p>
    <w:p w14:paraId="2B831379" w14:textId="77777777" w:rsidR="00336251" w:rsidRPr="00336251" w:rsidRDefault="00336251" w:rsidP="00336251">
      <w:pPr>
        <w:pStyle w:val="Prrafodelista"/>
        <w:rPr>
          <w:rFonts w:asciiTheme="minorHAnsi" w:hAnsiTheme="minorHAnsi" w:cstheme="minorHAnsi"/>
          <w:sz w:val="22"/>
          <w:szCs w:val="22"/>
        </w:rPr>
      </w:pPr>
    </w:p>
    <w:p w14:paraId="0E72C27B" w14:textId="1393003F" w:rsidR="00336251" w:rsidRPr="009F7EDF" w:rsidRDefault="00336251" w:rsidP="009F7EDF">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10</w:t>
      </w:r>
      <w:r w:rsidR="00A75228">
        <w:rPr>
          <w:rFonts w:asciiTheme="minorHAnsi" w:hAnsiTheme="minorHAnsi" w:cstheme="minorHAnsi"/>
          <w:sz w:val="22"/>
          <w:szCs w:val="22"/>
          <w:lang w:val="en-US"/>
        </w:rPr>
        <w:t>,</w:t>
      </w:r>
      <w:r w:rsidR="003752D0">
        <w:rPr>
          <w:rFonts w:asciiTheme="minorHAnsi" w:hAnsiTheme="minorHAnsi" w:cstheme="minorHAnsi"/>
          <w:sz w:val="22"/>
          <w:szCs w:val="22"/>
          <w:lang w:val="en-US"/>
        </w:rPr>
        <w:t>40</w:t>
      </w:r>
      <w:r w:rsidR="00A75228">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cent$/Galón* (521</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74</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w:t>
      </w:r>
      <w:r w:rsidR="00397F02">
        <w:rPr>
          <w:rFonts w:asciiTheme="minorHAnsi" w:hAnsiTheme="minorHAnsi" w:cstheme="minorHAnsi"/>
          <w:sz w:val="22"/>
          <w:szCs w:val="22"/>
          <w:lang w:val="en-US"/>
        </w:rPr>
        <w:t xml:space="preserve"> </w:t>
      </w:r>
      <w:r w:rsidRPr="006E3A77">
        <w:rPr>
          <w:rFonts w:asciiTheme="minorHAnsi" w:hAnsiTheme="minorHAnsi" w:cstheme="minorHAnsi"/>
          <w:sz w:val="22"/>
          <w:szCs w:val="22"/>
          <w:lang w:val="en-US"/>
        </w:rPr>
        <w:t>729</w:t>
      </w:r>
      <w:r w:rsidR="00397F02">
        <w:rPr>
          <w:rFonts w:asciiTheme="minorHAnsi" w:hAnsiTheme="minorHAnsi" w:cstheme="minorHAnsi"/>
          <w:sz w:val="22"/>
          <w:szCs w:val="22"/>
          <w:lang w:val="en-US"/>
        </w:rPr>
        <w:t>,</w:t>
      </w:r>
      <w:r w:rsidRPr="006E3A77">
        <w:rPr>
          <w:rFonts w:asciiTheme="minorHAnsi" w:hAnsiTheme="minorHAnsi" w:cstheme="minorHAnsi"/>
          <w:sz w:val="22"/>
          <w:szCs w:val="22"/>
          <w:lang w:val="en-US"/>
        </w:rPr>
        <w:t xml:space="preserve">23) = </w:t>
      </w:r>
      <w:r w:rsidR="00246F93">
        <w:rPr>
          <w:rFonts w:asciiTheme="minorHAnsi" w:hAnsiTheme="minorHAnsi" w:cstheme="minorHAnsi"/>
          <w:sz w:val="22"/>
          <w:szCs w:val="22"/>
          <w:lang w:val="en-US"/>
        </w:rPr>
        <w:t>7</w:t>
      </w:r>
      <w:r w:rsidR="00397F02">
        <w:rPr>
          <w:rFonts w:asciiTheme="minorHAnsi" w:hAnsiTheme="minorHAnsi" w:cstheme="minorHAnsi"/>
          <w:sz w:val="22"/>
          <w:szCs w:val="22"/>
          <w:lang w:val="en-US"/>
        </w:rPr>
        <w:t>,</w:t>
      </w:r>
      <w:r w:rsidR="003752D0">
        <w:rPr>
          <w:rFonts w:asciiTheme="minorHAnsi" w:hAnsiTheme="minorHAnsi" w:cstheme="minorHAnsi"/>
          <w:sz w:val="22"/>
          <w:szCs w:val="22"/>
          <w:lang w:val="en-US"/>
        </w:rPr>
        <w:t>44</w:t>
      </w:r>
      <w:r w:rsidRPr="009F7EDF">
        <w:rPr>
          <w:rFonts w:asciiTheme="minorHAnsi" w:hAnsiTheme="minorHAnsi" w:cstheme="minorHAnsi"/>
          <w:sz w:val="22"/>
          <w:szCs w:val="22"/>
          <w:lang w:val="en-US"/>
        </w:rPr>
        <w:t xml:space="preserve"> cent$/Galón</w:t>
      </w:r>
    </w:p>
    <w:p w14:paraId="639B9F61" w14:textId="2AB730EF" w:rsidR="00336251" w:rsidRPr="006E3A77" w:rsidRDefault="00336251" w:rsidP="00336251">
      <w:pPr>
        <w:pStyle w:val="Prrafodelista"/>
        <w:ind w:left="426" w:hanging="426"/>
        <w:jc w:val="center"/>
        <w:rPr>
          <w:rFonts w:asciiTheme="minorHAnsi" w:hAnsiTheme="minorHAnsi" w:cstheme="minorHAnsi"/>
          <w:sz w:val="22"/>
          <w:szCs w:val="22"/>
          <w:lang w:val="en-US"/>
        </w:rPr>
      </w:pPr>
      <w:r w:rsidRPr="006E3A77">
        <w:rPr>
          <w:rFonts w:asciiTheme="minorHAnsi" w:hAnsiTheme="minorHAnsi" w:cstheme="minorHAnsi"/>
          <w:sz w:val="22"/>
          <w:szCs w:val="22"/>
          <w:lang w:val="en-US"/>
        </w:rPr>
        <w:t xml:space="preserve">T°A = </w:t>
      </w:r>
      <w:r w:rsidR="003752D0">
        <w:rPr>
          <w:rFonts w:asciiTheme="minorHAnsi" w:hAnsiTheme="minorHAnsi" w:cstheme="minorHAnsi"/>
          <w:sz w:val="22"/>
          <w:szCs w:val="22"/>
          <w:lang w:val="en-US"/>
        </w:rPr>
        <w:t>3</w:t>
      </w:r>
      <w:r w:rsidR="00397F02">
        <w:rPr>
          <w:rFonts w:asciiTheme="minorHAnsi" w:hAnsiTheme="minorHAnsi" w:cstheme="minorHAnsi"/>
          <w:sz w:val="22"/>
          <w:szCs w:val="22"/>
          <w:lang w:val="en-US"/>
        </w:rPr>
        <w:t>,</w:t>
      </w:r>
      <w:r w:rsidR="003752D0">
        <w:rPr>
          <w:rFonts w:asciiTheme="minorHAnsi" w:hAnsiTheme="minorHAnsi" w:cstheme="minorHAnsi"/>
          <w:sz w:val="22"/>
          <w:szCs w:val="22"/>
          <w:lang w:val="en-US"/>
        </w:rPr>
        <w:t>13</w:t>
      </w:r>
      <w:r w:rsidRPr="006E3A77">
        <w:rPr>
          <w:rFonts w:asciiTheme="minorHAnsi" w:hAnsiTheme="minorHAnsi" w:cstheme="minorHAnsi"/>
          <w:sz w:val="22"/>
          <w:szCs w:val="22"/>
          <w:lang w:val="en-US"/>
        </w:rPr>
        <w:t xml:space="preserve"> US$/Bl</w:t>
      </w:r>
    </w:p>
    <w:p w14:paraId="6ADD84E1" w14:textId="77777777" w:rsidR="00E60C43" w:rsidRPr="006E3A77" w:rsidRDefault="00E60C43" w:rsidP="00E812D9">
      <w:pPr>
        <w:pStyle w:val="Prrafodelista"/>
        <w:ind w:left="426" w:hanging="426"/>
        <w:jc w:val="center"/>
        <w:rPr>
          <w:rFonts w:asciiTheme="minorHAnsi" w:hAnsiTheme="minorHAnsi" w:cstheme="minorHAnsi"/>
          <w:sz w:val="22"/>
          <w:szCs w:val="22"/>
          <w:lang w:val="en-US"/>
        </w:rPr>
      </w:pPr>
    </w:p>
    <w:p w14:paraId="0DA28FE1"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Precios FOB de las Gasolinas:</w:t>
      </w:r>
    </w:p>
    <w:p w14:paraId="307655E6" w14:textId="77777777" w:rsidR="00E812D9" w:rsidRPr="006E3A77" w:rsidRDefault="00E812D9" w:rsidP="00E812D9">
      <w:pPr>
        <w:ind w:left="426" w:hanging="426"/>
        <w:jc w:val="both"/>
        <w:rPr>
          <w:rFonts w:asciiTheme="minorHAnsi" w:hAnsiTheme="minorHAnsi" w:cstheme="minorHAnsi"/>
          <w:b/>
          <w:sz w:val="22"/>
          <w:szCs w:val="22"/>
          <w:u w:val="single"/>
        </w:rPr>
      </w:pPr>
    </w:p>
    <w:p w14:paraId="46CA2402" w14:textId="2DE1637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Premium</w:t>
      </w:r>
      <w:r w:rsidRPr="006E3A77">
        <w:rPr>
          <w:rFonts w:asciiTheme="minorHAnsi" w:hAnsiTheme="minorHAnsi" w:cstheme="minorHAnsi"/>
          <w:sz w:val="22"/>
          <w:szCs w:val="22"/>
        </w:rPr>
        <w:t xml:space="preserve"> corresponde al precio waterborne sin RVO, calculado a partir de la mezcla de las gasolinas CBOB </w:t>
      </w:r>
      <w:r w:rsidR="00513E2B">
        <w:rPr>
          <w:rFonts w:asciiTheme="minorHAnsi" w:hAnsiTheme="minorHAnsi" w:cstheme="minorHAnsi"/>
          <w:sz w:val="22"/>
          <w:szCs w:val="22"/>
        </w:rPr>
        <w:t>8</w:t>
      </w:r>
      <w:r w:rsidRPr="006E3A77">
        <w:rPr>
          <w:rFonts w:asciiTheme="minorHAnsi" w:hAnsiTheme="minorHAnsi" w:cstheme="minorHAnsi"/>
          <w:sz w:val="22"/>
          <w:szCs w:val="22"/>
        </w:rPr>
        <w:t xml:space="preserve">7 y CBOB 93; mientras que,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 es el precio waterborne sin RVO de la gasolina CBOB 87.</w:t>
      </w:r>
    </w:p>
    <w:p w14:paraId="3AB0FBC2" w14:textId="77777777" w:rsidR="004B070A" w:rsidRPr="006E3A77" w:rsidRDefault="004B070A" w:rsidP="004B070A">
      <w:pPr>
        <w:pStyle w:val="Prrafodelista"/>
        <w:ind w:left="851"/>
        <w:jc w:val="both"/>
        <w:rPr>
          <w:rFonts w:asciiTheme="minorHAnsi" w:hAnsiTheme="minorHAnsi" w:cstheme="minorHAnsi"/>
          <w:sz w:val="22"/>
          <w:szCs w:val="22"/>
        </w:rPr>
      </w:pPr>
    </w:p>
    <w:p w14:paraId="53D43731" w14:textId="0BCB50DE"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Descuento por RVO:</w:t>
      </w:r>
      <w:r w:rsidRPr="006E3A77">
        <w:rPr>
          <w:rFonts w:asciiTheme="minorHAnsi" w:hAnsiTheme="minorHAnsi" w:cstheme="minorHAnsi"/>
          <w:sz w:val="22"/>
          <w:szCs w:val="22"/>
        </w:rPr>
        <w:t xml:space="preserve"> Está incluido en el precio del producto marcador. Su valor asciende en promedio a </w:t>
      </w:r>
      <w:r w:rsidR="00B3115C">
        <w:rPr>
          <w:rFonts w:asciiTheme="minorHAnsi" w:hAnsiTheme="minorHAnsi" w:cstheme="minorHAnsi"/>
          <w:sz w:val="22"/>
          <w:szCs w:val="22"/>
        </w:rPr>
        <w:t>3</w:t>
      </w:r>
      <w:r w:rsidR="00336251">
        <w:rPr>
          <w:rFonts w:asciiTheme="minorHAnsi" w:hAnsiTheme="minorHAnsi" w:cstheme="minorHAnsi"/>
          <w:sz w:val="22"/>
          <w:szCs w:val="22"/>
        </w:rPr>
        <w:t>,</w:t>
      </w:r>
      <w:r w:rsidR="003752D0">
        <w:rPr>
          <w:rFonts w:asciiTheme="minorHAnsi" w:hAnsiTheme="minorHAnsi" w:cstheme="minorHAnsi"/>
          <w:sz w:val="22"/>
          <w:szCs w:val="22"/>
        </w:rPr>
        <w:t>59</w:t>
      </w:r>
      <w:r w:rsidRPr="006E3A77">
        <w:rPr>
          <w:rFonts w:asciiTheme="minorHAnsi" w:hAnsiTheme="minorHAnsi" w:cstheme="minorHAnsi"/>
          <w:sz w:val="22"/>
          <w:szCs w:val="22"/>
        </w:rPr>
        <w:t xml:space="preserve"> US$/Bl.</w:t>
      </w:r>
    </w:p>
    <w:p w14:paraId="35A56D11" w14:textId="77777777" w:rsidR="004B070A" w:rsidRPr="004B070A" w:rsidRDefault="004B070A" w:rsidP="004B070A">
      <w:pPr>
        <w:pStyle w:val="Prrafodelista"/>
        <w:rPr>
          <w:rFonts w:asciiTheme="minorHAnsi" w:hAnsiTheme="minorHAnsi" w:cstheme="minorHAnsi"/>
          <w:sz w:val="22"/>
          <w:szCs w:val="22"/>
        </w:rPr>
      </w:pPr>
    </w:p>
    <w:p w14:paraId="0F56442C" w14:textId="48CABC9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RVP</w:t>
      </w:r>
      <w:r w:rsidRPr="006E3A77">
        <w:rPr>
          <w:rFonts w:asciiTheme="minorHAnsi" w:hAnsiTheme="minorHAnsi" w:cstheme="minorHAnsi"/>
          <w:sz w:val="22"/>
          <w:szCs w:val="22"/>
        </w:rPr>
        <w:t xml:space="preserve">: Se determinó un ajuste de </w:t>
      </w:r>
      <w:r w:rsidR="00C04DD3">
        <w:rPr>
          <w:rFonts w:asciiTheme="minorHAnsi" w:hAnsiTheme="minorHAnsi" w:cstheme="minorHAnsi"/>
          <w:sz w:val="22"/>
          <w:szCs w:val="22"/>
        </w:rPr>
        <w:t>-0</w:t>
      </w:r>
      <w:r w:rsidR="00336251">
        <w:rPr>
          <w:rFonts w:asciiTheme="minorHAnsi" w:hAnsiTheme="minorHAnsi" w:cstheme="minorHAnsi"/>
          <w:sz w:val="22"/>
          <w:szCs w:val="22"/>
        </w:rPr>
        <w:t>,</w:t>
      </w:r>
      <w:r w:rsidR="003752D0">
        <w:rPr>
          <w:rFonts w:asciiTheme="minorHAnsi" w:hAnsiTheme="minorHAnsi" w:cstheme="minorHAnsi"/>
          <w:sz w:val="22"/>
          <w:szCs w:val="22"/>
        </w:rPr>
        <w:t>8</w:t>
      </w:r>
      <w:r w:rsidR="00C04DD3">
        <w:rPr>
          <w:rFonts w:asciiTheme="minorHAnsi" w:hAnsiTheme="minorHAnsi" w:cstheme="minorHAnsi"/>
          <w:sz w:val="22"/>
          <w:szCs w:val="22"/>
        </w:rPr>
        <w:t>9</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w:t>
      </w:r>
      <w:r>
        <w:rPr>
          <w:rFonts w:asciiTheme="minorHAnsi" w:hAnsiTheme="minorHAnsi" w:cstheme="minorHAnsi"/>
          <w:sz w:val="22"/>
          <w:szCs w:val="22"/>
        </w:rPr>
        <w:t xml:space="preserve"> Premium</w:t>
      </w:r>
      <w:r w:rsidRPr="006E3A77">
        <w:rPr>
          <w:rFonts w:asciiTheme="minorHAnsi" w:hAnsiTheme="minorHAnsi" w:cstheme="minorHAnsi"/>
          <w:sz w:val="22"/>
          <w:szCs w:val="22"/>
        </w:rPr>
        <w:t xml:space="preserve"> y un ajuste de </w:t>
      </w:r>
      <w:r w:rsidR="00C04DD3">
        <w:rPr>
          <w:rFonts w:asciiTheme="minorHAnsi" w:hAnsiTheme="minorHAnsi" w:cstheme="minorHAnsi"/>
          <w:sz w:val="22"/>
          <w:szCs w:val="22"/>
        </w:rPr>
        <w:t>-0</w:t>
      </w:r>
      <w:r w:rsidR="00513E2B">
        <w:rPr>
          <w:rFonts w:asciiTheme="minorHAnsi" w:hAnsiTheme="minorHAnsi" w:cstheme="minorHAnsi"/>
          <w:sz w:val="22"/>
          <w:szCs w:val="22"/>
        </w:rPr>
        <w:t>,</w:t>
      </w:r>
      <w:r w:rsidR="00246F93">
        <w:rPr>
          <w:rFonts w:asciiTheme="minorHAnsi" w:hAnsiTheme="minorHAnsi" w:cstheme="minorHAnsi"/>
          <w:sz w:val="22"/>
          <w:szCs w:val="22"/>
        </w:rPr>
        <w:t>7</w:t>
      </w:r>
      <w:r w:rsidR="003752D0">
        <w:rPr>
          <w:rFonts w:asciiTheme="minorHAnsi" w:hAnsiTheme="minorHAnsi" w:cstheme="minorHAnsi"/>
          <w:sz w:val="22"/>
          <w:szCs w:val="22"/>
        </w:rPr>
        <w:t>3</w:t>
      </w:r>
      <w:r w:rsidR="00F91A25">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 xml:space="preserve">asolina </w:t>
      </w:r>
      <w:r>
        <w:rPr>
          <w:rFonts w:asciiTheme="minorHAnsi" w:hAnsiTheme="minorHAnsi" w:cstheme="minorHAnsi"/>
          <w:sz w:val="22"/>
          <w:szCs w:val="22"/>
        </w:rPr>
        <w:t xml:space="preserve">Regular </w:t>
      </w:r>
      <w:r w:rsidRPr="006E3A77">
        <w:rPr>
          <w:rFonts w:asciiTheme="minorHAnsi" w:hAnsiTheme="minorHAnsi" w:cstheme="minorHAnsi"/>
          <w:sz w:val="22"/>
          <w:szCs w:val="22"/>
        </w:rPr>
        <w:t xml:space="preserve">y </w:t>
      </w:r>
      <w:r>
        <w:rPr>
          <w:rFonts w:asciiTheme="minorHAnsi" w:hAnsiTheme="minorHAnsi" w:cstheme="minorHAnsi"/>
          <w:sz w:val="22"/>
          <w:szCs w:val="22"/>
        </w:rPr>
        <w:t xml:space="preserve">la Gasolina de </w:t>
      </w:r>
      <w:r w:rsidRPr="006E3A77">
        <w:rPr>
          <w:rFonts w:asciiTheme="minorHAnsi" w:hAnsiTheme="minorHAnsi" w:cstheme="minorHAnsi"/>
          <w:sz w:val="22"/>
          <w:szCs w:val="22"/>
        </w:rPr>
        <w:t>84 octanos</w:t>
      </w:r>
      <w:r>
        <w:rPr>
          <w:rFonts w:asciiTheme="minorHAnsi" w:hAnsiTheme="minorHAnsi" w:cstheme="minorHAnsi"/>
          <w:sz w:val="22"/>
          <w:szCs w:val="22"/>
        </w:rPr>
        <w:t>.</w:t>
      </w:r>
    </w:p>
    <w:p w14:paraId="05E39B96" w14:textId="77777777" w:rsidR="004B070A" w:rsidRPr="004B070A" w:rsidRDefault="004B070A" w:rsidP="004B070A">
      <w:pPr>
        <w:pStyle w:val="Prrafodelista"/>
        <w:rPr>
          <w:rFonts w:asciiTheme="minorHAnsi" w:hAnsiTheme="minorHAnsi" w:cstheme="minorHAnsi"/>
          <w:sz w:val="22"/>
          <w:szCs w:val="22"/>
        </w:rPr>
      </w:pPr>
    </w:p>
    <w:p w14:paraId="7B81F8A3" w14:textId="3E3AFD03" w:rsidR="00E812D9" w:rsidRDefault="00E812D9" w:rsidP="00502C6D">
      <w:pPr>
        <w:pStyle w:val="Prrafodelista"/>
        <w:numPr>
          <w:ilvl w:val="0"/>
          <w:numId w:val="7"/>
        </w:numPr>
        <w:tabs>
          <w:tab w:val="clear" w:pos="966"/>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Ajuste de Calidad por Octanaje:  </w:t>
      </w:r>
      <w:r w:rsidRPr="006E3A77">
        <w:rPr>
          <w:rFonts w:asciiTheme="minorHAnsi" w:hAnsiTheme="minorHAnsi" w:cstheme="minorHAnsi"/>
          <w:sz w:val="22"/>
          <w:szCs w:val="22"/>
        </w:rPr>
        <w:t xml:space="preserve">Se determinó un ajuste de </w:t>
      </w:r>
      <w:r w:rsidR="00246F93">
        <w:rPr>
          <w:rFonts w:asciiTheme="minorHAnsi" w:hAnsiTheme="minorHAnsi" w:cstheme="minorHAnsi"/>
          <w:sz w:val="22"/>
          <w:szCs w:val="22"/>
        </w:rPr>
        <w:t>1</w:t>
      </w:r>
      <w:r>
        <w:rPr>
          <w:rFonts w:asciiTheme="minorHAnsi" w:hAnsiTheme="minorHAnsi" w:cstheme="minorHAnsi"/>
          <w:sz w:val="22"/>
          <w:szCs w:val="22"/>
        </w:rPr>
        <w:t>,</w:t>
      </w:r>
      <w:r w:rsidR="00A16F9F">
        <w:rPr>
          <w:rFonts w:asciiTheme="minorHAnsi" w:hAnsiTheme="minorHAnsi" w:cstheme="minorHAnsi"/>
          <w:sz w:val="22"/>
          <w:szCs w:val="22"/>
        </w:rPr>
        <w:t>8</w:t>
      </w:r>
      <w:r w:rsidR="00ED21AF">
        <w:rPr>
          <w:rFonts w:asciiTheme="minorHAnsi" w:hAnsiTheme="minorHAnsi" w:cstheme="minorHAnsi"/>
          <w:sz w:val="22"/>
          <w:szCs w:val="22"/>
        </w:rPr>
        <w:t>4</w:t>
      </w:r>
      <w:r w:rsidRPr="006E3A77">
        <w:rPr>
          <w:rFonts w:asciiTheme="minorHAnsi" w:hAnsiTheme="minorHAnsi" w:cstheme="minorHAnsi"/>
          <w:sz w:val="22"/>
          <w:szCs w:val="22"/>
        </w:rPr>
        <w:t xml:space="preserve"> US$/Bl para la </w:t>
      </w:r>
      <w:r>
        <w:rPr>
          <w:rFonts w:asciiTheme="minorHAnsi" w:hAnsiTheme="minorHAnsi" w:cstheme="minorHAnsi"/>
          <w:sz w:val="22"/>
          <w:szCs w:val="22"/>
        </w:rPr>
        <w:t>Ga</w:t>
      </w:r>
      <w:r w:rsidRPr="006E3A77">
        <w:rPr>
          <w:rFonts w:asciiTheme="minorHAnsi" w:hAnsiTheme="minorHAnsi" w:cstheme="minorHAnsi"/>
          <w:sz w:val="22"/>
          <w:szCs w:val="22"/>
        </w:rPr>
        <w:t xml:space="preserve">solina </w:t>
      </w:r>
      <w:r>
        <w:rPr>
          <w:rFonts w:asciiTheme="minorHAnsi" w:hAnsiTheme="minorHAnsi" w:cstheme="minorHAnsi"/>
          <w:sz w:val="22"/>
          <w:szCs w:val="22"/>
        </w:rPr>
        <w:t>Regular</w:t>
      </w:r>
      <w:r w:rsidRPr="006E3A77">
        <w:rPr>
          <w:rFonts w:asciiTheme="minorHAnsi" w:hAnsiTheme="minorHAnsi" w:cstheme="minorHAnsi"/>
          <w:sz w:val="22"/>
          <w:szCs w:val="22"/>
        </w:rPr>
        <w:t xml:space="preserve"> y un ajuste de </w:t>
      </w:r>
      <w:r>
        <w:rPr>
          <w:rFonts w:asciiTheme="minorHAnsi" w:hAnsiTheme="minorHAnsi" w:cstheme="minorHAnsi"/>
          <w:sz w:val="22"/>
          <w:szCs w:val="22"/>
        </w:rPr>
        <w:t>-</w:t>
      </w:r>
      <w:r w:rsidR="00ED21AF">
        <w:rPr>
          <w:rFonts w:asciiTheme="minorHAnsi" w:hAnsiTheme="minorHAnsi" w:cstheme="minorHAnsi"/>
          <w:sz w:val="22"/>
          <w:szCs w:val="22"/>
        </w:rPr>
        <w:t>9</w:t>
      </w:r>
      <w:r w:rsidR="00A75228">
        <w:rPr>
          <w:rFonts w:asciiTheme="minorHAnsi" w:hAnsiTheme="minorHAnsi" w:cstheme="minorHAnsi"/>
          <w:sz w:val="22"/>
          <w:szCs w:val="22"/>
        </w:rPr>
        <w:t>,</w:t>
      </w:r>
      <w:r w:rsidR="00ED21AF">
        <w:rPr>
          <w:rFonts w:asciiTheme="minorHAnsi" w:hAnsiTheme="minorHAnsi" w:cstheme="minorHAnsi"/>
          <w:sz w:val="22"/>
          <w:szCs w:val="22"/>
        </w:rPr>
        <w:t>9</w:t>
      </w:r>
      <w:r w:rsidR="003752D0">
        <w:rPr>
          <w:rFonts w:asciiTheme="minorHAnsi" w:hAnsiTheme="minorHAnsi" w:cstheme="minorHAnsi"/>
          <w:sz w:val="22"/>
          <w:szCs w:val="22"/>
        </w:rPr>
        <w:t>2</w:t>
      </w:r>
      <w:r>
        <w:rPr>
          <w:rFonts w:asciiTheme="minorHAnsi" w:hAnsiTheme="minorHAnsi" w:cstheme="minorHAnsi"/>
          <w:sz w:val="22"/>
          <w:szCs w:val="22"/>
        </w:rPr>
        <w:t xml:space="preserve"> </w:t>
      </w:r>
      <w:r w:rsidRPr="006E3A77">
        <w:rPr>
          <w:rFonts w:asciiTheme="minorHAnsi" w:hAnsiTheme="minorHAnsi" w:cstheme="minorHAnsi"/>
          <w:sz w:val="22"/>
          <w:szCs w:val="22"/>
        </w:rPr>
        <w:t xml:space="preserve">US$/Bl para la </w:t>
      </w:r>
      <w:r>
        <w:rPr>
          <w:rFonts w:asciiTheme="minorHAnsi" w:hAnsiTheme="minorHAnsi" w:cstheme="minorHAnsi"/>
          <w:sz w:val="22"/>
          <w:szCs w:val="22"/>
        </w:rPr>
        <w:t>G</w:t>
      </w:r>
      <w:r w:rsidRPr="006E3A77">
        <w:rPr>
          <w:rFonts w:asciiTheme="minorHAnsi" w:hAnsiTheme="minorHAnsi" w:cstheme="minorHAnsi"/>
          <w:sz w:val="22"/>
          <w:szCs w:val="22"/>
        </w:rPr>
        <w:t>asolina de 84 octanos.</w:t>
      </w:r>
    </w:p>
    <w:p w14:paraId="11B3CA52" w14:textId="77777777" w:rsidR="00650372" w:rsidRPr="006E3A77" w:rsidRDefault="00650372" w:rsidP="00650372">
      <w:pPr>
        <w:pStyle w:val="Prrafodelista"/>
        <w:ind w:left="851"/>
        <w:jc w:val="both"/>
        <w:rPr>
          <w:rFonts w:asciiTheme="minorHAnsi" w:hAnsiTheme="minorHAnsi" w:cstheme="minorHAnsi"/>
          <w:sz w:val="22"/>
          <w:szCs w:val="22"/>
        </w:rPr>
      </w:pPr>
    </w:p>
    <w:p w14:paraId="7C829A8B" w14:textId="0CB35D12"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del Diésel:</w:t>
      </w:r>
    </w:p>
    <w:p w14:paraId="396FC653" w14:textId="77777777" w:rsidR="00E812D9" w:rsidRPr="006E3A77" w:rsidRDefault="00E812D9" w:rsidP="00E812D9">
      <w:pPr>
        <w:ind w:left="426" w:hanging="426"/>
        <w:jc w:val="both"/>
        <w:rPr>
          <w:rFonts w:asciiTheme="minorHAnsi" w:hAnsiTheme="minorHAnsi" w:cstheme="minorHAnsi"/>
          <w:b/>
          <w:sz w:val="22"/>
          <w:szCs w:val="22"/>
          <w:u w:val="single"/>
        </w:rPr>
      </w:pPr>
    </w:p>
    <w:p w14:paraId="10183380" w14:textId="4BA67BF1"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Diésel de bajo contenido de azufre, se toma el precio waterborne sin RVO del Ultra Sulfur Diésel. Para el Diésel con alto contenido de azufre, se considera el</w:t>
      </w:r>
      <w:r w:rsidR="00C26992">
        <w:rPr>
          <w:rFonts w:asciiTheme="minorHAnsi" w:hAnsiTheme="minorHAnsi" w:cstheme="minorHAnsi"/>
          <w:sz w:val="22"/>
          <w:szCs w:val="22"/>
        </w:rPr>
        <w:t xml:space="preserve"> Heating Oil</w:t>
      </w:r>
      <w:r w:rsidRPr="006E3A77">
        <w:rPr>
          <w:rFonts w:asciiTheme="minorHAnsi" w:hAnsiTheme="minorHAnsi" w:cstheme="minorHAnsi"/>
          <w:sz w:val="22"/>
          <w:szCs w:val="22"/>
        </w:rPr>
        <w:t>, sin RVO.</w:t>
      </w:r>
    </w:p>
    <w:p w14:paraId="1023B527" w14:textId="77777777" w:rsidR="004B070A" w:rsidRPr="004B070A" w:rsidRDefault="004B070A" w:rsidP="004B070A">
      <w:pPr>
        <w:pStyle w:val="Prrafodelista"/>
        <w:ind w:left="851"/>
        <w:jc w:val="both"/>
        <w:rPr>
          <w:rFonts w:asciiTheme="minorHAnsi" w:hAnsiTheme="minorHAnsi" w:cstheme="minorHAnsi"/>
          <w:sz w:val="22"/>
          <w:szCs w:val="22"/>
        </w:rPr>
      </w:pPr>
    </w:p>
    <w:p w14:paraId="0B7C64B5" w14:textId="53761EC7"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 xml:space="preserve">Descuento por RVO: </w:t>
      </w:r>
      <w:r w:rsidRPr="006E3A77">
        <w:rPr>
          <w:rFonts w:asciiTheme="minorHAnsi" w:hAnsiTheme="minorHAnsi" w:cstheme="minorHAnsi"/>
          <w:sz w:val="22"/>
          <w:szCs w:val="22"/>
        </w:rPr>
        <w:t xml:space="preserve">Está incluido en el precio del producto marcador. Su valor promedio asciende a </w:t>
      </w:r>
      <w:r w:rsidR="00B3115C">
        <w:rPr>
          <w:rFonts w:asciiTheme="minorHAnsi" w:hAnsiTheme="minorHAnsi" w:cstheme="minorHAnsi"/>
          <w:sz w:val="22"/>
          <w:szCs w:val="22"/>
        </w:rPr>
        <w:t>3</w:t>
      </w:r>
      <w:r>
        <w:rPr>
          <w:rFonts w:asciiTheme="minorHAnsi" w:hAnsiTheme="minorHAnsi" w:cstheme="minorHAnsi"/>
          <w:sz w:val="22"/>
          <w:szCs w:val="22"/>
        </w:rPr>
        <w:t>,</w:t>
      </w:r>
      <w:r w:rsidR="003752D0">
        <w:rPr>
          <w:rFonts w:asciiTheme="minorHAnsi" w:hAnsiTheme="minorHAnsi" w:cstheme="minorHAnsi"/>
          <w:sz w:val="22"/>
          <w:szCs w:val="22"/>
        </w:rPr>
        <w:t>59</w:t>
      </w:r>
      <w:r>
        <w:rPr>
          <w:rFonts w:asciiTheme="minorHAnsi" w:hAnsiTheme="minorHAnsi" w:cstheme="minorHAnsi"/>
          <w:sz w:val="22"/>
          <w:szCs w:val="22"/>
        </w:rPr>
        <w:t xml:space="preserve"> </w:t>
      </w:r>
      <w:r w:rsidRPr="006E3A77">
        <w:rPr>
          <w:rFonts w:asciiTheme="minorHAnsi" w:hAnsiTheme="minorHAnsi" w:cstheme="minorHAnsi"/>
          <w:sz w:val="22"/>
          <w:szCs w:val="22"/>
        </w:rPr>
        <w:t>US$/Bl.</w:t>
      </w:r>
    </w:p>
    <w:p w14:paraId="500A6D33" w14:textId="77777777" w:rsidR="004B070A" w:rsidRPr="004B070A" w:rsidRDefault="004B070A" w:rsidP="004B070A">
      <w:pPr>
        <w:pStyle w:val="Prrafodelista"/>
        <w:rPr>
          <w:rFonts w:asciiTheme="minorHAnsi" w:hAnsiTheme="minorHAnsi" w:cstheme="minorHAnsi"/>
          <w:sz w:val="22"/>
          <w:szCs w:val="22"/>
        </w:rPr>
      </w:pPr>
    </w:p>
    <w:p w14:paraId="3E3037DD" w14:textId="08D8271D" w:rsidR="00E812D9" w:rsidRDefault="00E812D9" w:rsidP="00E812D9">
      <w:pPr>
        <w:pStyle w:val="Prrafodelista"/>
        <w:numPr>
          <w:ilvl w:val="1"/>
          <w:numId w:val="1"/>
        </w:numPr>
        <w:tabs>
          <w:tab w:val="clear" w:pos="1185"/>
          <w:tab w:val="num" w:pos="851"/>
        </w:tabs>
        <w:ind w:left="851" w:hanging="425"/>
        <w:jc w:val="both"/>
        <w:rPr>
          <w:rFonts w:asciiTheme="minorHAnsi" w:hAnsiTheme="minorHAnsi" w:cstheme="minorHAnsi"/>
          <w:sz w:val="22"/>
          <w:szCs w:val="22"/>
        </w:rPr>
      </w:pPr>
      <w:r w:rsidRPr="006E3A77">
        <w:rPr>
          <w:rFonts w:asciiTheme="minorHAnsi" w:hAnsiTheme="minorHAnsi" w:cstheme="minorHAnsi"/>
          <w:b/>
          <w:sz w:val="22"/>
          <w:szCs w:val="22"/>
        </w:rPr>
        <w:t>Ajuste de Calidad por Cetano</w:t>
      </w:r>
      <w:r>
        <w:rPr>
          <w:rFonts w:asciiTheme="minorHAnsi" w:hAnsiTheme="minorHAnsi" w:cstheme="minorHAnsi"/>
          <w:sz w:val="22"/>
          <w:szCs w:val="22"/>
        </w:rPr>
        <w:t>: Se determinó un ajuste de 0,</w:t>
      </w:r>
      <w:r w:rsidRPr="006E3A77">
        <w:rPr>
          <w:rFonts w:asciiTheme="minorHAnsi" w:hAnsiTheme="minorHAnsi" w:cstheme="minorHAnsi"/>
          <w:sz w:val="22"/>
          <w:szCs w:val="22"/>
        </w:rPr>
        <w:t>37 US$/Bl</w:t>
      </w:r>
      <w:r w:rsidR="00707E57">
        <w:rPr>
          <w:rFonts w:asciiTheme="minorHAnsi" w:hAnsiTheme="minorHAnsi" w:cstheme="minorHAnsi"/>
          <w:sz w:val="22"/>
          <w:szCs w:val="22"/>
        </w:rPr>
        <w:t xml:space="preserve"> para el diésel con alto contenido de azufre</w:t>
      </w:r>
      <w:r w:rsidRPr="006E3A77">
        <w:rPr>
          <w:rFonts w:asciiTheme="minorHAnsi" w:hAnsiTheme="minorHAnsi" w:cstheme="minorHAnsi"/>
          <w:sz w:val="22"/>
          <w:szCs w:val="22"/>
        </w:rPr>
        <w:t>.</w:t>
      </w:r>
    </w:p>
    <w:p w14:paraId="6CB54308" w14:textId="684BC5FE" w:rsidR="00C1074C" w:rsidRDefault="00C1074C" w:rsidP="00E812D9">
      <w:pPr>
        <w:ind w:left="426" w:hanging="426"/>
        <w:jc w:val="both"/>
        <w:rPr>
          <w:rFonts w:asciiTheme="minorHAnsi" w:hAnsiTheme="minorHAnsi" w:cstheme="minorHAnsi"/>
          <w:b/>
          <w:sz w:val="22"/>
          <w:szCs w:val="22"/>
          <w:u w:val="single"/>
        </w:rPr>
      </w:pPr>
    </w:p>
    <w:p w14:paraId="093D64B1" w14:textId="77777777" w:rsidR="001173C5" w:rsidRPr="006E3A77" w:rsidRDefault="001173C5" w:rsidP="00E812D9">
      <w:pPr>
        <w:ind w:left="426" w:hanging="426"/>
        <w:jc w:val="both"/>
        <w:rPr>
          <w:rFonts w:asciiTheme="minorHAnsi" w:hAnsiTheme="minorHAnsi" w:cstheme="minorHAnsi"/>
          <w:b/>
          <w:sz w:val="22"/>
          <w:szCs w:val="22"/>
          <w:u w:val="single"/>
        </w:rPr>
      </w:pPr>
    </w:p>
    <w:p w14:paraId="43AEBCED" w14:textId="77777777" w:rsidR="00E812D9" w:rsidRPr="006E3A77" w:rsidRDefault="00E812D9" w:rsidP="00E812D9">
      <w:pPr>
        <w:pStyle w:val="Prrafodelista"/>
        <w:numPr>
          <w:ilvl w:val="0"/>
          <w:numId w:val="6"/>
        </w:numPr>
        <w:ind w:left="426" w:hanging="426"/>
        <w:jc w:val="both"/>
        <w:rPr>
          <w:rFonts w:asciiTheme="minorHAnsi" w:hAnsiTheme="minorHAnsi" w:cstheme="minorHAnsi"/>
          <w:b/>
          <w:sz w:val="22"/>
          <w:szCs w:val="22"/>
          <w:u w:val="single"/>
        </w:rPr>
      </w:pPr>
      <w:r w:rsidRPr="006E3A77">
        <w:rPr>
          <w:rFonts w:asciiTheme="minorHAnsi" w:hAnsiTheme="minorHAnsi" w:cstheme="minorHAnsi"/>
          <w:b/>
          <w:sz w:val="22"/>
          <w:szCs w:val="22"/>
          <w:u w:val="single"/>
        </w:rPr>
        <w:t>Precio FOB de los Petróleos Industriales:</w:t>
      </w:r>
    </w:p>
    <w:p w14:paraId="2192A4C5" w14:textId="77777777" w:rsidR="00E812D9" w:rsidRPr="006E3A77" w:rsidRDefault="00E812D9" w:rsidP="00E812D9">
      <w:pPr>
        <w:ind w:left="426" w:hanging="426"/>
        <w:jc w:val="both"/>
        <w:rPr>
          <w:rFonts w:asciiTheme="minorHAnsi" w:hAnsiTheme="minorHAnsi" w:cstheme="minorHAnsi"/>
          <w:b/>
          <w:sz w:val="22"/>
          <w:szCs w:val="22"/>
          <w:u w:val="single"/>
        </w:rPr>
      </w:pPr>
    </w:p>
    <w:p w14:paraId="11C7D6C9" w14:textId="401315AB"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u w:val="single"/>
        </w:rPr>
        <w:t>Precio del Producto Marcador:</w:t>
      </w:r>
      <w:r w:rsidRPr="006E3A77">
        <w:rPr>
          <w:rFonts w:asciiTheme="minorHAnsi" w:hAnsiTheme="minorHAnsi" w:cstheme="minorHAnsi"/>
          <w:sz w:val="22"/>
          <w:szCs w:val="22"/>
        </w:rPr>
        <w:t xml:space="preserve"> Para el Residual 6 y Residual 500, se considera el precio waterborne del Fuel Oil N°</w:t>
      </w:r>
      <w:r w:rsidR="0092047B">
        <w:rPr>
          <w:rFonts w:asciiTheme="minorHAnsi" w:hAnsiTheme="minorHAnsi" w:cstheme="minorHAnsi"/>
          <w:sz w:val="22"/>
          <w:szCs w:val="22"/>
        </w:rPr>
        <w:t xml:space="preserve"> </w:t>
      </w:r>
      <w:r w:rsidRPr="006E3A77">
        <w:rPr>
          <w:rFonts w:asciiTheme="minorHAnsi" w:hAnsiTheme="minorHAnsi" w:cstheme="minorHAnsi"/>
          <w:sz w:val="22"/>
          <w:szCs w:val="22"/>
        </w:rPr>
        <w:t>6 con 3% S.</w:t>
      </w:r>
    </w:p>
    <w:p w14:paraId="37331557" w14:textId="77777777" w:rsidR="004B070A" w:rsidRPr="006E3A77" w:rsidRDefault="004B070A" w:rsidP="004B070A">
      <w:pPr>
        <w:pStyle w:val="Prrafodelista"/>
        <w:ind w:left="851"/>
        <w:jc w:val="both"/>
        <w:rPr>
          <w:rFonts w:asciiTheme="minorHAnsi" w:hAnsiTheme="minorHAnsi" w:cstheme="minorHAnsi"/>
          <w:sz w:val="22"/>
          <w:szCs w:val="22"/>
        </w:rPr>
      </w:pPr>
    </w:p>
    <w:p w14:paraId="3A879FDB" w14:textId="6E2EA650" w:rsidR="00E812D9" w:rsidRDefault="00E812D9" w:rsidP="00E812D9">
      <w:pPr>
        <w:pStyle w:val="Prrafodelista"/>
        <w:numPr>
          <w:ilvl w:val="1"/>
          <w:numId w:val="1"/>
        </w:numPr>
        <w:ind w:left="851" w:hanging="426"/>
        <w:jc w:val="both"/>
        <w:rPr>
          <w:rFonts w:asciiTheme="minorHAnsi" w:hAnsiTheme="minorHAnsi" w:cstheme="minorHAnsi"/>
          <w:sz w:val="22"/>
          <w:szCs w:val="22"/>
        </w:rPr>
      </w:pPr>
      <w:r w:rsidRPr="006E3A77">
        <w:rPr>
          <w:rFonts w:asciiTheme="minorHAnsi" w:hAnsiTheme="minorHAnsi" w:cstheme="minorHAnsi"/>
          <w:b/>
          <w:sz w:val="22"/>
          <w:szCs w:val="22"/>
        </w:rPr>
        <w:t>Ajuste de Calidad por Viscosidad</w:t>
      </w:r>
      <w:r w:rsidRPr="006E3A77">
        <w:rPr>
          <w:rFonts w:asciiTheme="minorHAnsi" w:hAnsiTheme="minorHAnsi" w:cstheme="minorHAnsi"/>
          <w:sz w:val="22"/>
          <w:szCs w:val="22"/>
        </w:rPr>
        <w:t xml:space="preserve">: Se determinó un ajuste de </w:t>
      </w:r>
      <w:r>
        <w:rPr>
          <w:rFonts w:asciiTheme="minorHAnsi" w:hAnsiTheme="minorHAnsi" w:cstheme="minorHAnsi"/>
          <w:sz w:val="22"/>
          <w:szCs w:val="22"/>
        </w:rPr>
        <w:t>-</w:t>
      </w:r>
      <w:r w:rsidR="00A45FA3">
        <w:rPr>
          <w:rFonts w:asciiTheme="minorHAnsi" w:hAnsiTheme="minorHAnsi" w:cstheme="minorHAnsi"/>
          <w:sz w:val="22"/>
          <w:szCs w:val="22"/>
        </w:rPr>
        <w:t>1</w:t>
      </w:r>
      <w:r w:rsidR="00F66E81">
        <w:rPr>
          <w:rFonts w:asciiTheme="minorHAnsi" w:hAnsiTheme="minorHAnsi" w:cstheme="minorHAnsi"/>
          <w:sz w:val="22"/>
          <w:szCs w:val="22"/>
        </w:rPr>
        <w:t>,</w:t>
      </w:r>
      <w:r w:rsidR="00ED21AF">
        <w:rPr>
          <w:rFonts w:asciiTheme="minorHAnsi" w:hAnsiTheme="minorHAnsi" w:cstheme="minorHAnsi"/>
          <w:sz w:val="22"/>
          <w:szCs w:val="22"/>
        </w:rPr>
        <w:t>2</w:t>
      </w:r>
      <w:r w:rsidR="003752D0">
        <w:rPr>
          <w:rFonts w:asciiTheme="minorHAnsi" w:hAnsiTheme="minorHAnsi" w:cstheme="minorHAnsi"/>
          <w:sz w:val="22"/>
          <w:szCs w:val="22"/>
        </w:rPr>
        <w:t>5</w:t>
      </w:r>
      <w:r w:rsidR="00C146BC">
        <w:rPr>
          <w:rFonts w:asciiTheme="minorHAnsi" w:hAnsiTheme="minorHAnsi" w:cstheme="minorHAnsi"/>
          <w:sz w:val="22"/>
          <w:szCs w:val="22"/>
        </w:rPr>
        <w:t xml:space="preserve"> </w:t>
      </w:r>
      <w:r w:rsidRPr="006E3A77">
        <w:rPr>
          <w:rFonts w:asciiTheme="minorHAnsi" w:hAnsiTheme="minorHAnsi" w:cstheme="minorHAnsi"/>
          <w:sz w:val="22"/>
          <w:szCs w:val="22"/>
        </w:rPr>
        <w:t>US$/Bl para el Petróleo Industrial 500.</w:t>
      </w:r>
    </w:p>
    <w:p w14:paraId="000C6F4D" w14:textId="77777777" w:rsidR="00E812D9" w:rsidRPr="006E3A77" w:rsidRDefault="00E812D9" w:rsidP="00E812D9">
      <w:pPr>
        <w:pStyle w:val="Prrafodelista"/>
        <w:ind w:left="851"/>
        <w:jc w:val="both"/>
        <w:rPr>
          <w:rFonts w:asciiTheme="minorHAnsi" w:hAnsiTheme="minorHAnsi" w:cstheme="minorHAnsi"/>
          <w:sz w:val="22"/>
          <w:szCs w:val="22"/>
        </w:rPr>
      </w:pPr>
    </w:p>
    <w:p w14:paraId="117F1B95" w14:textId="275523F0" w:rsidR="00F85D23" w:rsidRPr="00B45C03" w:rsidRDefault="00E812D9" w:rsidP="00E812D9">
      <w:pPr>
        <w:pStyle w:val="Prrafodelista"/>
        <w:ind w:left="426"/>
        <w:jc w:val="both"/>
        <w:rPr>
          <w:rFonts w:asciiTheme="minorHAnsi" w:hAnsiTheme="minorHAnsi" w:cstheme="minorHAnsi"/>
          <w:sz w:val="22"/>
          <w:szCs w:val="22"/>
        </w:rPr>
      </w:pPr>
      <w:r w:rsidRPr="006E3A77">
        <w:rPr>
          <w:rFonts w:asciiTheme="minorHAnsi" w:hAnsiTheme="minorHAnsi" w:cstheme="minorHAnsi"/>
          <w:sz w:val="22"/>
          <w:szCs w:val="22"/>
        </w:rPr>
        <w:t>Los resultados del cálculo del Precio FOB y de los demás componentes que forman parte de los Precios de Referencia de Combustibles, se muestran en la Tabla N°1</w:t>
      </w:r>
      <w:r w:rsidR="007A4646" w:rsidRPr="006E3A77">
        <w:rPr>
          <w:rFonts w:asciiTheme="minorHAnsi" w:hAnsiTheme="minorHAnsi" w:cstheme="minorHAnsi"/>
          <w:sz w:val="22"/>
          <w:szCs w:val="22"/>
        </w:rPr>
        <w:t>.</w:t>
      </w:r>
    </w:p>
    <w:p w14:paraId="73C4A0B3" w14:textId="5955F9F9" w:rsidR="00CB3778" w:rsidRDefault="00CB3778" w:rsidP="004F74EE">
      <w:pPr>
        <w:jc w:val="both"/>
        <w:rPr>
          <w:rFonts w:ascii="Arial" w:hAnsi="Arial" w:cs="Arial"/>
          <w:sz w:val="22"/>
          <w:szCs w:val="22"/>
          <w:u w:val="single"/>
          <w:lang w:eastAsia="en-US"/>
        </w:rPr>
      </w:pPr>
    </w:p>
    <w:p w14:paraId="53AC2F3A" w14:textId="7E58BA7B" w:rsidR="00CB3778" w:rsidRPr="00D149F2" w:rsidRDefault="00CB3778" w:rsidP="00CB3778">
      <w:pPr>
        <w:jc w:val="both"/>
        <w:rPr>
          <w:rFonts w:asciiTheme="minorHAnsi" w:hAnsiTheme="minorHAnsi" w:cstheme="minorHAnsi"/>
          <w:b/>
          <w:bCs/>
          <w:sz w:val="22"/>
          <w:szCs w:val="22"/>
          <w:u w:val="single"/>
          <w:lang w:eastAsia="en-US"/>
        </w:rPr>
      </w:pPr>
      <w:r>
        <w:rPr>
          <w:rFonts w:asciiTheme="minorHAnsi" w:hAnsiTheme="minorHAnsi" w:cstheme="minorHAnsi"/>
          <w:b/>
          <w:bCs/>
          <w:sz w:val="22"/>
          <w:szCs w:val="22"/>
          <w:u w:val="single"/>
          <w:lang w:eastAsia="en-US"/>
        </w:rPr>
        <w:t>Flete Marítimo</w:t>
      </w:r>
    </w:p>
    <w:p w14:paraId="0F9CAFE5" w14:textId="77777777" w:rsidR="00CB3778" w:rsidRPr="00D149F2" w:rsidRDefault="00CB3778" w:rsidP="00CB3778">
      <w:pPr>
        <w:jc w:val="both"/>
        <w:rPr>
          <w:rFonts w:asciiTheme="minorHAnsi" w:hAnsiTheme="minorHAnsi" w:cstheme="minorHAnsi"/>
          <w:b/>
          <w:bCs/>
          <w:sz w:val="22"/>
          <w:szCs w:val="22"/>
          <w:u w:val="single"/>
          <w:lang w:eastAsia="en-US"/>
        </w:rPr>
      </w:pPr>
    </w:p>
    <w:p w14:paraId="5263A48A" w14:textId="7157D80E" w:rsidR="00CB3778" w:rsidRPr="00AC0139" w:rsidRDefault="00CB3778" w:rsidP="00AC0139">
      <w:pPr>
        <w:jc w:val="both"/>
        <w:rPr>
          <w:rFonts w:asciiTheme="minorHAnsi" w:hAnsiTheme="minorHAnsi" w:cstheme="minorHAnsi"/>
          <w:sz w:val="22"/>
          <w:szCs w:val="22"/>
          <w:lang w:eastAsia="en-US"/>
        </w:rPr>
      </w:pPr>
      <w:r w:rsidRPr="000F47D7">
        <w:rPr>
          <w:rFonts w:asciiTheme="minorHAnsi" w:hAnsiTheme="minorHAnsi" w:cstheme="minorHAnsi"/>
          <w:sz w:val="22"/>
          <w:szCs w:val="22"/>
          <w:lang w:eastAsia="en-US"/>
        </w:rPr>
        <w:t>Desde la vigencia de la Resolución Osinergmin N°</w:t>
      </w:r>
      <w:r w:rsidR="00B66326"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127-2023-OS/CD, que aprueba los cambios en la metodología de cálculo de precios de referencia, se ha incorporado como parte del flete marítimo los costos por demoras en el tránsito del Canal de Panamá en el Precio de Referencia de Importación de los combustibles </w:t>
      </w:r>
      <w:r w:rsidR="002C3713" w:rsidRPr="000F47D7">
        <w:rPr>
          <w:rFonts w:asciiTheme="minorHAnsi" w:hAnsiTheme="minorHAnsi" w:cstheme="minorHAnsi"/>
          <w:sz w:val="22"/>
          <w:szCs w:val="22"/>
          <w:lang w:eastAsia="en-US"/>
        </w:rPr>
        <w:t xml:space="preserve">y que para la presente semana ascienden a </w:t>
      </w:r>
      <w:r w:rsidR="003C1266"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CD3200">
        <w:rPr>
          <w:rFonts w:asciiTheme="minorHAnsi" w:hAnsiTheme="minorHAnsi" w:cstheme="minorHAnsi"/>
          <w:sz w:val="22"/>
          <w:szCs w:val="22"/>
          <w:lang w:eastAsia="en-US"/>
        </w:rPr>
        <w:t>3</w:t>
      </w:r>
      <w:r w:rsidR="00433FB6">
        <w:rPr>
          <w:rFonts w:asciiTheme="minorHAnsi" w:hAnsiTheme="minorHAnsi" w:cstheme="minorHAnsi"/>
          <w:sz w:val="22"/>
          <w:szCs w:val="22"/>
          <w:lang w:eastAsia="en-US"/>
        </w:rPr>
        <w:t>2</w:t>
      </w:r>
      <w:r w:rsidR="002C3713" w:rsidRPr="000F47D7">
        <w:rPr>
          <w:rFonts w:asciiTheme="minorHAnsi" w:hAnsiTheme="minorHAnsi" w:cstheme="minorHAnsi"/>
          <w:sz w:val="22"/>
          <w:szCs w:val="22"/>
          <w:lang w:eastAsia="en-US"/>
        </w:rPr>
        <w:t xml:space="preserve"> US$/Bl</w:t>
      </w:r>
      <w:r w:rsidRPr="000F47D7">
        <w:rPr>
          <w:rFonts w:asciiTheme="minorHAnsi" w:hAnsiTheme="minorHAnsi" w:cstheme="minorHAnsi"/>
          <w:sz w:val="22"/>
          <w:szCs w:val="22"/>
          <w:lang w:eastAsia="en-US"/>
        </w:rPr>
        <w:t xml:space="preserve"> </w:t>
      </w:r>
      <w:r w:rsidR="002C3713" w:rsidRPr="000F47D7">
        <w:rPr>
          <w:rFonts w:asciiTheme="minorHAnsi" w:hAnsiTheme="minorHAnsi" w:cstheme="minorHAnsi"/>
          <w:sz w:val="22"/>
          <w:szCs w:val="22"/>
          <w:lang w:eastAsia="en-US"/>
        </w:rPr>
        <w:t xml:space="preserve">para el </w:t>
      </w:r>
      <w:r w:rsidRPr="000F47D7">
        <w:rPr>
          <w:rFonts w:asciiTheme="minorHAnsi" w:hAnsiTheme="minorHAnsi" w:cstheme="minorHAnsi"/>
          <w:sz w:val="22"/>
          <w:szCs w:val="22"/>
          <w:lang w:eastAsia="en-US"/>
        </w:rPr>
        <w:t>GLP</w:t>
      </w:r>
      <w:r w:rsidR="00996628" w:rsidRPr="000F47D7">
        <w:rPr>
          <w:rFonts w:asciiTheme="minorHAnsi" w:hAnsiTheme="minorHAnsi" w:cstheme="minorHAnsi"/>
          <w:sz w:val="22"/>
          <w:szCs w:val="22"/>
          <w:lang w:eastAsia="en-US"/>
        </w:rPr>
        <w:t>;</w:t>
      </w:r>
      <w:r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36</w:t>
      </w:r>
      <w:r w:rsidR="002C3713" w:rsidRPr="000F47D7">
        <w:rPr>
          <w:rFonts w:asciiTheme="minorHAnsi" w:hAnsiTheme="minorHAnsi" w:cstheme="minorHAnsi"/>
          <w:sz w:val="22"/>
          <w:szCs w:val="22"/>
          <w:lang w:eastAsia="en-US"/>
        </w:rPr>
        <w:t xml:space="preserve"> US$/Bl para las gasolinas</w:t>
      </w:r>
      <w:r w:rsidR="00996628" w:rsidRPr="000F47D7">
        <w:rPr>
          <w:rFonts w:asciiTheme="minorHAnsi" w:hAnsiTheme="minorHAnsi" w:cstheme="minorHAnsi"/>
          <w:sz w:val="22"/>
          <w:szCs w:val="22"/>
          <w:lang w:eastAsia="en-US"/>
        </w:rPr>
        <w:t xml:space="preserve"> y</w:t>
      </w:r>
      <w:r w:rsidR="002C3713" w:rsidRPr="000F47D7">
        <w:rPr>
          <w:rFonts w:asciiTheme="minorHAnsi" w:hAnsiTheme="minorHAnsi" w:cstheme="minorHAnsi"/>
          <w:sz w:val="22"/>
          <w:szCs w:val="22"/>
          <w:lang w:eastAsia="en-US"/>
        </w:rPr>
        <w:t xml:space="preserve"> </w:t>
      </w:r>
      <w:r w:rsidR="006863BF" w:rsidRPr="000F47D7">
        <w:rPr>
          <w:rFonts w:asciiTheme="minorHAnsi" w:hAnsiTheme="minorHAnsi" w:cstheme="minorHAnsi"/>
          <w:sz w:val="22"/>
          <w:szCs w:val="22"/>
          <w:lang w:eastAsia="en-US"/>
        </w:rPr>
        <w:t>0</w:t>
      </w:r>
      <w:r w:rsidR="007D44FD" w:rsidRPr="000F47D7">
        <w:rPr>
          <w:rFonts w:asciiTheme="minorHAnsi" w:hAnsiTheme="minorHAnsi" w:cstheme="minorHAnsi"/>
          <w:sz w:val="22"/>
          <w:szCs w:val="22"/>
          <w:lang w:eastAsia="en-US"/>
        </w:rPr>
        <w:t>,</w:t>
      </w:r>
      <w:r w:rsidR="00A918E9">
        <w:rPr>
          <w:rFonts w:asciiTheme="minorHAnsi" w:hAnsiTheme="minorHAnsi" w:cstheme="minorHAnsi"/>
          <w:sz w:val="22"/>
          <w:szCs w:val="22"/>
          <w:lang w:eastAsia="en-US"/>
        </w:rPr>
        <w:t>30</w:t>
      </w:r>
      <w:r w:rsidR="002C3713" w:rsidRPr="000F47D7">
        <w:rPr>
          <w:rFonts w:asciiTheme="minorHAnsi" w:hAnsiTheme="minorHAnsi" w:cstheme="minorHAnsi"/>
          <w:sz w:val="22"/>
          <w:szCs w:val="22"/>
          <w:lang w:eastAsia="en-US"/>
        </w:rPr>
        <w:t xml:space="preserve"> US$/Bl para el </w:t>
      </w:r>
      <w:r w:rsidRPr="000F47D7">
        <w:rPr>
          <w:rFonts w:asciiTheme="minorHAnsi" w:hAnsiTheme="minorHAnsi" w:cstheme="minorHAnsi"/>
          <w:sz w:val="22"/>
          <w:szCs w:val="22"/>
          <w:lang w:eastAsia="en-US"/>
        </w:rPr>
        <w:t>Diésel</w:t>
      </w:r>
      <w:r w:rsidR="002C3713" w:rsidRPr="000F47D7">
        <w:rPr>
          <w:rFonts w:asciiTheme="minorHAnsi" w:hAnsiTheme="minorHAnsi" w:cstheme="minorHAnsi"/>
          <w:sz w:val="22"/>
          <w:szCs w:val="22"/>
          <w:lang w:eastAsia="en-US"/>
        </w:rPr>
        <w:t xml:space="preserve"> </w:t>
      </w:r>
      <w:r w:rsidRPr="000F47D7">
        <w:rPr>
          <w:rFonts w:asciiTheme="minorHAnsi" w:hAnsiTheme="minorHAnsi" w:cstheme="minorHAnsi"/>
          <w:sz w:val="22"/>
          <w:szCs w:val="22"/>
          <w:lang w:eastAsia="en-US"/>
        </w:rPr>
        <w:t xml:space="preserve">y </w:t>
      </w:r>
      <w:r w:rsidR="00996628" w:rsidRPr="000F47D7">
        <w:rPr>
          <w:rFonts w:asciiTheme="minorHAnsi" w:hAnsiTheme="minorHAnsi" w:cstheme="minorHAnsi"/>
          <w:sz w:val="22"/>
          <w:szCs w:val="22"/>
          <w:lang w:eastAsia="en-US"/>
        </w:rPr>
        <w:t xml:space="preserve">el </w:t>
      </w:r>
      <w:r w:rsidRPr="000F47D7">
        <w:rPr>
          <w:rFonts w:asciiTheme="minorHAnsi" w:hAnsiTheme="minorHAnsi" w:cstheme="minorHAnsi"/>
          <w:sz w:val="22"/>
          <w:szCs w:val="22"/>
          <w:lang w:eastAsia="en-US"/>
        </w:rPr>
        <w:t>Turbo.</w:t>
      </w:r>
    </w:p>
    <w:p w14:paraId="038E3952" w14:textId="77777777" w:rsidR="00DB2BBC" w:rsidRDefault="00DB2BBC" w:rsidP="004F74EE">
      <w:pPr>
        <w:jc w:val="both"/>
        <w:rPr>
          <w:rFonts w:ascii="Arial" w:hAnsi="Arial" w:cs="Arial"/>
          <w:sz w:val="22"/>
          <w:szCs w:val="22"/>
          <w:u w:val="single"/>
          <w:lang w:eastAsia="en-US"/>
        </w:rPr>
      </w:pPr>
    </w:p>
    <w:p w14:paraId="56D42E00" w14:textId="77777777" w:rsidR="00D149F2" w:rsidRPr="00D149F2" w:rsidRDefault="00D149F2" w:rsidP="004F74EE">
      <w:pPr>
        <w:jc w:val="both"/>
        <w:rPr>
          <w:rFonts w:asciiTheme="minorHAnsi" w:hAnsiTheme="minorHAnsi" w:cstheme="minorHAnsi"/>
          <w:b/>
          <w:bCs/>
          <w:sz w:val="22"/>
          <w:szCs w:val="22"/>
          <w:u w:val="single"/>
          <w:lang w:eastAsia="en-US"/>
        </w:rPr>
      </w:pPr>
      <w:r w:rsidRPr="00D149F2">
        <w:rPr>
          <w:rFonts w:asciiTheme="minorHAnsi" w:hAnsiTheme="minorHAnsi" w:cstheme="minorHAnsi"/>
          <w:b/>
          <w:bCs/>
          <w:sz w:val="22"/>
          <w:szCs w:val="22"/>
          <w:u w:val="single"/>
          <w:lang w:eastAsia="en-US"/>
        </w:rPr>
        <w:t>Gastos de Importación</w:t>
      </w:r>
    </w:p>
    <w:p w14:paraId="7CB88FF8" w14:textId="77777777" w:rsidR="00D149F2" w:rsidRPr="00D149F2" w:rsidRDefault="00D149F2" w:rsidP="004F74EE">
      <w:pPr>
        <w:jc w:val="both"/>
        <w:rPr>
          <w:rFonts w:asciiTheme="minorHAnsi" w:hAnsiTheme="minorHAnsi" w:cstheme="minorHAnsi"/>
          <w:b/>
          <w:bCs/>
          <w:sz w:val="22"/>
          <w:szCs w:val="22"/>
          <w:u w:val="single"/>
          <w:lang w:eastAsia="en-US"/>
        </w:rPr>
      </w:pPr>
    </w:p>
    <w:p w14:paraId="24AE2013" w14:textId="68FD2A5E" w:rsidR="00D149F2" w:rsidRPr="00D149F2" w:rsidRDefault="00D149F2" w:rsidP="004F74EE">
      <w:pPr>
        <w:jc w:val="both"/>
        <w:rPr>
          <w:rFonts w:asciiTheme="minorHAnsi" w:hAnsiTheme="minorHAnsi" w:cstheme="minorHAnsi"/>
          <w:sz w:val="22"/>
          <w:szCs w:val="22"/>
          <w:lang w:eastAsia="en-US"/>
        </w:rPr>
      </w:pPr>
      <w:r w:rsidRPr="00D149F2">
        <w:rPr>
          <w:rFonts w:asciiTheme="minorHAnsi" w:hAnsiTheme="minorHAnsi" w:cstheme="minorHAnsi"/>
          <w:sz w:val="22"/>
          <w:szCs w:val="22"/>
          <w:lang w:eastAsia="en-US"/>
        </w:rPr>
        <w:t>Como resultado de la evaluación anual del comportamiento</w:t>
      </w:r>
      <w:r w:rsidR="009E085E">
        <w:rPr>
          <w:rFonts w:asciiTheme="minorHAnsi" w:hAnsiTheme="minorHAnsi" w:cstheme="minorHAnsi"/>
          <w:sz w:val="22"/>
          <w:szCs w:val="22"/>
          <w:lang w:eastAsia="en-US"/>
        </w:rPr>
        <w:t xml:space="preserve"> de los Precios de referencia de Combustibles Derivados del Petróleo y Biocombustibles del año 202</w:t>
      </w:r>
      <w:r w:rsidR="00CD3200">
        <w:rPr>
          <w:rFonts w:asciiTheme="minorHAnsi" w:hAnsiTheme="minorHAnsi" w:cstheme="minorHAnsi"/>
          <w:sz w:val="22"/>
          <w:szCs w:val="22"/>
          <w:lang w:eastAsia="en-US"/>
        </w:rPr>
        <w:t>3</w:t>
      </w:r>
      <w:r w:rsidR="009E085E">
        <w:rPr>
          <w:rFonts w:asciiTheme="minorHAnsi" w:hAnsiTheme="minorHAnsi" w:cstheme="minorHAnsi"/>
          <w:sz w:val="22"/>
          <w:szCs w:val="22"/>
          <w:lang w:eastAsia="en-US"/>
        </w:rPr>
        <w:t>,</w:t>
      </w:r>
      <w:r w:rsidRPr="00D149F2">
        <w:rPr>
          <w:rFonts w:asciiTheme="minorHAnsi" w:hAnsiTheme="minorHAnsi" w:cstheme="minorHAnsi"/>
          <w:sz w:val="22"/>
          <w:szCs w:val="22"/>
          <w:lang w:eastAsia="en-US"/>
        </w:rPr>
        <w:t xml:space="preserve"> a que se refiere el numeral </w:t>
      </w:r>
      <w:r w:rsidR="009E085E">
        <w:rPr>
          <w:rFonts w:asciiTheme="minorHAnsi" w:hAnsiTheme="minorHAnsi" w:cstheme="minorHAnsi"/>
          <w:sz w:val="22"/>
          <w:szCs w:val="22"/>
          <w:lang w:eastAsia="en-US"/>
        </w:rPr>
        <w:t>2</w:t>
      </w:r>
      <w:r w:rsidRPr="00D149F2">
        <w:rPr>
          <w:rFonts w:asciiTheme="minorHAnsi" w:hAnsiTheme="minorHAnsi" w:cstheme="minorHAnsi"/>
          <w:sz w:val="22"/>
          <w:szCs w:val="22"/>
          <w:lang w:eastAsia="en-US"/>
        </w:rPr>
        <w:t>.2.</w:t>
      </w:r>
      <w:r w:rsidR="009E085E">
        <w:rPr>
          <w:rFonts w:asciiTheme="minorHAnsi" w:hAnsiTheme="minorHAnsi" w:cstheme="minorHAnsi"/>
          <w:sz w:val="22"/>
          <w:szCs w:val="22"/>
          <w:lang w:eastAsia="en-US"/>
        </w:rPr>
        <w:t>5</w:t>
      </w:r>
      <w:r w:rsidRPr="00D149F2">
        <w:rPr>
          <w:rFonts w:asciiTheme="minorHAnsi" w:hAnsiTheme="minorHAnsi" w:cstheme="minorHAnsi"/>
          <w:sz w:val="22"/>
          <w:szCs w:val="22"/>
          <w:lang w:eastAsia="en-US"/>
        </w:rPr>
        <w:t xml:space="preserve"> de</w:t>
      </w:r>
      <w:r w:rsidR="009E085E">
        <w:rPr>
          <w:rFonts w:asciiTheme="minorHAnsi" w:hAnsiTheme="minorHAnsi" w:cstheme="minorHAnsi"/>
          <w:sz w:val="22"/>
          <w:szCs w:val="22"/>
          <w:lang w:eastAsia="en-US"/>
        </w:rPr>
        <w:t>l artículo 2 de la Resolución Directoral N°</w:t>
      </w:r>
      <w:r w:rsidR="00A83690">
        <w:rPr>
          <w:rFonts w:asciiTheme="minorHAnsi" w:hAnsiTheme="minorHAnsi" w:cstheme="minorHAnsi"/>
          <w:sz w:val="22"/>
          <w:szCs w:val="22"/>
          <w:lang w:eastAsia="en-US"/>
        </w:rPr>
        <w:t xml:space="preserve"> </w:t>
      </w:r>
      <w:r w:rsidR="009E085E">
        <w:rPr>
          <w:rFonts w:asciiTheme="minorHAnsi" w:hAnsiTheme="minorHAnsi" w:cstheme="minorHAnsi"/>
          <w:sz w:val="22"/>
          <w:szCs w:val="22"/>
          <w:lang w:eastAsia="en-US"/>
        </w:rPr>
        <w:t>244-2020-MINEM/DGH, que aprueba</w:t>
      </w:r>
      <w:r w:rsidRPr="00D149F2">
        <w:rPr>
          <w:rFonts w:asciiTheme="minorHAnsi" w:hAnsiTheme="minorHAnsi" w:cstheme="minorHAnsi"/>
          <w:sz w:val="22"/>
          <w:szCs w:val="22"/>
          <w:lang w:eastAsia="en-US"/>
        </w:rPr>
        <w:t xml:space="preserve"> los Lineamientos</w:t>
      </w:r>
      <w:r w:rsidR="009E085E">
        <w:rPr>
          <w:rFonts w:asciiTheme="minorHAnsi" w:hAnsiTheme="minorHAnsi" w:cstheme="minorHAnsi"/>
          <w:sz w:val="22"/>
          <w:szCs w:val="22"/>
          <w:lang w:eastAsia="en-US"/>
        </w:rPr>
        <w:t xml:space="preserve"> del Minem</w:t>
      </w:r>
      <w:r w:rsidRPr="00D149F2">
        <w:rPr>
          <w:rFonts w:asciiTheme="minorHAnsi" w:hAnsiTheme="minorHAnsi" w:cstheme="minorHAnsi"/>
          <w:sz w:val="22"/>
          <w:szCs w:val="22"/>
          <w:lang w:eastAsia="en-US"/>
        </w:rPr>
        <w:t xml:space="preserve">, se actualizaron </w:t>
      </w:r>
      <w:r w:rsidR="00B304E2">
        <w:rPr>
          <w:rFonts w:asciiTheme="minorHAnsi" w:hAnsiTheme="minorHAnsi" w:cstheme="minorHAnsi"/>
          <w:sz w:val="22"/>
          <w:szCs w:val="22"/>
          <w:lang w:eastAsia="en-US"/>
        </w:rPr>
        <w:t xml:space="preserve">algunos parámetros para el cálculo de </w:t>
      </w:r>
      <w:r w:rsidRPr="00D149F2">
        <w:rPr>
          <w:rFonts w:asciiTheme="minorHAnsi" w:hAnsiTheme="minorHAnsi" w:cstheme="minorHAnsi"/>
          <w:sz w:val="22"/>
          <w:szCs w:val="22"/>
          <w:lang w:eastAsia="en-US"/>
        </w:rPr>
        <w:t>los gastos de importación:</w:t>
      </w:r>
    </w:p>
    <w:p w14:paraId="7E4138F6" w14:textId="77777777" w:rsidR="00D149F2" w:rsidRDefault="00D149F2" w:rsidP="004F74EE">
      <w:pPr>
        <w:jc w:val="both"/>
        <w:rPr>
          <w:rFonts w:ascii="Arial" w:hAnsi="Arial" w:cs="Arial"/>
          <w:sz w:val="22"/>
          <w:szCs w:val="22"/>
          <w:lang w:eastAsia="en-US"/>
        </w:rPr>
      </w:pPr>
    </w:p>
    <w:p w14:paraId="1A77427C" w14:textId="14C4BAD7" w:rsidR="00D149F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Tasa de Carta de crédito</w:t>
      </w:r>
      <w:r w:rsidRPr="00B304E2">
        <w:rPr>
          <w:rFonts w:asciiTheme="minorHAnsi" w:hAnsiTheme="minorHAnsi" w:cstheme="minorHAnsi"/>
          <w:sz w:val="22"/>
          <w:szCs w:val="22"/>
          <w:lang w:eastAsia="en-US"/>
        </w:rPr>
        <w:t xml:space="preserve">: </w:t>
      </w:r>
      <w:r w:rsidR="00EA511D">
        <w:rPr>
          <w:rFonts w:asciiTheme="minorHAnsi" w:hAnsiTheme="minorHAnsi" w:cstheme="minorHAnsi"/>
          <w:sz w:val="22"/>
          <w:szCs w:val="22"/>
          <w:lang w:eastAsia="en-US"/>
        </w:rPr>
        <w:t xml:space="preserve">Tasa promedio de apertura, confirmación y negociación de carta de crédito de </w:t>
      </w:r>
      <w:r w:rsidRPr="00B304E2">
        <w:rPr>
          <w:rFonts w:asciiTheme="minorHAnsi" w:hAnsiTheme="minorHAnsi" w:cstheme="minorHAnsi"/>
          <w:sz w:val="22"/>
          <w:szCs w:val="22"/>
          <w:lang w:eastAsia="en-US"/>
        </w:rPr>
        <w:t>0,</w:t>
      </w:r>
      <w:r w:rsidR="00CD3200">
        <w:rPr>
          <w:rFonts w:asciiTheme="minorHAnsi" w:hAnsiTheme="minorHAnsi" w:cstheme="minorHAnsi"/>
          <w:sz w:val="22"/>
          <w:szCs w:val="22"/>
          <w:lang w:eastAsia="en-US"/>
        </w:rPr>
        <w:t>34</w:t>
      </w:r>
      <w:r w:rsidRPr="00B304E2">
        <w:rPr>
          <w:rFonts w:asciiTheme="minorHAnsi" w:hAnsiTheme="minorHAnsi" w:cstheme="minorHAnsi"/>
          <w:sz w:val="22"/>
          <w:szCs w:val="22"/>
          <w:lang w:eastAsia="en-US"/>
        </w:rPr>
        <w:t>%</w:t>
      </w:r>
      <w:r w:rsidR="00EA511D">
        <w:rPr>
          <w:rFonts w:asciiTheme="minorHAnsi" w:hAnsiTheme="minorHAnsi" w:cstheme="minorHAnsi"/>
          <w:sz w:val="22"/>
          <w:szCs w:val="22"/>
          <w:lang w:eastAsia="en-US"/>
        </w:rPr>
        <w:t>.</w:t>
      </w:r>
    </w:p>
    <w:p w14:paraId="28D08908" w14:textId="77777777" w:rsidR="00C17D90" w:rsidRPr="00B304E2" w:rsidRDefault="00C17D90" w:rsidP="00C17D90">
      <w:pPr>
        <w:pStyle w:val="Prrafodelista"/>
        <w:jc w:val="both"/>
        <w:rPr>
          <w:rFonts w:asciiTheme="minorHAnsi" w:hAnsiTheme="minorHAnsi" w:cstheme="minorHAnsi"/>
          <w:sz w:val="22"/>
          <w:szCs w:val="22"/>
          <w:lang w:eastAsia="en-US"/>
        </w:rPr>
      </w:pPr>
    </w:p>
    <w:p w14:paraId="20CFA499" w14:textId="7255E865" w:rsidR="00B304E2"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Inspección</w:t>
      </w:r>
      <w:r w:rsidRPr="00B304E2">
        <w:rPr>
          <w:rFonts w:asciiTheme="minorHAnsi" w:hAnsiTheme="minorHAnsi" w:cstheme="minorHAnsi"/>
          <w:sz w:val="22"/>
          <w:szCs w:val="22"/>
          <w:lang w:eastAsia="en-US"/>
        </w:rPr>
        <w:t>: Diésel (0,03%), Etanol (0,</w:t>
      </w:r>
      <w:r w:rsidR="00CD3200">
        <w:rPr>
          <w:rFonts w:asciiTheme="minorHAnsi" w:hAnsiTheme="minorHAnsi" w:cstheme="minorHAnsi"/>
          <w:sz w:val="22"/>
          <w:szCs w:val="22"/>
          <w:lang w:eastAsia="en-US"/>
        </w:rPr>
        <w:t>14</w:t>
      </w:r>
      <w:r w:rsidRPr="00B304E2">
        <w:rPr>
          <w:rFonts w:asciiTheme="minorHAnsi" w:hAnsiTheme="minorHAnsi" w:cstheme="minorHAnsi"/>
          <w:sz w:val="22"/>
          <w:szCs w:val="22"/>
          <w:lang w:eastAsia="en-US"/>
        </w:rPr>
        <w:t>%), Gasolinas (0,0</w:t>
      </w:r>
      <w:r w:rsidR="00CD3200">
        <w:rPr>
          <w:rFonts w:asciiTheme="minorHAnsi" w:hAnsiTheme="minorHAnsi" w:cstheme="minorHAnsi"/>
          <w:sz w:val="22"/>
          <w:szCs w:val="22"/>
          <w:lang w:eastAsia="en-US"/>
        </w:rPr>
        <w:t>3</w:t>
      </w:r>
      <w:r w:rsidRPr="00B304E2">
        <w:rPr>
          <w:rFonts w:asciiTheme="minorHAnsi" w:hAnsiTheme="minorHAnsi" w:cstheme="minorHAnsi"/>
          <w:sz w:val="22"/>
          <w:szCs w:val="22"/>
          <w:lang w:eastAsia="en-US"/>
        </w:rPr>
        <w:t>%), GLP (0,</w:t>
      </w:r>
      <w:r w:rsidR="00CD3200">
        <w:rPr>
          <w:rFonts w:asciiTheme="minorHAnsi" w:hAnsiTheme="minorHAnsi" w:cstheme="minorHAnsi"/>
          <w:sz w:val="22"/>
          <w:szCs w:val="22"/>
          <w:lang w:eastAsia="en-US"/>
        </w:rPr>
        <w:t>16</w:t>
      </w:r>
      <w:r w:rsidRPr="00B304E2">
        <w:rPr>
          <w:rFonts w:asciiTheme="minorHAnsi" w:hAnsiTheme="minorHAnsi" w:cstheme="minorHAnsi"/>
          <w:sz w:val="22"/>
          <w:szCs w:val="22"/>
          <w:lang w:eastAsia="en-US"/>
        </w:rPr>
        <w:t>%), Residuales (0,0</w:t>
      </w:r>
      <w:r w:rsidR="00CD3200">
        <w:rPr>
          <w:rFonts w:asciiTheme="minorHAnsi" w:hAnsiTheme="minorHAnsi" w:cstheme="minorHAnsi"/>
          <w:sz w:val="22"/>
          <w:szCs w:val="22"/>
          <w:lang w:eastAsia="en-US"/>
        </w:rPr>
        <w:t>2</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w:t>
      </w:r>
      <w:r w:rsidRPr="00B304E2">
        <w:rPr>
          <w:rFonts w:asciiTheme="minorHAnsi" w:hAnsiTheme="minorHAnsi" w:cstheme="minorHAnsi"/>
          <w:sz w:val="22"/>
          <w:szCs w:val="22"/>
          <w:lang w:eastAsia="en-US"/>
        </w:rPr>
        <w:t xml:space="preserve"> Turbo (0,0</w:t>
      </w:r>
      <w:r w:rsidR="00CD3200">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w:t>
      </w:r>
      <w:r w:rsidR="00CD3200">
        <w:rPr>
          <w:rFonts w:asciiTheme="minorHAnsi" w:hAnsiTheme="minorHAnsi" w:cstheme="minorHAnsi"/>
          <w:sz w:val="22"/>
          <w:szCs w:val="22"/>
          <w:lang w:eastAsia="en-US"/>
        </w:rPr>
        <w:t xml:space="preserve"> y Biodiesel B100</w:t>
      </w:r>
      <w:r w:rsidR="00CD3200" w:rsidRPr="00B304E2">
        <w:rPr>
          <w:rFonts w:asciiTheme="minorHAnsi" w:hAnsiTheme="minorHAnsi" w:cstheme="minorHAnsi"/>
          <w:sz w:val="22"/>
          <w:szCs w:val="22"/>
          <w:lang w:eastAsia="en-US"/>
        </w:rPr>
        <w:t xml:space="preserve"> (0,0</w:t>
      </w:r>
      <w:r w:rsidR="00CD3200">
        <w:rPr>
          <w:rFonts w:asciiTheme="minorHAnsi" w:hAnsiTheme="minorHAnsi" w:cstheme="minorHAnsi"/>
          <w:sz w:val="22"/>
          <w:szCs w:val="22"/>
          <w:lang w:eastAsia="en-US"/>
        </w:rPr>
        <w:t>1</w:t>
      </w:r>
      <w:r w:rsidR="00CD3200" w:rsidRPr="00B304E2">
        <w:rPr>
          <w:rFonts w:asciiTheme="minorHAnsi" w:hAnsiTheme="minorHAnsi" w:cstheme="minorHAnsi"/>
          <w:sz w:val="22"/>
          <w:szCs w:val="22"/>
          <w:lang w:eastAsia="en-US"/>
        </w:rPr>
        <w:t>%)</w:t>
      </w:r>
      <w:r w:rsidR="00C17D90">
        <w:rPr>
          <w:rFonts w:asciiTheme="minorHAnsi" w:hAnsiTheme="minorHAnsi" w:cstheme="minorHAnsi"/>
          <w:sz w:val="22"/>
          <w:szCs w:val="22"/>
          <w:lang w:eastAsia="en-US"/>
        </w:rPr>
        <w:t>.</w:t>
      </w:r>
    </w:p>
    <w:p w14:paraId="0CC10A31" w14:textId="77777777" w:rsidR="00C17D90" w:rsidRPr="00C17D90" w:rsidRDefault="00C17D90" w:rsidP="00C17D90">
      <w:pPr>
        <w:pStyle w:val="Prrafodelista"/>
        <w:rPr>
          <w:rFonts w:asciiTheme="minorHAnsi" w:hAnsiTheme="minorHAnsi" w:cstheme="minorHAnsi"/>
          <w:sz w:val="22"/>
          <w:szCs w:val="22"/>
          <w:lang w:eastAsia="en-US"/>
        </w:rPr>
      </w:pPr>
    </w:p>
    <w:p w14:paraId="4D81BC57" w14:textId="7B30CFF0" w:rsidR="00837CDC" w:rsidRDefault="00B304E2" w:rsidP="00D149F2">
      <w:pPr>
        <w:pStyle w:val="Prrafodelista"/>
        <w:numPr>
          <w:ilvl w:val="0"/>
          <w:numId w:val="25"/>
        </w:numPr>
        <w:jc w:val="both"/>
        <w:rPr>
          <w:rFonts w:asciiTheme="minorHAnsi" w:hAnsiTheme="minorHAnsi" w:cstheme="minorHAnsi"/>
          <w:sz w:val="22"/>
          <w:szCs w:val="22"/>
          <w:lang w:eastAsia="en-US"/>
        </w:rPr>
      </w:pPr>
      <w:r w:rsidRPr="00EA511D">
        <w:rPr>
          <w:rFonts w:asciiTheme="minorHAnsi" w:hAnsiTheme="minorHAnsi" w:cstheme="minorHAnsi"/>
          <w:b/>
          <w:bCs/>
          <w:sz w:val="22"/>
          <w:szCs w:val="22"/>
          <w:lang w:eastAsia="en-US"/>
        </w:rPr>
        <w:t>Gastos de Puerto</w:t>
      </w:r>
      <w:r w:rsidRPr="00B304E2">
        <w:rPr>
          <w:rFonts w:asciiTheme="minorHAnsi" w:hAnsiTheme="minorHAnsi" w:cstheme="minorHAnsi"/>
          <w:sz w:val="22"/>
          <w:szCs w:val="22"/>
          <w:lang w:eastAsia="en-US"/>
        </w:rPr>
        <w:t xml:space="preserve">:  Tarifa regulada de embarque o descarga de carga líquida a granel del Tarifario APM Terminals Callao </w:t>
      </w:r>
      <w:r w:rsidR="009E085E">
        <w:rPr>
          <w:rFonts w:asciiTheme="minorHAnsi" w:hAnsiTheme="minorHAnsi" w:cstheme="minorHAnsi"/>
          <w:sz w:val="22"/>
          <w:szCs w:val="22"/>
          <w:lang w:eastAsia="en-US"/>
        </w:rPr>
        <w:t>(</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,6</w:t>
      </w:r>
      <w:r w:rsidR="00463BDC">
        <w:rPr>
          <w:rFonts w:asciiTheme="minorHAnsi" w:hAnsiTheme="minorHAnsi" w:cstheme="minorHAnsi"/>
          <w:sz w:val="22"/>
          <w:szCs w:val="22"/>
          <w:lang w:eastAsia="en-US"/>
        </w:rPr>
        <w:t>5</w:t>
      </w:r>
      <w:r w:rsidR="009E085E">
        <w:rPr>
          <w:rFonts w:asciiTheme="minorHAnsi" w:hAnsiTheme="minorHAnsi" w:cstheme="minorHAnsi"/>
          <w:sz w:val="22"/>
          <w:szCs w:val="22"/>
          <w:lang w:eastAsia="en-US"/>
        </w:rPr>
        <w:t xml:space="preserve"> US$/TM) </w:t>
      </w:r>
      <w:r w:rsidRPr="00B304E2">
        <w:rPr>
          <w:rFonts w:asciiTheme="minorHAnsi" w:hAnsiTheme="minorHAnsi" w:cstheme="minorHAnsi"/>
          <w:sz w:val="22"/>
          <w:szCs w:val="22"/>
          <w:lang w:eastAsia="en-US"/>
        </w:rPr>
        <w:t>vigente desde el 0</w:t>
      </w:r>
      <w:r w:rsidR="00463BDC">
        <w:rPr>
          <w:rFonts w:asciiTheme="minorHAnsi" w:hAnsiTheme="minorHAnsi" w:cstheme="minorHAnsi"/>
          <w:sz w:val="22"/>
          <w:szCs w:val="22"/>
          <w:lang w:eastAsia="en-US"/>
        </w:rPr>
        <w:t>4</w:t>
      </w:r>
      <w:r w:rsidRPr="00B304E2">
        <w:rPr>
          <w:rFonts w:asciiTheme="minorHAnsi" w:hAnsiTheme="minorHAnsi" w:cstheme="minorHAnsi"/>
          <w:sz w:val="22"/>
          <w:szCs w:val="22"/>
          <w:lang w:eastAsia="en-US"/>
        </w:rPr>
        <w:t>.0</w:t>
      </w:r>
      <w:r w:rsidR="00463BDC">
        <w:rPr>
          <w:rFonts w:asciiTheme="minorHAnsi" w:hAnsiTheme="minorHAnsi" w:cstheme="minorHAnsi"/>
          <w:sz w:val="22"/>
          <w:szCs w:val="22"/>
          <w:lang w:eastAsia="en-US"/>
        </w:rPr>
        <w:t>9</w:t>
      </w:r>
      <w:r w:rsidRPr="00B304E2">
        <w:rPr>
          <w:rFonts w:asciiTheme="minorHAnsi" w:hAnsiTheme="minorHAnsi" w:cstheme="minorHAnsi"/>
          <w:sz w:val="22"/>
          <w:szCs w:val="22"/>
          <w:lang w:eastAsia="en-US"/>
        </w:rPr>
        <w:t>.23.</w:t>
      </w:r>
    </w:p>
    <w:p w14:paraId="0523372B" w14:textId="77777777" w:rsidR="00837CDC" w:rsidRPr="00837CDC" w:rsidRDefault="00837CDC" w:rsidP="00837CDC">
      <w:pPr>
        <w:pStyle w:val="Prrafodelista"/>
        <w:rPr>
          <w:rFonts w:asciiTheme="minorHAnsi" w:hAnsiTheme="minorHAnsi" w:cstheme="minorHAnsi"/>
          <w:sz w:val="22"/>
          <w:szCs w:val="22"/>
          <w:lang w:eastAsia="en-US"/>
        </w:rPr>
      </w:pPr>
    </w:p>
    <w:p w14:paraId="5451DFF8" w14:textId="2CA3C240" w:rsidR="00D149F2" w:rsidRPr="0056236C" w:rsidRDefault="00B304E2" w:rsidP="004F74EE">
      <w:pPr>
        <w:pStyle w:val="Prrafodelista"/>
        <w:numPr>
          <w:ilvl w:val="0"/>
          <w:numId w:val="25"/>
        </w:numPr>
        <w:jc w:val="both"/>
        <w:rPr>
          <w:rFonts w:asciiTheme="minorHAnsi" w:hAnsiTheme="minorHAnsi" w:cstheme="minorHAnsi"/>
          <w:sz w:val="22"/>
          <w:szCs w:val="22"/>
          <w:lang w:eastAsia="en-US"/>
        </w:rPr>
        <w:sectPr w:rsidR="00D149F2" w:rsidRPr="0056236C" w:rsidSect="002A50E6">
          <w:headerReference w:type="default" r:id="rId18"/>
          <w:footerReference w:type="default" r:id="rId19"/>
          <w:headerReference w:type="first" r:id="rId20"/>
          <w:footerReference w:type="first" r:id="rId21"/>
          <w:type w:val="continuous"/>
          <w:pgSz w:w="11907" w:h="16840" w:code="9"/>
          <w:pgMar w:top="1560" w:right="1559" w:bottom="1134" w:left="1701" w:header="426" w:footer="0" w:gutter="0"/>
          <w:cols w:space="720"/>
          <w:noEndnote/>
          <w:titlePg/>
        </w:sectPr>
      </w:pPr>
      <w:r w:rsidRPr="00EA511D">
        <w:rPr>
          <w:rFonts w:asciiTheme="minorHAnsi" w:hAnsiTheme="minorHAnsi" w:cstheme="minorHAnsi"/>
          <w:b/>
          <w:bCs/>
          <w:sz w:val="22"/>
          <w:szCs w:val="22"/>
          <w:lang w:eastAsia="en-US"/>
        </w:rPr>
        <w:t>Sobreestadías</w:t>
      </w:r>
      <w:r w:rsidRPr="00B304E2">
        <w:rPr>
          <w:rFonts w:asciiTheme="minorHAnsi" w:hAnsiTheme="minorHAnsi" w:cstheme="minorHAnsi"/>
          <w:sz w:val="22"/>
          <w:szCs w:val="22"/>
          <w:lang w:eastAsia="en-US"/>
        </w:rPr>
        <w:t>: Diésel (0,</w:t>
      </w:r>
      <w:r w:rsidR="00CD3200">
        <w:rPr>
          <w:rFonts w:asciiTheme="minorHAnsi" w:hAnsiTheme="minorHAnsi" w:cstheme="minorHAnsi"/>
          <w:sz w:val="22"/>
          <w:szCs w:val="22"/>
          <w:lang w:eastAsia="en-US"/>
        </w:rPr>
        <w:t>15</w:t>
      </w:r>
      <w:r w:rsidRPr="00B304E2">
        <w:rPr>
          <w:rFonts w:asciiTheme="minorHAnsi" w:hAnsiTheme="minorHAnsi" w:cstheme="minorHAnsi"/>
          <w:sz w:val="22"/>
          <w:szCs w:val="22"/>
          <w:lang w:eastAsia="en-US"/>
        </w:rPr>
        <w:t xml:space="preserve"> US$/Bl), GLP (0,</w:t>
      </w:r>
      <w:r w:rsidR="00500CF0">
        <w:rPr>
          <w:rFonts w:asciiTheme="minorHAnsi" w:hAnsiTheme="minorHAnsi" w:cstheme="minorHAnsi"/>
          <w:sz w:val="22"/>
          <w:szCs w:val="22"/>
          <w:lang w:eastAsia="en-US"/>
        </w:rPr>
        <w:t>4</w:t>
      </w:r>
      <w:r w:rsidR="00A918E9">
        <w:rPr>
          <w:rFonts w:asciiTheme="minorHAnsi" w:hAnsiTheme="minorHAnsi" w:cstheme="minorHAnsi"/>
          <w:sz w:val="22"/>
          <w:szCs w:val="22"/>
          <w:lang w:eastAsia="en-US"/>
        </w:rPr>
        <w:t>7</w:t>
      </w:r>
      <w:r w:rsidR="009E085E">
        <w:rPr>
          <w:rFonts w:asciiTheme="minorHAnsi" w:hAnsiTheme="minorHAnsi" w:cstheme="minorHAnsi"/>
          <w:sz w:val="22"/>
          <w:szCs w:val="22"/>
          <w:lang w:eastAsia="en-US"/>
        </w:rPr>
        <w:t xml:space="preserve"> </w:t>
      </w:r>
      <w:r w:rsidRPr="00B304E2">
        <w:rPr>
          <w:rFonts w:asciiTheme="minorHAnsi" w:hAnsiTheme="minorHAnsi" w:cstheme="minorHAnsi"/>
          <w:sz w:val="22"/>
          <w:szCs w:val="22"/>
          <w:lang w:eastAsia="en-US"/>
        </w:rPr>
        <w:t>US$/Bl) y Gasolinas (0,</w:t>
      </w:r>
      <w:r w:rsidR="00E6242B">
        <w:rPr>
          <w:rFonts w:asciiTheme="minorHAnsi" w:hAnsiTheme="minorHAnsi" w:cstheme="minorHAnsi"/>
          <w:sz w:val="22"/>
          <w:szCs w:val="22"/>
          <w:lang w:eastAsia="en-US"/>
        </w:rPr>
        <w:t>38</w:t>
      </w:r>
      <w:r w:rsidR="009E085E">
        <w:rPr>
          <w:rFonts w:asciiTheme="minorHAnsi" w:hAnsiTheme="minorHAnsi" w:cstheme="minorHAnsi"/>
          <w:sz w:val="22"/>
          <w:szCs w:val="22"/>
          <w:lang w:eastAsia="en-US"/>
        </w:rPr>
        <w:t xml:space="preserve"> US</w:t>
      </w:r>
      <w:r w:rsidRPr="00B304E2">
        <w:rPr>
          <w:rFonts w:asciiTheme="minorHAnsi" w:hAnsiTheme="minorHAnsi" w:cstheme="minorHAnsi"/>
          <w:sz w:val="22"/>
          <w:szCs w:val="22"/>
          <w:lang w:eastAsia="en-US"/>
        </w:rPr>
        <w:t>$/Bl)</w:t>
      </w:r>
      <w:r w:rsidR="00DF13D8">
        <w:rPr>
          <w:rFonts w:asciiTheme="minorHAnsi" w:hAnsiTheme="minorHAnsi" w:cstheme="minorHAnsi"/>
          <w:sz w:val="22"/>
          <w:szCs w:val="22"/>
          <w:lang w:eastAsia="en-US"/>
        </w:rPr>
        <w:t>.</w:t>
      </w:r>
    </w:p>
    <w:p w14:paraId="728D2FE7" w14:textId="1060D32B" w:rsidR="004F74EE" w:rsidRPr="004F74EE" w:rsidRDefault="001839E1" w:rsidP="004F74EE">
      <w:pPr>
        <w:jc w:val="both"/>
        <w:rPr>
          <w:rFonts w:ascii="Calibri" w:hAnsi="Calibri" w:cs="Calibri"/>
          <w:b/>
          <w:bCs/>
          <w:i/>
          <w:iCs/>
          <w:sz w:val="20"/>
          <w:szCs w:val="20"/>
          <w:lang w:val="es-PE" w:eastAsia="en-US"/>
        </w:rPr>
      </w:pPr>
      <w:r>
        <w:rPr>
          <w:rFonts w:ascii="Calibri" w:hAnsi="Calibri" w:cs="Calibri"/>
          <w:b/>
          <w:bCs/>
          <w:i/>
          <w:iCs/>
          <w:sz w:val="20"/>
          <w:szCs w:val="20"/>
          <w:lang w:val="es-PE" w:eastAsia="en-US"/>
        </w:rPr>
        <w:lastRenderedPageBreak/>
        <w:t>TABLA N°</w:t>
      </w:r>
      <w:r w:rsidR="0092047B">
        <w:rPr>
          <w:rFonts w:ascii="Calibri" w:hAnsi="Calibri" w:cs="Calibri"/>
          <w:b/>
          <w:bCs/>
          <w:i/>
          <w:iCs/>
          <w:sz w:val="20"/>
          <w:szCs w:val="20"/>
          <w:lang w:val="es-PE" w:eastAsia="en-US"/>
        </w:rPr>
        <w:t xml:space="preserve"> </w:t>
      </w:r>
      <w:r>
        <w:rPr>
          <w:rFonts w:ascii="Calibri" w:hAnsi="Calibri" w:cs="Calibri"/>
          <w:b/>
          <w:bCs/>
          <w:i/>
          <w:iCs/>
          <w:sz w:val="20"/>
          <w:szCs w:val="20"/>
          <w:lang w:val="es-PE" w:eastAsia="en-US"/>
        </w:rPr>
        <w:t>1</w:t>
      </w:r>
      <w:r w:rsidR="00D8540F">
        <w:rPr>
          <w:rFonts w:ascii="Calibri" w:hAnsi="Calibri" w:cs="Calibri"/>
          <w:b/>
          <w:bCs/>
          <w:i/>
          <w:iCs/>
          <w:sz w:val="20"/>
          <w:szCs w:val="20"/>
          <w:lang w:val="es-PE" w:eastAsia="en-US"/>
        </w:rPr>
        <w:t>: Composición de los Precios de Referencia de Importación de Combustibles</w:t>
      </w:r>
    </w:p>
    <w:p w14:paraId="267F1D50" w14:textId="6FB318E4" w:rsidR="007744B2" w:rsidRDefault="00356B94" w:rsidP="004F74EE">
      <w:pPr>
        <w:pBdr>
          <w:top w:val="single" w:sz="4" w:space="1" w:color="auto"/>
          <w:bottom w:val="single" w:sz="4" w:space="1" w:color="auto"/>
        </w:pBdr>
        <w:jc w:val="center"/>
        <w:rPr>
          <w:rFonts w:ascii="Calibri" w:hAnsi="Calibri" w:cs="Calibri"/>
          <w:sz w:val="22"/>
          <w:szCs w:val="22"/>
          <w:lang w:val="es-PE" w:eastAsia="en-US"/>
        </w:rPr>
      </w:pPr>
      <w:r w:rsidRPr="00356B94">
        <w:drawing>
          <wp:inline distT="0" distB="0" distL="0" distR="0" wp14:anchorId="6309D17F" wp14:editId="4E32BE8B">
            <wp:extent cx="8173085" cy="3028950"/>
            <wp:effectExtent l="0" t="0" r="0" b="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173085" cy="3028950"/>
                    </a:xfrm>
                    <a:prstGeom prst="rect">
                      <a:avLst/>
                    </a:prstGeom>
                    <a:noFill/>
                    <a:ln>
                      <a:noFill/>
                    </a:ln>
                  </pic:spPr>
                </pic:pic>
              </a:graphicData>
            </a:graphic>
          </wp:inline>
        </w:drawing>
      </w:r>
    </w:p>
    <w:tbl>
      <w:tblPr>
        <w:tblW w:w="13467" w:type="dxa"/>
        <w:tblLook w:val="04A0" w:firstRow="1" w:lastRow="0" w:firstColumn="1" w:lastColumn="0" w:noHBand="0" w:noVBand="1"/>
      </w:tblPr>
      <w:tblGrid>
        <w:gridCol w:w="13467"/>
      </w:tblGrid>
      <w:tr w:rsidR="00352553" w:rsidRPr="00352553"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190501AE" w14:textId="5A1B8619"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 Los cálculos se han efectuado conforme a la Resolución Directoral N°244-2020-MEM/DGH y Resolución de Consejo Directivo N° 174-2021-OS/CD</w:t>
            </w:r>
          </w:p>
        </w:tc>
      </w:tr>
      <w:tr w:rsidR="00352553" w:rsidRPr="00352553"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(2) PR1: Son Precios Netos Ex-Planta, sin incluir Impuestos (ISC, IGV, Rodaje), ni gastos de Gestión Comercial.</w:t>
            </w:r>
          </w:p>
        </w:tc>
      </w:tr>
      <w:tr w:rsidR="00352553" w:rsidRPr="00352553"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7A7BC567" w14:textId="77777777" w:rsidR="00CA21E8"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(3) Para el </w:t>
            </w:r>
            <w:r w:rsidR="00B1448F" w:rsidRPr="00352553">
              <w:rPr>
                <w:rFonts w:asciiTheme="minorHAnsi" w:hAnsiTheme="minorHAnsi" w:cstheme="minorHAnsi"/>
                <w:i/>
                <w:iCs/>
                <w:sz w:val="18"/>
                <w:szCs w:val="18"/>
                <w:lang w:val="es-MX" w:eastAsia="en-US"/>
              </w:rPr>
              <w:t>Dié</w:t>
            </w:r>
            <w:r w:rsidR="00B1448F">
              <w:rPr>
                <w:rFonts w:asciiTheme="minorHAnsi" w:hAnsiTheme="minorHAnsi" w:cstheme="minorHAnsi"/>
                <w:i/>
                <w:iCs/>
                <w:sz w:val="18"/>
                <w:szCs w:val="18"/>
                <w:lang w:val="es-MX" w:eastAsia="en-US"/>
              </w:rPr>
              <w:t>sel</w:t>
            </w:r>
            <w:r w:rsidR="00707E57">
              <w:rPr>
                <w:rFonts w:asciiTheme="minorHAnsi" w:hAnsiTheme="minorHAnsi" w:cstheme="minorHAnsi"/>
                <w:i/>
                <w:iCs/>
                <w:sz w:val="18"/>
                <w:szCs w:val="18"/>
                <w:lang w:val="es-MX" w:eastAsia="en-US"/>
              </w:rPr>
              <w:t xml:space="preserve"> de alto azufre</w:t>
            </w:r>
            <w:r w:rsidR="00B1448F">
              <w:rPr>
                <w:rFonts w:asciiTheme="minorHAnsi" w:hAnsiTheme="minorHAnsi" w:cstheme="minorHAnsi"/>
                <w:i/>
                <w:iCs/>
                <w:sz w:val="18"/>
                <w:szCs w:val="18"/>
                <w:lang w:val="es-MX" w:eastAsia="en-US"/>
              </w:rPr>
              <w:t>,</w:t>
            </w:r>
            <w:r w:rsidR="00E33273">
              <w:rPr>
                <w:rFonts w:asciiTheme="minorHAnsi" w:hAnsiTheme="minorHAnsi" w:cstheme="minorHAnsi"/>
                <w:i/>
                <w:iCs/>
                <w:sz w:val="18"/>
                <w:szCs w:val="18"/>
                <w:lang w:val="es-MX" w:eastAsia="en-US"/>
              </w:rPr>
              <w:t xml:space="preserve"> el ajuste de calidad por c</w:t>
            </w:r>
            <w:r w:rsidRPr="00352553">
              <w:rPr>
                <w:rFonts w:asciiTheme="minorHAnsi" w:hAnsiTheme="minorHAnsi" w:cstheme="minorHAnsi"/>
                <w:i/>
                <w:iCs/>
                <w:sz w:val="18"/>
                <w:szCs w:val="18"/>
                <w:lang w:val="es-MX" w:eastAsia="en-US"/>
              </w:rPr>
              <w:t xml:space="preserve">etano (40 en el Mercado Internacional, según especificaciones del Colonial Pipeline y 45 en el Mercado Local) es igual </w:t>
            </w:r>
          </w:p>
          <w:p w14:paraId="6C28006E" w14:textId="7B2FF94C" w:rsidR="00352553" w:rsidRPr="00352553" w:rsidRDefault="00352553" w:rsidP="0035255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a 0</w:t>
            </w:r>
            <w:r w:rsidR="00ED3A67">
              <w:rPr>
                <w:rFonts w:asciiTheme="minorHAnsi" w:hAnsiTheme="minorHAnsi" w:cstheme="minorHAnsi"/>
                <w:i/>
                <w:iCs/>
                <w:sz w:val="18"/>
                <w:szCs w:val="18"/>
                <w:lang w:val="es-MX" w:eastAsia="en-US"/>
              </w:rPr>
              <w:t>,</w:t>
            </w:r>
            <w:r w:rsidRPr="00352553">
              <w:rPr>
                <w:rFonts w:asciiTheme="minorHAnsi" w:hAnsiTheme="minorHAnsi" w:cstheme="minorHAnsi"/>
                <w:i/>
                <w:iCs/>
                <w:sz w:val="18"/>
                <w:szCs w:val="18"/>
                <w:lang w:val="es-MX" w:eastAsia="en-US"/>
              </w:rPr>
              <w:t xml:space="preserve">37 US$/Bl </w:t>
            </w:r>
          </w:p>
        </w:tc>
      </w:tr>
      <w:tr w:rsidR="00352553" w:rsidRPr="00352553"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352553" w:rsidRDefault="00365B5B" w:rsidP="0035255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(4) El advalorem del etanol</w:t>
            </w:r>
            <w:r w:rsidR="00352553" w:rsidRPr="00352553">
              <w:rPr>
                <w:rFonts w:asciiTheme="minorHAnsi" w:hAnsiTheme="minorHAnsi" w:cstheme="minorHAnsi"/>
                <w:i/>
                <w:iCs/>
                <w:sz w:val="18"/>
                <w:szCs w:val="18"/>
                <w:lang w:val="es-MX" w:eastAsia="en-US"/>
              </w:rPr>
              <w:t xml:space="preserve">, </w:t>
            </w:r>
            <w:r>
              <w:rPr>
                <w:rFonts w:asciiTheme="minorHAnsi" w:hAnsiTheme="minorHAnsi" w:cstheme="minorHAnsi"/>
                <w:i/>
                <w:iCs/>
                <w:sz w:val="18"/>
                <w:szCs w:val="18"/>
                <w:lang w:val="es-MX" w:eastAsia="en-US"/>
              </w:rPr>
              <w:t>se actualizará</w:t>
            </w:r>
            <w:r w:rsidR="00352553" w:rsidRPr="00352553">
              <w:rPr>
                <w:rFonts w:asciiTheme="minorHAnsi" w:hAnsiTheme="minorHAnsi" w:cstheme="minorHAnsi"/>
                <w:i/>
                <w:iCs/>
                <w:sz w:val="18"/>
                <w:szCs w:val="18"/>
                <w:lang w:val="es-MX" w:eastAsia="en-US"/>
              </w:rPr>
              <w:t xml:space="preserve"> de acuerdo con el or</w:t>
            </w:r>
            <w:r w:rsidR="009150A7">
              <w:rPr>
                <w:rFonts w:asciiTheme="minorHAnsi" w:hAnsiTheme="minorHAnsi" w:cstheme="minorHAnsi"/>
                <w:i/>
                <w:iCs/>
                <w:sz w:val="18"/>
                <w:szCs w:val="18"/>
                <w:lang w:val="es-MX" w:eastAsia="en-US"/>
              </w:rPr>
              <w:t>igen de las importaciones</w:t>
            </w:r>
            <w:r w:rsidR="00352553" w:rsidRPr="00352553">
              <w:rPr>
                <w:rFonts w:asciiTheme="minorHAnsi" w:hAnsiTheme="minorHAnsi" w:cstheme="minorHAnsi"/>
                <w:i/>
                <w:iCs/>
                <w:sz w:val="18"/>
                <w:szCs w:val="18"/>
                <w:lang w:val="es-MX" w:eastAsia="en-US"/>
              </w:rPr>
              <w:t xml:space="preserve"> al P</w:t>
            </w:r>
            <w:r w:rsidR="009150A7">
              <w:rPr>
                <w:rFonts w:asciiTheme="minorHAnsi" w:hAnsiTheme="minorHAnsi" w:cstheme="minorHAnsi"/>
                <w:i/>
                <w:iCs/>
                <w:sz w:val="18"/>
                <w:szCs w:val="18"/>
                <w:lang w:val="es-MX" w:eastAsia="en-US"/>
              </w:rPr>
              <w:t xml:space="preserve">erú y </w:t>
            </w:r>
            <w:r w:rsidR="00352553" w:rsidRPr="00352553">
              <w:rPr>
                <w:rFonts w:asciiTheme="minorHAnsi" w:hAnsiTheme="minorHAnsi" w:cstheme="minorHAnsi"/>
                <w:i/>
                <w:iCs/>
                <w:sz w:val="18"/>
                <w:szCs w:val="18"/>
                <w:lang w:val="es-MX" w:eastAsia="en-US"/>
              </w:rPr>
              <w:t>los convenios internacionales vigentes.</w:t>
            </w:r>
          </w:p>
        </w:tc>
      </w:tr>
      <w:tr w:rsidR="00352553" w:rsidRPr="00352553"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77777777" w:rsidR="00CA21E8" w:rsidRDefault="00352553" w:rsidP="005C2A13">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 xml:space="preserve">(5) Para el ajuste por octanaje de las Gasolinas </w:t>
            </w:r>
            <w:r w:rsidR="005C2A13">
              <w:rPr>
                <w:rFonts w:asciiTheme="minorHAnsi" w:hAnsiTheme="minorHAnsi" w:cstheme="minorHAnsi"/>
                <w:i/>
                <w:iCs/>
                <w:sz w:val="18"/>
                <w:szCs w:val="18"/>
                <w:lang w:val="es-MX" w:eastAsia="en-US"/>
              </w:rPr>
              <w:t>Regular</w:t>
            </w:r>
            <w:r w:rsidRPr="00352553">
              <w:rPr>
                <w:rFonts w:asciiTheme="minorHAnsi" w:hAnsiTheme="minorHAnsi" w:cstheme="minorHAnsi"/>
                <w:i/>
                <w:iCs/>
                <w:sz w:val="18"/>
                <w:szCs w:val="18"/>
                <w:lang w:val="es-MX" w:eastAsia="en-US"/>
              </w:rPr>
              <w:t xml:space="preserve"> y</w:t>
            </w:r>
            <w:r w:rsidR="005C2A13">
              <w:rPr>
                <w:rFonts w:asciiTheme="minorHAnsi" w:hAnsiTheme="minorHAnsi" w:cstheme="minorHAnsi"/>
                <w:i/>
                <w:iCs/>
                <w:sz w:val="18"/>
                <w:szCs w:val="18"/>
                <w:lang w:val="es-MX" w:eastAsia="en-US"/>
              </w:rPr>
              <w:t xml:space="preserve"> de</w:t>
            </w:r>
            <w:r w:rsidRPr="00352553">
              <w:rPr>
                <w:rFonts w:asciiTheme="minorHAnsi" w:hAnsiTheme="minorHAnsi" w:cstheme="minorHAnsi"/>
                <w:i/>
                <w:iCs/>
                <w:sz w:val="18"/>
                <w:szCs w:val="18"/>
                <w:lang w:val="es-MX" w:eastAsia="en-US"/>
              </w:rPr>
              <w:t xml:space="preserve"> 84 </w:t>
            </w:r>
            <w:r w:rsidR="005C2A13">
              <w:rPr>
                <w:rFonts w:asciiTheme="minorHAnsi" w:hAnsiTheme="minorHAnsi" w:cstheme="minorHAnsi"/>
                <w:i/>
                <w:iCs/>
                <w:sz w:val="18"/>
                <w:szCs w:val="18"/>
                <w:lang w:val="es-MX" w:eastAsia="en-US"/>
              </w:rPr>
              <w:t xml:space="preserve">octanos </w:t>
            </w:r>
            <w:r w:rsidRPr="00352553">
              <w:rPr>
                <w:rFonts w:asciiTheme="minorHAnsi" w:hAnsiTheme="minorHAnsi" w:cstheme="minorHAnsi"/>
                <w:i/>
                <w:iCs/>
                <w:sz w:val="18"/>
                <w:szCs w:val="18"/>
                <w:lang w:val="es-MX" w:eastAsia="en-US"/>
              </w:rPr>
              <w:t>se usan los índices de octano de las Gasolinas Base.</w:t>
            </w:r>
            <w:r w:rsidR="00C82C4C">
              <w:rPr>
                <w:rFonts w:asciiTheme="minorHAnsi" w:hAnsiTheme="minorHAnsi" w:cstheme="minorHAnsi"/>
                <w:i/>
                <w:iCs/>
                <w:sz w:val="18"/>
                <w:szCs w:val="18"/>
                <w:lang w:val="es-MX" w:eastAsia="en-US"/>
              </w:rPr>
              <w:t xml:space="preserve"> Se incluye un ajuste de calidad por RVP para todas</w:t>
            </w:r>
          </w:p>
          <w:p w14:paraId="5A217F79" w14:textId="7950F6BA" w:rsidR="00352553" w:rsidRPr="00352553" w:rsidRDefault="00C82C4C" w:rsidP="005C2A13">
            <w:pPr>
              <w:rPr>
                <w:rFonts w:asciiTheme="minorHAnsi" w:hAnsiTheme="minorHAnsi" w:cstheme="minorHAnsi"/>
                <w:i/>
                <w:iCs/>
                <w:sz w:val="18"/>
                <w:szCs w:val="18"/>
                <w:lang w:val="es-MX" w:eastAsia="en-US"/>
              </w:rPr>
            </w:pPr>
            <w:r>
              <w:rPr>
                <w:rFonts w:asciiTheme="minorHAnsi" w:hAnsiTheme="minorHAnsi" w:cstheme="minorHAnsi"/>
                <w:i/>
                <w:iCs/>
                <w:sz w:val="18"/>
                <w:szCs w:val="18"/>
                <w:lang w:val="es-MX" w:eastAsia="en-US"/>
              </w:rPr>
              <w:t xml:space="preserve"> las gasolinas.</w:t>
            </w:r>
          </w:p>
        </w:tc>
      </w:tr>
      <w:tr w:rsidR="0091219E" w:rsidRPr="00352553"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(6) En el precio de referencia del GLP se considera la proporción de mezcla Propano/Butano = 70/30</w:t>
            </w:r>
          </w:p>
        </w:tc>
      </w:tr>
      <w:tr w:rsidR="0091219E" w:rsidRPr="00352553"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(7) Los precios de los marcadores del diésel y gasolinas consideran un descuento por RVO.</w:t>
            </w:r>
          </w:p>
        </w:tc>
      </w:tr>
      <w:tr w:rsidR="0091219E" w:rsidRPr="00352553"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(8) Las Gasolinas de alto octanaje se han formulado como una proporción de mezcla de las Gasolinas CBOB de la Costa del Golfo.</w:t>
            </w:r>
          </w:p>
        </w:tc>
      </w:tr>
      <w:tr w:rsidR="0091219E" w:rsidRPr="00352553"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(9) El Precio de Referencia del Diesel BX, ha sido calculado considerando los porcentajes de Diésel y Biodiesel B100 utilizados en la mezcla.</w:t>
            </w:r>
          </w:p>
        </w:tc>
      </w:tr>
      <w:tr w:rsidR="0091219E" w:rsidRPr="00352553"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352553" w:rsidRDefault="0091219E" w:rsidP="0091219E">
            <w:pPr>
              <w:rPr>
                <w:rFonts w:asciiTheme="minorHAnsi" w:hAnsiTheme="minorHAnsi" w:cstheme="minorHAnsi"/>
                <w:i/>
                <w:iCs/>
                <w:sz w:val="18"/>
                <w:szCs w:val="18"/>
                <w:lang w:val="es-MX" w:eastAsia="en-US"/>
              </w:rPr>
            </w:pPr>
            <w:r w:rsidRPr="00352553">
              <w:rPr>
                <w:rFonts w:asciiTheme="minorHAnsi" w:hAnsiTheme="minorHAnsi" w:cstheme="minorHAnsi"/>
                <w:i/>
                <w:iCs/>
                <w:sz w:val="18"/>
                <w:szCs w:val="18"/>
                <w:lang w:val="es-MX" w:eastAsia="en-US"/>
              </w:rPr>
              <w:t>(10) El Precio de Referencia de los Gasoholes, ha sido calculado considerando los porcentajes de Gasolina y Etanol utilizados en la mezcla.</w:t>
            </w:r>
          </w:p>
        </w:tc>
      </w:tr>
    </w:tbl>
    <w:p w14:paraId="6D715DBF" w14:textId="77777777" w:rsidR="004F74EE" w:rsidRPr="004F74EE" w:rsidRDefault="004F74EE" w:rsidP="00502C6D">
      <w:pPr>
        <w:tabs>
          <w:tab w:val="left" w:pos="993"/>
        </w:tabs>
        <w:jc w:val="both"/>
        <w:rPr>
          <w:rFonts w:ascii="Arial" w:hAnsi="Arial" w:cs="Arial"/>
          <w:sz w:val="22"/>
          <w:szCs w:val="22"/>
          <w:u w:val="single"/>
          <w:lang w:val="es-MX" w:eastAsia="en-US"/>
        </w:rPr>
        <w:sectPr w:rsidR="004F74EE" w:rsidRPr="004F74EE" w:rsidSect="00352B3A">
          <w:footerReference w:type="default" r:id="rId23"/>
          <w:headerReference w:type="first" r:id="rId24"/>
          <w:type w:val="nextColumn"/>
          <w:pgSz w:w="16840" w:h="11907" w:orient="landscape" w:code="9"/>
          <w:pgMar w:top="1843" w:right="2268" w:bottom="1276" w:left="1701" w:header="426" w:footer="0" w:gutter="0"/>
          <w:cols w:space="720"/>
          <w:noEndnote/>
          <w:titlePg/>
        </w:sectPr>
      </w:pPr>
    </w:p>
    <w:p w14:paraId="31265628" w14:textId="77777777" w:rsidR="00F85D23" w:rsidRPr="00A74457" w:rsidRDefault="00F85D23" w:rsidP="0004242F">
      <w:pPr>
        <w:pStyle w:val="Sangradetextonormal"/>
        <w:numPr>
          <w:ilvl w:val="1"/>
          <w:numId w:val="3"/>
        </w:numPr>
        <w:tabs>
          <w:tab w:val="left" w:pos="426"/>
        </w:tabs>
        <w:ind w:left="567" w:hanging="851"/>
        <w:rPr>
          <w:rFonts w:asciiTheme="minorHAnsi" w:hAnsiTheme="minorHAnsi" w:cstheme="minorHAnsi"/>
          <w:b/>
          <w:bCs/>
          <w:sz w:val="24"/>
          <w:u w:val="single"/>
        </w:rPr>
      </w:pPr>
      <w:r w:rsidRPr="00A74457">
        <w:rPr>
          <w:rFonts w:asciiTheme="minorHAnsi" w:hAnsiTheme="minorHAnsi" w:cstheme="minorHAnsi"/>
          <w:b/>
          <w:bCs/>
          <w:sz w:val="24"/>
          <w:u w:val="single"/>
        </w:rPr>
        <w:lastRenderedPageBreak/>
        <w:t>Variación Semanal de los Precios de Referencia de Combustibles</w:t>
      </w:r>
    </w:p>
    <w:p w14:paraId="26C41A6B" w14:textId="77777777" w:rsidR="00F85D23" w:rsidRDefault="00F85D23" w:rsidP="00F85D23">
      <w:pPr>
        <w:pStyle w:val="Encabezado"/>
        <w:tabs>
          <w:tab w:val="clear" w:pos="4419"/>
          <w:tab w:val="clear" w:pos="8838"/>
        </w:tabs>
        <w:rPr>
          <w:rFonts w:asciiTheme="minorHAnsi" w:hAnsiTheme="minorHAnsi" w:cstheme="minorHAnsi"/>
          <w:b/>
          <w:bCs/>
          <w:sz w:val="22"/>
          <w:szCs w:val="22"/>
          <w:u w:val="single"/>
        </w:rPr>
      </w:pPr>
    </w:p>
    <w:p w14:paraId="4C364533" w14:textId="77777777" w:rsidR="00F85D23" w:rsidRPr="002B3648" w:rsidRDefault="00F85D23" w:rsidP="00F85D23">
      <w:pPr>
        <w:pStyle w:val="Encabezado"/>
        <w:tabs>
          <w:tab w:val="clear" w:pos="4419"/>
          <w:tab w:val="clear" w:pos="8838"/>
        </w:tabs>
        <w:rPr>
          <w:rFonts w:asciiTheme="minorHAnsi" w:hAnsiTheme="minorHAnsi" w:cstheme="minorHAnsi"/>
          <w:b/>
          <w:bCs/>
          <w:sz w:val="22"/>
          <w:szCs w:val="22"/>
          <w:u w:val="single"/>
        </w:rPr>
      </w:pPr>
    </w:p>
    <w:p w14:paraId="5909968F" w14:textId="37AAF278" w:rsidR="00F85D23" w:rsidRPr="002B3648" w:rsidRDefault="001839E1" w:rsidP="00F85D23">
      <w:pPr>
        <w:ind w:left="1134" w:right="-567"/>
        <w:rPr>
          <w:rFonts w:asciiTheme="minorHAnsi" w:hAnsiTheme="minorHAnsi" w:cstheme="minorHAnsi"/>
        </w:rPr>
      </w:pPr>
      <w:r>
        <w:rPr>
          <w:rFonts w:asciiTheme="minorHAnsi" w:hAnsiTheme="minorHAnsi" w:cstheme="minorHAnsi"/>
          <w:b/>
          <w:i/>
          <w:sz w:val="20"/>
          <w:szCs w:val="20"/>
        </w:rPr>
        <w:t>TABLA N° 2</w:t>
      </w:r>
      <w:r w:rsidR="00F85D23" w:rsidRPr="002B3648">
        <w:rPr>
          <w:rFonts w:asciiTheme="minorHAnsi" w:hAnsiTheme="minorHAnsi" w:cstheme="minorHAnsi"/>
          <w:i/>
          <w:sz w:val="20"/>
          <w:szCs w:val="20"/>
        </w:rPr>
        <w:t xml:space="preserve">: </w:t>
      </w:r>
      <w:r w:rsidR="00F85D23" w:rsidRPr="002B3648">
        <w:rPr>
          <w:rFonts w:asciiTheme="minorHAnsi" w:hAnsiTheme="minorHAnsi" w:cstheme="minorHAnsi"/>
          <w:i/>
          <w:sz w:val="18"/>
          <w:szCs w:val="18"/>
        </w:rPr>
        <w:t>Variación de PR Combustibles OSINERGMIN</w:t>
      </w:r>
      <w:r w:rsidR="00F85D23">
        <w:rPr>
          <w:rFonts w:asciiTheme="minorHAnsi" w:hAnsiTheme="minorHAnsi" w:cstheme="minorHAnsi"/>
          <w:b/>
          <w:i/>
          <w:sz w:val="20"/>
          <w:szCs w:val="20"/>
        </w:rPr>
        <w:t xml:space="preserve">     </w:t>
      </w:r>
      <w:r w:rsidR="00F85D23" w:rsidRPr="002B3648">
        <w:rPr>
          <w:rFonts w:asciiTheme="minorHAnsi" w:hAnsiTheme="minorHAnsi" w:cstheme="minorHAnsi"/>
          <w:b/>
          <w:i/>
          <w:sz w:val="20"/>
          <w:szCs w:val="20"/>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2B3648" w14:paraId="5A768BE6" w14:textId="77777777" w:rsidTr="007744B2">
        <w:trPr>
          <w:trHeight w:val="4509"/>
        </w:trPr>
        <w:tc>
          <w:tcPr>
            <w:tcW w:w="5758" w:type="dxa"/>
            <w:tcBorders>
              <w:top w:val="single" w:sz="4" w:space="0" w:color="auto"/>
              <w:bottom w:val="single" w:sz="4" w:space="0" w:color="auto"/>
            </w:tcBorders>
            <w:shd w:val="clear" w:color="auto" w:fill="auto"/>
          </w:tcPr>
          <w:p w14:paraId="5E53DA41" w14:textId="58122275" w:rsidR="0089632A" w:rsidRDefault="00A918E9" w:rsidP="00957F6B">
            <w:pPr>
              <w:ind w:left="-618" w:right="-654"/>
              <w:jc w:val="center"/>
              <w:rPr>
                <w:rFonts w:asciiTheme="minorHAnsi" w:hAnsiTheme="minorHAnsi" w:cstheme="minorHAnsi"/>
              </w:rPr>
            </w:pPr>
            <w:r w:rsidRPr="00984ACC">
              <w:rPr>
                <w:rFonts w:asciiTheme="minorHAnsi" w:hAnsiTheme="minorHAnsi" w:cstheme="minorHAnsi"/>
                <w:noProof/>
              </w:rPr>
              <w:drawing>
                <wp:inline distT="0" distB="0" distL="0" distR="0" wp14:anchorId="4AC0B766" wp14:editId="5E48962D">
                  <wp:extent cx="3779520" cy="2529840"/>
                  <wp:effectExtent l="0" t="0" r="0" b="3810"/>
                  <wp:docPr id="81661661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779520" cy="2529840"/>
                          </a:xfrm>
                          <a:prstGeom prst="rect">
                            <a:avLst/>
                          </a:prstGeom>
                          <a:noFill/>
                          <a:ln>
                            <a:noFill/>
                          </a:ln>
                        </pic:spPr>
                      </pic:pic>
                    </a:graphicData>
                  </a:graphic>
                </wp:inline>
              </w:drawing>
            </w:r>
          </w:p>
          <w:p w14:paraId="5FE1CE67" w14:textId="22FE7A11" w:rsidR="000F7442" w:rsidRPr="000F7442" w:rsidRDefault="000F7442" w:rsidP="000F7442">
            <w:pPr>
              <w:jc w:val="center"/>
              <w:rPr>
                <w:rFonts w:asciiTheme="minorHAnsi" w:hAnsiTheme="minorHAnsi" w:cstheme="minorHAnsi"/>
                <w:sz w:val="12"/>
              </w:rPr>
            </w:pPr>
          </w:p>
        </w:tc>
        <w:tc>
          <w:tcPr>
            <w:tcW w:w="188" w:type="dxa"/>
            <w:shd w:val="clear" w:color="auto" w:fill="auto"/>
          </w:tcPr>
          <w:p w14:paraId="74B8392E" w14:textId="77777777" w:rsidR="00F85D23" w:rsidRPr="002B3648" w:rsidRDefault="00F85D23" w:rsidP="00957F6B">
            <w:pPr>
              <w:rPr>
                <w:rFonts w:asciiTheme="minorHAnsi" w:hAnsiTheme="minorHAnsi" w:cstheme="minorHAnsi"/>
              </w:rPr>
            </w:pPr>
          </w:p>
        </w:tc>
      </w:tr>
    </w:tbl>
    <w:p w14:paraId="10E1EFDE" w14:textId="7EA874BB" w:rsidR="00F85D23" w:rsidRDefault="00F85D23" w:rsidP="00F85D23">
      <w:pPr>
        <w:ind w:left="1134"/>
        <w:rPr>
          <w:rFonts w:asciiTheme="minorHAnsi" w:hAnsiTheme="minorHAnsi" w:cstheme="minorHAnsi"/>
          <w:bCs/>
          <w:i/>
          <w:sz w:val="18"/>
          <w:szCs w:val="18"/>
        </w:rPr>
      </w:pPr>
      <w:r>
        <w:rPr>
          <w:rFonts w:asciiTheme="minorHAnsi" w:hAnsiTheme="minorHAnsi" w:cstheme="minorHAnsi"/>
          <w:bCs/>
          <w:i/>
          <w:sz w:val="18"/>
          <w:szCs w:val="18"/>
        </w:rPr>
        <w:t xml:space="preserve">(*) </w:t>
      </w:r>
      <w:r w:rsidRPr="009E6378">
        <w:rPr>
          <w:rFonts w:asciiTheme="minorHAnsi" w:hAnsiTheme="minorHAnsi" w:cstheme="minorHAnsi"/>
          <w:bCs/>
          <w:i/>
          <w:sz w:val="18"/>
          <w:szCs w:val="18"/>
        </w:rPr>
        <w:t>El pr</w:t>
      </w:r>
      <w:r>
        <w:rPr>
          <w:rFonts w:asciiTheme="minorHAnsi" w:hAnsiTheme="minorHAnsi" w:cstheme="minorHAnsi"/>
          <w:bCs/>
          <w:i/>
          <w:sz w:val="18"/>
          <w:szCs w:val="18"/>
        </w:rPr>
        <w:t xml:space="preserve">ecio del GLP </w:t>
      </w:r>
      <w:r w:rsidRPr="009E6378">
        <w:rPr>
          <w:rFonts w:asciiTheme="minorHAnsi" w:hAnsiTheme="minorHAnsi" w:cstheme="minorHAnsi"/>
          <w:bCs/>
          <w:i/>
          <w:sz w:val="18"/>
          <w:szCs w:val="18"/>
        </w:rPr>
        <w:t>considera la proporción de mezcla</w:t>
      </w:r>
      <w:r w:rsidR="007A0280">
        <w:rPr>
          <w:rFonts w:asciiTheme="minorHAnsi" w:hAnsiTheme="minorHAnsi" w:cstheme="minorHAnsi"/>
          <w:bCs/>
          <w:i/>
          <w:sz w:val="18"/>
          <w:szCs w:val="18"/>
        </w:rPr>
        <w:t xml:space="preserve"> Propano/Butano=70/30</w:t>
      </w:r>
    </w:p>
    <w:p w14:paraId="360109C8" w14:textId="7EA22650" w:rsidR="007A0280" w:rsidRPr="007A0280" w:rsidRDefault="007A0280" w:rsidP="007A0280">
      <w:pPr>
        <w:rPr>
          <w:rFonts w:asciiTheme="minorHAnsi" w:hAnsiTheme="minorHAnsi" w:cstheme="minorHAnsi"/>
          <w:bCs/>
          <w:i/>
          <w:color w:val="000000" w:themeColor="text1"/>
          <w:sz w:val="18"/>
          <w:szCs w:val="18"/>
        </w:rPr>
      </w:pPr>
      <w:r>
        <w:rPr>
          <w:rFonts w:asciiTheme="minorHAnsi" w:hAnsiTheme="minorHAnsi" w:cstheme="minorHAnsi"/>
          <w:bCs/>
          <w:i/>
          <w:sz w:val="18"/>
          <w:szCs w:val="18"/>
        </w:rPr>
        <w:t xml:space="preserve">                                 y se indica en Soles/</w:t>
      </w:r>
      <w:r w:rsidR="00AF79F0">
        <w:rPr>
          <w:rFonts w:asciiTheme="minorHAnsi" w:hAnsiTheme="minorHAnsi" w:cstheme="minorHAnsi"/>
          <w:bCs/>
          <w:i/>
          <w:sz w:val="18"/>
          <w:szCs w:val="18"/>
        </w:rPr>
        <w:t>k</w:t>
      </w:r>
      <w:r>
        <w:rPr>
          <w:rFonts w:asciiTheme="minorHAnsi" w:hAnsiTheme="minorHAnsi" w:cstheme="minorHAnsi"/>
          <w:bCs/>
          <w:i/>
          <w:sz w:val="18"/>
          <w:szCs w:val="18"/>
        </w:rPr>
        <w:t xml:space="preserve">g. </w:t>
      </w:r>
    </w:p>
    <w:p w14:paraId="3CE3BA7A" w14:textId="77777777" w:rsidR="007A0280" w:rsidRPr="00123047" w:rsidRDefault="007A0280" w:rsidP="007A0280">
      <w:pPr>
        <w:rPr>
          <w:rFonts w:asciiTheme="minorHAnsi" w:hAnsiTheme="minorHAnsi" w:cstheme="minorHAnsi"/>
          <w:bCs/>
          <w:i/>
          <w:sz w:val="18"/>
          <w:szCs w:val="18"/>
        </w:rPr>
      </w:pPr>
    </w:p>
    <w:p w14:paraId="46BBCE0C" w14:textId="77777777" w:rsidR="00F85D23" w:rsidRDefault="00F85D23" w:rsidP="00F85D23">
      <w:pPr>
        <w:rPr>
          <w:rFonts w:asciiTheme="minorHAnsi" w:hAnsiTheme="minorHAnsi" w:cstheme="minorHAnsi"/>
          <w:b/>
          <w:i/>
          <w:sz w:val="20"/>
          <w:szCs w:val="20"/>
        </w:rPr>
      </w:pPr>
    </w:p>
    <w:p w14:paraId="2DDC7741" w14:textId="77777777" w:rsidR="00C844F5" w:rsidRDefault="00C844F5" w:rsidP="00F85D23">
      <w:pPr>
        <w:rPr>
          <w:rFonts w:asciiTheme="minorHAnsi" w:hAnsiTheme="minorHAnsi" w:cstheme="minorHAnsi"/>
          <w:b/>
          <w:i/>
          <w:sz w:val="20"/>
          <w:szCs w:val="20"/>
        </w:rPr>
      </w:pPr>
    </w:p>
    <w:p w14:paraId="5A896B22" w14:textId="77777777" w:rsidR="00C844F5" w:rsidRDefault="00C844F5" w:rsidP="00F85D23">
      <w:pPr>
        <w:rPr>
          <w:rFonts w:asciiTheme="minorHAnsi" w:hAnsiTheme="minorHAnsi" w:cstheme="minorHAnsi"/>
          <w:b/>
          <w:i/>
          <w:sz w:val="20"/>
          <w:szCs w:val="20"/>
        </w:rPr>
      </w:pPr>
    </w:p>
    <w:p w14:paraId="64DFD349" w14:textId="64539ECB" w:rsidR="00F85D23" w:rsidRDefault="00F85D23" w:rsidP="00F85D23">
      <w:pPr>
        <w:rPr>
          <w:rFonts w:asciiTheme="minorHAnsi" w:hAnsiTheme="minorHAnsi" w:cstheme="minorHAnsi"/>
          <w:i/>
          <w:sz w:val="18"/>
          <w:szCs w:val="18"/>
        </w:rPr>
      </w:pPr>
      <w:r>
        <w:rPr>
          <w:rFonts w:asciiTheme="minorHAnsi" w:hAnsiTheme="minorHAnsi" w:cstheme="minorHAnsi"/>
          <w:b/>
          <w:i/>
          <w:sz w:val="20"/>
          <w:szCs w:val="20"/>
        </w:rPr>
        <w:t>GRÁFICA N°</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4</w:t>
      </w:r>
      <w:r w:rsidRPr="002B3648">
        <w:rPr>
          <w:rFonts w:asciiTheme="minorHAnsi" w:hAnsiTheme="minorHAnsi" w:cstheme="minorHAnsi"/>
          <w:i/>
          <w:sz w:val="20"/>
          <w:szCs w:val="20"/>
        </w:rPr>
        <w:t xml:space="preserve">: </w:t>
      </w:r>
      <w:r w:rsidRPr="002B3648">
        <w:rPr>
          <w:rFonts w:asciiTheme="minorHAnsi" w:hAnsiTheme="minorHAnsi" w:cstheme="minorHAnsi"/>
          <w:i/>
          <w:sz w:val="18"/>
          <w:szCs w:val="18"/>
        </w:rPr>
        <w:t>Variación PR Combustibles</w:t>
      </w:r>
      <w:r>
        <w:rPr>
          <w:rFonts w:asciiTheme="minorHAnsi" w:hAnsiTheme="minorHAnsi" w:cstheme="minorHAnsi"/>
          <w:i/>
          <w:sz w:val="18"/>
          <w:szCs w:val="18"/>
        </w:rPr>
        <w:t xml:space="preserve"> OSI</w:t>
      </w:r>
      <w:r w:rsidRPr="002B3648">
        <w:rPr>
          <w:rFonts w:asciiTheme="minorHAnsi" w:hAnsiTheme="minorHAnsi" w:cstheme="minorHAnsi"/>
          <w:i/>
          <w:sz w:val="18"/>
          <w:szCs w:val="18"/>
        </w:rPr>
        <w:t>N</w:t>
      </w:r>
      <w:r>
        <w:rPr>
          <w:rFonts w:asciiTheme="minorHAnsi" w:hAnsiTheme="minorHAnsi" w:cstheme="minorHAnsi"/>
          <w:i/>
          <w:sz w:val="18"/>
          <w:szCs w:val="18"/>
        </w:rPr>
        <w:t>ERGMIN</w:t>
      </w:r>
    </w:p>
    <w:tbl>
      <w:tblPr>
        <w:tblW w:w="8893" w:type="dxa"/>
        <w:tblLayout w:type="fixed"/>
        <w:tblCellMar>
          <w:left w:w="70" w:type="dxa"/>
          <w:right w:w="70" w:type="dxa"/>
        </w:tblCellMar>
        <w:tblLook w:val="04A0" w:firstRow="1" w:lastRow="0" w:firstColumn="1" w:lastColumn="0" w:noHBand="0" w:noVBand="1"/>
      </w:tblPr>
      <w:tblGrid>
        <w:gridCol w:w="8347"/>
        <w:gridCol w:w="273"/>
        <w:gridCol w:w="273"/>
      </w:tblGrid>
      <w:tr w:rsidR="00EF5671" w:rsidRPr="00977837" w14:paraId="18733CE8" w14:textId="77777777" w:rsidTr="00462FF0">
        <w:trPr>
          <w:trHeight w:val="4418"/>
        </w:trPr>
        <w:tc>
          <w:tcPr>
            <w:tcW w:w="8347" w:type="dxa"/>
            <w:tcBorders>
              <w:top w:val="single" w:sz="4" w:space="0" w:color="auto"/>
              <w:bottom w:val="single" w:sz="4" w:space="0" w:color="auto"/>
            </w:tcBorders>
            <w:shd w:val="clear" w:color="auto" w:fill="auto"/>
          </w:tcPr>
          <w:p w14:paraId="5F438E49" w14:textId="512BD444" w:rsidR="00EF3BE9" w:rsidRPr="00977837" w:rsidRDefault="00A918E9" w:rsidP="00977837">
            <w:pPr>
              <w:ind w:left="-618" w:right="-654"/>
              <w:jc w:val="center"/>
              <w:rPr>
                <w:rFonts w:asciiTheme="minorHAnsi" w:hAnsiTheme="minorHAnsi" w:cstheme="minorHAnsi"/>
                <w:noProof/>
              </w:rPr>
            </w:pPr>
            <w:r>
              <w:rPr>
                <w:noProof/>
              </w:rPr>
              <w:drawing>
                <wp:inline distT="0" distB="0" distL="0" distR="0" wp14:anchorId="197B2087" wp14:editId="6345318D">
                  <wp:extent cx="5463356" cy="2638425"/>
                  <wp:effectExtent l="0" t="0" r="4445" b="0"/>
                  <wp:docPr id="3852358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235881" name=""/>
                          <pic:cNvPicPr/>
                        </pic:nvPicPr>
                        <pic:blipFill>
                          <a:blip r:embed="rId26"/>
                          <a:stretch>
                            <a:fillRect/>
                          </a:stretch>
                        </pic:blipFill>
                        <pic:spPr>
                          <a:xfrm>
                            <a:off x="0" y="0"/>
                            <a:ext cx="5471641" cy="2642426"/>
                          </a:xfrm>
                          <a:prstGeom prst="rect">
                            <a:avLst/>
                          </a:prstGeom>
                        </pic:spPr>
                      </pic:pic>
                    </a:graphicData>
                  </a:graphic>
                </wp:inline>
              </w:drawing>
            </w:r>
          </w:p>
        </w:tc>
        <w:tc>
          <w:tcPr>
            <w:tcW w:w="273" w:type="dxa"/>
          </w:tcPr>
          <w:p w14:paraId="3AF091FC" w14:textId="77777777" w:rsidR="00EF5671" w:rsidRDefault="00EF5671" w:rsidP="00977837">
            <w:pPr>
              <w:ind w:left="-618" w:right="-654"/>
              <w:jc w:val="center"/>
              <w:rPr>
                <w:rFonts w:asciiTheme="minorHAnsi" w:hAnsiTheme="minorHAnsi" w:cstheme="minorHAnsi"/>
                <w:noProof/>
              </w:rPr>
            </w:pPr>
          </w:p>
          <w:p w14:paraId="053DEDAC" w14:textId="77777777" w:rsidR="00EF3BE9" w:rsidRDefault="00EF3BE9" w:rsidP="00977837">
            <w:pPr>
              <w:ind w:left="-618" w:right="-654"/>
              <w:jc w:val="center"/>
              <w:rPr>
                <w:rFonts w:asciiTheme="minorHAnsi" w:hAnsiTheme="minorHAnsi" w:cstheme="minorHAnsi"/>
                <w:noProof/>
              </w:rPr>
            </w:pPr>
          </w:p>
          <w:p w14:paraId="5544D7EE" w14:textId="77777777" w:rsidR="00731819" w:rsidRDefault="00731819" w:rsidP="00977837">
            <w:pPr>
              <w:ind w:left="-618" w:right="-654"/>
              <w:jc w:val="center"/>
              <w:rPr>
                <w:rFonts w:asciiTheme="minorHAnsi" w:hAnsiTheme="minorHAnsi" w:cstheme="minorHAnsi"/>
                <w:noProof/>
              </w:rPr>
            </w:pPr>
          </w:p>
          <w:p w14:paraId="55C9399E" w14:textId="3E8D7EC3" w:rsidR="007744B2" w:rsidRPr="002B3648" w:rsidRDefault="007744B2" w:rsidP="00977837">
            <w:pPr>
              <w:ind w:left="-618" w:right="-654"/>
              <w:jc w:val="center"/>
              <w:rPr>
                <w:rFonts w:asciiTheme="minorHAnsi" w:hAnsiTheme="minorHAnsi" w:cstheme="minorHAnsi"/>
                <w:noProof/>
              </w:rPr>
            </w:pPr>
          </w:p>
        </w:tc>
        <w:tc>
          <w:tcPr>
            <w:tcW w:w="273" w:type="dxa"/>
            <w:shd w:val="clear" w:color="auto" w:fill="auto"/>
          </w:tcPr>
          <w:p w14:paraId="3DB65F4F" w14:textId="4E19FB44" w:rsidR="00EF5671" w:rsidRPr="002B3648" w:rsidRDefault="00EF5671" w:rsidP="00977837">
            <w:pPr>
              <w:ind w:left="-618" w:right="-654"/>
              <w:jc w:val="center"/>
              <w:rPr>
                <w:rFonts w:asciiTheme="minorHAnsi" w:hAnsiTheme="minorHAnsi" w:cstheme="minorHAnsi"/>
                <w:noProof/>
              </w:rPr>
            </w:pPr>
          </w:p>
        </w:tc>
      </w:tr>
    </w:tbl>
    <w:p w14:paraId="17F456A4" w14:textId="77777777" w:rsidR="00F85D23" w:rsidRDefault="00F85D23" w:rsidP="00F85D23">
      <w:pPr>
        <w:jc w:val="both"/>
        <w:rPr>
          <w:rFonts w:ascii="Arial" w:hAnsi="Arial" w:cs="Arial"/>
          <w:sz w:val="22"/>
          <w:szCs w:val="22"/>
          <w:u w:val="single"/>
          <w:lang w:val="es-PE" w:eastAsia="en-US"/>
        </w:rPr>
      </w:pPr>
    </w:p>
    <w:p w14:paraId="13AC9A90" w14:textId="79D0447F" w:rsidR="00F85D23" w:rsidRDefault="00F85D23" w:rsidP="00F85D23">
      <w:pPr>
        <w:jc w:val="both"/>
        <w:rPr>
          <w:rFonts w:ascii="Arial" w:hAnsi="Arial" w:cs="Arial"/>
          <w:sz w:val="22"/>
          <w:szCs w:val="22"/>
          <w:u w:val="single"/>
          <w:lang w:val="es-PE" w:eastAsia="en-US"/>
        </w:rPr>
      </w:pPr>
    </w:p>
    <w:p w14:paraId="45E0C2EF" w14:textId="77777777" w:rsidR="003D6E7D" w:rsidRDefault="003D6E7D" w:rsidP="00F85D23">
      <w:pPr>
        <w:jc w:val="both"/>
        <w:rPr>
          <w:rFonts w:ascii="Arial" w:hAnsi="Arial" w:cs="Arial"/>
          <w:sz w:val="22"/>
          <w:szCs w:val="22"/>
          <w:u w:val="single"/>
          <w:lang w:val="es-PE" w:eastAsia="en-US"/>
        </w:rPr>
      </w:pPr>
    </w:p>
    <w:p w14:paraId="5FB236A4" w14:textId="58199229" w:rsidR="0020108D" w:rsidRDefault="0020108D" w:rsidP="0020108D">
      <w:pPr>
        <w:jc w:val="both"/>
        <w:rPr>
          <w:rFonts w:asciiTheme="minorHAnsi" w:hAnsiTheme="minorHAnsi" w:cstheme="minorHAnsi"/>
          <w:b/>
          <w:sz w:val="22"/>
          <w:szCs w:val="22"/>
          <w:u w:val="single"/>
        </w:rPr>
      </w:pPr>
    </w:p>
    <w:p w14:paraId="68091BEA" w14:textId="77777777" w:rsidR="000F7442" w:rsidRDefault="000F7442" w:rsidP="0020108D">
      <w:pPr>
        <w:jc w:val="both"/>
        <w:rPr>
          <w:rFonts w:asciiTheme="minorHAnsi" w:hAnsiTheme="minorHAnsi" w:cstheme="minorHAnsi"/>
          <w:b/>
          <w:sz w:val="22"/>
          <w:szCs w:val="22"/>
          <w:u w:val="single"/>
        </w:rPr>
      </w:pPr>
    </w:p>
    <w:p w14:paraId="0596AF12" w14:textId="77777777" w:rsidR="00DB3C4F" w:rsidRDefault="00BF6CBA" w:rsidP="0004242F">
      <w:pPr>
        <w:pStyle w:val="Ttulo3"/>
        <w:numPr>
          <w:ilvl w:val="0"/>
          <w:numId w:val="3"/>
        </w:numPr>
        <w:tabs>
          <w:tab w:val="left" w:pos="284"/>
        </w:tabs>
        <w:spacing w:before="0" w:after="0"/>
        <w:ind w:left="284" w:hanging="568"/>
        <w:jc w:val="both"/>
        <w:rPr>
          <w:rFonts w:asciiTheme="minorHAnsi" w:hAnsiTheme="minorHAnsi" w:cstheme="minorHAnsi"/>
          <w:sz w:val="24"/>
          <w:szCs w:val="24"/>
        </w:rPr>
      </w:pPr>
      <w:r w:rsidRPr="002B3648">
        <w:rPr>
          <w:rFonts w:asciiTheme="minorHAnsi" w:hAnsiTheme="minorHAnsi" w:cstheme="minorHAnsi"/>
          <w:sz w:val="24"/>
          <w:szCs w:val="24"/>
        </w:rPr>
        <w:lastRenderedPageBreak/>
        <w:t>CO</w:t>
      </w:r>
      <w:r w:rsidR="00525DC2">
        <w:rPr>
          <w:rFonts w:asciiTheme="minorHAnsi" w:hAnsiTheme="minorHAnsi" w:cstheme="minorHAnsi"/>
          <w:sz w:val="24"/>
          <w:szCs w:val="24"/>
        </w:rPr>
        <w:t>MPARACIÓN ENTRE LOS</w:t>
      </w:r>
      <w:r w:rsidR="00AF270F" w:rsidRPr="002B3648">
        <w:rPr>
          <w:rFonts w:asciiTheme="minorHAnsi" w:hAnsiTheme="minorHAnsi" w:cstheme="minorHAnsi"/>
          <w:sz w:val="24"/>
          <w:szCs w:val="24"/>
        </w:rPr>
        <w:t xml:space="preserve"> PRECIOS D</w:t>
      </w:r>
      <w:r w:rsidR="00525DC2">
        <w:rPr>
          <w:rFonts w:asciiTheme="minorHAnsi" w:hAnsiTheme="minorHAnsi" w:cstheme="minorHAnsi"/>
          <w:sz w:val="24"/>
          <w:szCs w:val="24"/>
        </w:rPr>
        <w:t>E REFERENCIA DE COMBUSTIBLES Y LOS</w:t>
      </w:r>
      <w:r w:rsidR="00AF270F" w:rsidRPr="002B3648">
        <w:rPr>
          <w:rFonts w:asciiTheme="minorHAnsi" w:hAnsiTheme="minorHAnsi" w:cstheme="minorHAnsi"/>
          <w:sz w:val="24"/>
          <w:szCs w:val="24"/>
        </w:rPr>
        <w:t xml:space="preserve"> PRECIOS </w:t>
      </w:r>
    </w:p>
    <w:p w14:paraId="00C70409" w14:textId="77777777" w:rsidR="00AF270F" w:rsidRDefault="00AF270F" w:rsidP="00DB3C4F">
      <w:pPr>
        <w:pStyle w:val="Ttulo3"/>
        <w:tabs>
          <w:tab w:val="left" w:pos="284"/>
        </w:tabs>
        <w:spacing w:before="0" w:after="0"/>
        <w:ind w:left="284"/>
        <w:jc w:val="both"/>
        <w:rPr>
          <w:rFonts w:asciiTheme="minorHAnsi" w:hAnsiTheme="minorHAnsi" w:cstheme="minorHAnsi"/>
          <w:sz w:val="24"/>
          <w:szCs w:val="24"/>
        </w:rPr>
      </w:pPr>
      <w:r w:rsidRPr="002B3648">
        <w:rPr>
          <w:rFonts w:asciiTheme="minorHAnsi" w:hAnsiTheme="minorHAnsi" w:cstheme="minorHAnsi"/>
          <w:sz w:val="24"/>
          <w:szCs w:val="24"/>
        </w:rPr>
        <w:t>DE VENTA LOCAL</w:t>
      </w:r>
      <w:r w:rsidR="0070422A">
        <w:rPr>
          <w:rFonts w:asciiTheme="minorHAnsi" w:hAnsiTheme="minorHAnsi" w:cstheme="minorHAnsi"/>
          <w:sz w:val="24"/>
          <w:szCs w:val="24"/>
        </w:rPr>
        <w:t>.</w:t>
      </w:r>
    </w:p>
    <w:p w14:paraId="6DF26D1D" w14:textId="77777777" w:rsidR="005C4A97" w:rsidRPr="005C4A97" w:rsidRDefault="005C4A97" w:rsidP="005C4A97"/>
    <w:p w14:paraId="0850D2F2" w14:textId="77777777" w:rsidR="0043567A" w:rsidRPr="002B3648" w:rsidRDefault="0043567A" w:rsidP="0043567A">
      <w:pPr>
        <w:rPr>
          <w:rFonts w:asciiTheme="minorHAnsi" w:hAnsiTheme="minorHAnsi" w:cstheme="minorHAnsi"/>
        </w:rPr>
      </w:pPr>
    </w:p>
    <w:p w14:paraId="1FB95207" w14:textId="77777777" w:rsidR="00354689" w:rsidRPr="002B3648" w:rsidRDefault="008A5C7D" w:rsidP="00AC1F4E">
      <w:pPr>
        <w:ind w:left="284"/>
        <w:jc w:val="both"/>
        <w:rPr>
          <w:rFonts w:asciiTheme="minorHAnsi" w:hAnsiTheme="minorHAnsi" w:cstheme="minorHAnsi"/>
          <w:i/>
          <w:sz w:val="20"/>
          <w:szCs w:val="20"/>
        </w:rPr>
      </w:pPr>
      <w:r>
        <w:rPr>
          <w:rFonts w:asciiTheme="minorHAnsi" w:hAnsiTheme="minorHAnsi" w:cstheme="minorHAnsi"/>
          <w:b/>
          <w:i/>
          <w:sz w:val="20"/>
          <w:szCs w:val="20"/>
        </w:rPr>
        <w:t>TABLA N° 3</w:t>
      </w:r>
      <w:r w:rsidR="00354689" w:rsidRPr="002B3648">
        <w:rPr>
          <w:rFonts w:asciiTheme="minorHAnsi" w:hAnsiTheme="minorHAnsi" w:cstheme="minorHAnsi"/>
          <w:i/>
          <w:sz w:val="20"/>
          <w:szCs w:val="20"/>
        </w:rPr>
        <w:t>: Diferencia entre Precios de Referencia de Combustibles vs Precios de Venta PETROPERU</w:t>
      </w:r>
    </w:p>
    <w:p w14:paraId="28943873" w14:textId="470974F9" w:rsidR="007744B2" w:rsidRPr="00737F8F" w:rsidRDefault="00A918E9" w:rsidP="00737F8F">
      <w:pPr>
        <w:pStyle w:val="Encabezado"/>
        <w:pBdr>
          <w:top w:val="single" w:sz="4" w:space="1" w:color="auto"/>
          <w:bottom w:val="single" w:sz="4" w:space="1" w:color="auto"/>
        </w:pBdr>
        <w:tabs>
          <w:tab w:val="clear" w:pos="4419"/>
          <w:tab w:val="clear" w:pos="8838"/>
        </w:tabs>
        <w:ind w:left="284"/>
        <w:rPr>
          <w:rFonts w:asciiTheme="minorHAnsi" w:hAnsiTheme="minorHAnsi" w:cstheme="minorHAnsi"/>
        </w:rPr>
      </w:pPr>
      <w:r w:rsidRPr="00984ACC">
        <w:rPr>
          <w:noProof/>
        </w:rPr>
        <w:drawing>
          <wp:inline distT="0" distB="0" distL="0" distR="0" wp14:anchorId="50D94D25" wp14:editId="3B715943">
            <wp:extent cx="5654040" cy="2013585"/>
            <wp:effectExtent l="0" t="0" r="3810" b="5715"/>
            <wp:docPr id="14589643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654040" cy="2013585"/>
                    </a:xfrm>
                    <a:prstGeom prst="rect">
                      <a:avLst/>
                    </a:prstGeom>
                    <a:noFill/>
                    <a:ln>
                      <a:noFill/>
                    </a:ln>
                  </pic:spPr>
                </pic:pic>
              </a:graphicData>
            </a:graphic>
          </wp:inline>
        </w:drawing>
      </w:r>
    </w:p>
    <w:p w14:paraId="623B8C1D" w14:textId="77777777" w:rsidR="000A6BC2" w:rsidRDefault="000A6BC2" w:rsidP="00737F8F">
      <w:pPr>
        <w:ind w:left="851" w:hanging="142"/>
        <w:jc w:val="both"/>
        <w:rPr>
          <w:rFonts w:asciiTheme="minorHAnsi" w:hAnsiTheme="minorHAnsi" w:cstheme="minorHAnsi"/>
          <w:i/>
          <w:sz w:val="16"/>
          <w:szCs w:val="16"/>
        </w:rPr>
      </w:pPr>
    </w:p>
    <w:p w14:paraId="217B2F92" w14:textId="77777777" w:rsidR="00420A01" w:rsidRDefault="00420A01" w:rsidP="00737F8F">
      <w:pPr>
        <w:ind w:left="851" w:hanging="142"/>
        <w:jc w:val="both"/>
        <w:rPr>
          <w:rFonts w:asciiTheme="minorHAnsi" w:hAnsiTheme="minorHAnsi" w:cstheme="minorHAnsi"/>
          <w:i/>
          <w:sz w:val="16"/>
          <w:szCs w:val="16"/>
        </w:rPr>
      </w:pPr>
    </w:p>
    <w:p w14:paraId="0DDCB142" w14:textId="77777777" w:rsidR="00420A01" w:rsidRDefault="00420A01" w:rsidP="00737F8F">
      <w:pPr>
        <w:ind w:left="851" w:hanging="142"/>
        <w:jc w:val="both"/>
        <w:rPr>
          <w:rFonts w:asciiTheme="minorHAnsi" w:hAnsiTheme="minorHAnsi" w:cstheme="minorHAnsi"/>
          <w:i/>
          <w:sz w:val="16"/>
          <w:szCs w:val="16"/>
        </w:rPr>
      </w:pPr>
    </w:p>
    <w:p w14:paraId="6688F3D0" w14:textId="77777777" w:rsidR="009D53B1" w:rsidRDefault="009D53B1" w:rsidP="000A6BC2">
      <w:pPr>
        <w:ind w:left="709" w:hanging="142"/>
        <w:jc w:val="both"/>
        <w:rPr>
          <w:rFonts w:asciiTheme="minorHAnsi" w:hAnsiTheme="minorHAnsi" w:cstheme="minorHAnsi"/>
          <w:i/>
          <w:sz w:val="16"/>
          <w:szCs w:val="16"/>
        </w:rPr>
      </w:pPr>
    </w:p>
    <w:p w14:paraId="2EFE4D4D" w14:textId="77777777" w:rsidR="00DB3C4F" w:rsidRDefault="00855413" w:rsidP="0004242F">
      <w:pPr>
        <w:pStyle w:val="Ttulo3"/>
        <w:numPr>
          <w:ilvl w:val="0"/>
          <w:numId w:val="3"/>
        </w:numPr>
        <w:tabs>
          <w:tab w:val="left" w:pos="284"/>
        </w:tabs>
        <w:spacing w:before="0" w:after="0"/>
        <w:ind w:left="284" w:right="-567" w:hanging="568"/>
        <w:jc w:val="both"/>
        <w:rPr>
          <w:rFonts w:asciiTheme="minorHAnsi" w:hAnsiTheme="minorHAnsi" w:cstheme="minorHAnsi"/>
          <w:sz w:val="24"/>
          <w:szCs w:val="24"/>
        </w:rPr>
      </w:pPr>
      <w:r>
        <w:rPr>
          <w:rFonts w:asciiTheme="minorHAnsi" w:hAnsiTheme="minorHAnsi" w:cstheme="minorHAnsi"/>
          <w:sz w:val="24"/>
          <w:szCs w:val="24"/>
        </w:rPr>
        <w:t xml:space="preserve">EVOLUCIÓN DE </w:t>
      </w:r>
      <w:r w:rsidR="009D53B1" w:rsidRPr="002B3648">
        <w:rPr>
          <w:rFonts w:asciiTheme="minorHAnsi" w:hAnsiTheme="minorHAnsi" w:cstheme="minorHAnsi"/>
          <w:sz w:val="24"/>
          <w:szCs w:val="24"/>
        </w:rPr>
        <w:t>PRECIOS D</w:t>
      </w:r>
      <w:r w:rsidR="009D53B1">
        <w:rPr>
          <w:rFonts w:asciiTheme="minorHAnsi" w:hAnsiTheme="minorHAnsi" w:cstheme="minorHAnsi"/>
          <w:sz w:val="24"/>
          <w:szCs w:val="24"/>
        </w:rPr>
        <w:t xml:space="preserve">E REFERENCIA DE COMBUSTIBLES, </w:t>
      </w:r>
      <w:r w:rsidR="009D53B1" w:rsidRPr="002B3648">
        <w:rPr>
          <w:rFonts w:asciiTheme="minorHAnsi" w:hAnsiTheme="minorHAnsi" w:cstheme="minorHAnsi"/>
          <w:sz w:val="24"/>
          <w:szCs w:val="24"/>
        </w:rPr>
        <w:t>PRECIOS DE VENTA LOCAL</w:t>
      </w:r>
      <w:r w:rsidR="009D53B1">
        <w:rPr>
          <w:rFonts w:asciiTheme="minorHAnsi" w:hAnsiTheme="minorHAnsi" w:cstheme="minorHAnsi"/>
          <w:sz w:val="24"/>
          <w:szCs w:val="24"/>
        </w:rPr>
        <w:t xml:space="preserve"> </w:t>
      </w:r>
    </w:p>
    <w:p w14:paraId="6CE85B89" w14:textId="77777777" w:rsidR="009D53B1" w:rsidRDefault="009D53B1" w:rsidP="00DB3C4F">
      <w:pPr>
        <w:pStyle w:val="Ttulo3"/>
        <w:tabs>
          <w:tab w:val="left" w:pos="284"/>
        </w:tabs>
        <w:spacing w:before="0" w:after="0"/>
        <w:ind w:left="284" w:right="-567"/>
        <w:jc w:val="both"/>
        <w:rPr>
          <w:rFonts w:asciiTheme="minorHAnsi" w:hAnsiTheme="minorHAnsi" w:cstheme="minorHAnsi"/>
          <w:sz w:val="24"/>
          <w:szCs w:val="24"/>
        </w:rPr>
      </w:pPr>
      <w:r>
        <w:rPr>
          <w:rFonts w:asciiTheme="minorHAnsi" w:hAnsiTheme="minorHAnsi" w:cstheme="minorHAnsi"/>
          <w:sz w:val="24"/>
          <w:szCs w:val="24"/>
        </w:rPr>
        <w:t>y BANDA DE PRECIOS.</w:t>
      </w:r>
    </w:p>
    <w:p w14:paraId="290C8B6F" w14:textId="77777777" w:rsidR="00420A01" w:rsidRPr="00420A01" w:rsidRDefault="00420A01" w:rsidP="00420A01"/>
    <w:p w14:paraId="069B1817" w14:textId="77777777" w:rsidR="009D53B1" w:rsidRPr="00397F02" w:rsidRDefault="009D53B1" w:rsidP="00397F02"/>
    <w:p w14:paraId="06F7E122" w14:textId="49CB06A3" w:rsidR="001F2B99" w:rsidRDefault="00F27BD1" w:rsidP="001839E1">
      <w:pPr>
        <w:spacing w:line="0" w:lineRule="atLeast"/>
        <w:ind w:right="-567"/>
        <w:jc w:val="both"/>
        <w:rPr>
          <w:rFonts w:asciiTheme="minorHAnsi" w:hAnsiTheme="minorHAnsi" w:cstheme="minorHAnsi"/>
          <w:i/>
          <w:sz w:val="18"/>
          <w:szCs w:val="18"/>
        </w:rPr>
      </w:pPr>
      <w:r w:rsidRPr="001839E1">
        <w:rPr>
          <w:rFonts w:asciiTheme="minorHAnsi" w:hAnsiTheme="minorHAnsi" w:cstheme="minorHAnsi"/>
          <w:b/>
          <w:i/>
          <w:sz w:val="20"/>
          <w:szCs w:val="20"/>
        </w:rPr>
        <w:t>GRAFICA Nº</w:t>
      </w:r>
      <w:r w:rsidR="00634E48">
        <w:rPr>
          <w:rFonts w:asciiTheme="minorHAnsi" w:hAnsiTheme="minorHAnsi" w:cstheme="minorHAnsi"/>
          <w:b/>
          <w:i/>
          <w:sz w:val="20"/>
          <w:szCs w:val="20"/>
        </w:rPr>
        <w:t xml:space="preserve"> </w:t>
      </w:r>
      <w:r w:rsidR="002C3713">
        <w:rPr>
          <w:rFonts w:asciiTheme="minorHAnsi" w:hAnsiTheme="minorHAnsi" w:cstheme="minorHAnsi"/>
          <w:b/>
          <w:i/>
          <w:sz w:val="20"/>
          <w:szCs w:val="20"/>
        </w:rPr>
        <w:t>5</w:t>
      </w:r>
      <w:r w:rsidR="001F2B99" w:rsidRPr="001839E1">
        <w:rPr>
          <w:rFonts w:asciiTheme="minorHAnsi" w:hAnsiTheme="minorHAnsi" w:cstheme="minorHAnsi"/>
          <w:b/>
          <w:i/>
          <w:sz w:val="20"/>
          <w:szCs w:val="20"/>
        </w:rPr>
        <w:t>:</w:t>
      </w:r>
      <w:r w:rsidR="001F2B99" w:rsidRPr="002B3648">
        <w:rPr>
          <w:rFonts w:asciiTheme="minorHAnsi" w:hAnsiTheme="minorHAnsi" w:cstheme="minorHAnsi"/>
          <w:b/>
          <w:i/>
          <w:sz w:val="18"/>
          <w:szCs w:val="18"/>
        </w:rPr>
        <w:t xml:space="preserve"> </w:t>
      </w:r>
      <w:r w:rsidR="001F2B99" w:rsidRPr="002B3648">
        <w:rPr>
          <w:rFonts w:asciiTheme="minorHAnsi" w:hAnsiTheme="minorHAnsi" w:cstheme="minorHAnsi"/>
          <w:i/>
          <w:sz w:val="18"/>
          <w:szCs w:val="18"/>
        </w:rPr>
        <w:t>Compar</w:t>
      </w:r>
      <w:r w:rsidR="00C97F57">
        <w:rPr>
          <w:rFonts w:asciiTheme="minorHAnsi" w:hAnsiTheme="minorHAnsi" w:cstheme="minorHAnsi"/>
          <w:i/>
          <w:sz w:val="18"/>
          <w:szCs w:val="18"/>
        </w:rPr>
        <w:t>ación de Precios de Referencia y Precios de Lista</w:t>
      </w:r>
      <w:r w:rsidR="00074D35">
        <w:rPr>
          <w:rFonts w:asciiTheme="minorHAnsi" w:hAnsiTheme="minorHAnsi" w:cstheme="minorHAnsi"/>
          <w:i/>
          <w:sz w:val="18"/>
          <w:szCs w:val="18"/>
        </w:rPr>
        <w:t xml:space="preserve"> en Soles/Galón</w:t>
      </w:r>
    </w:p>
    <w:p w14:paraId="38BE4BCD" w14:textId="77777777" w:rsidR="0055759F" w:rsidRDefault="0055759F" w:rsidP="001839E1">
      <w:pPr>
        <w:spacing w:line="0" w:lineRule="atLeast"/>
        <w:ind w:right="-567"/>
        <w:jc w:val="both"/>
        <w:rPr>
          <w:rFonts w:asciiTheme="minorHAnsi" w:hAnsiTheme="minorHAnsi" w:cstheme="minorHAnsi"/>
          <w:i/>
          <w:sz w:val="18"/>
          <w:szCs w:val="18"/>
        </w:rPr>
      </w:pPr>
    </w:p>
    <w:p w14:paraId="1E6416D5" w14:textId="19FC3CA1" w:rsidR="007F3FCB" w:rsidRDefault="0060592B" w:rsidP="00604758">
      <w:pPr>
        <w:spacing w:line="0" w:lineRule="atLeast"/>
        <w:ind w:right="-567"/>
        <w:jc w:val="both"/>
        <w:rPr>
          <w:noProof/>
        </w:rPr>
      </w:pPr>
      <w:r w:rsidRPr="0060592B">
        <w:drawing>
          <wp:inline distT="0" distB="0" distL="0" distR="0" wp14:anchorId="20A531D9" wp14:editId="79FB1C01">
            <wp:extent cx="5850255" cy="2209800"/>
            <wp:effectExtent l="0" t="0" r="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0255" cy="2209800"/>
                    </a:xfrm>
                    <a:prstGeom prst="rect">
                      <a:avLst/>
                    </a:prstGeom>
                    <a:noFill/>
                    <a:ln>
                      <a:noFill/>
                    </a:ln>
                  </pic:spPr>
                </pic:pic>
              </a:graphicData>
            </a:graphic>
          </wp:inline>
        </w:drawing>
      </w:r>
    </w:p>
    <w:p w14:paraId="6C3D2D4D" w14:textId="1027E1CA" w:rsidR="00475D7F" w:rsidRPr="002B3648" w:rsidRDefault="00946505" w:rsidP="006220EA">
      <w:pPr>
        <w:jc w:val="both"/>
        <w:rPr>
          <w:rFonts w:asciiTheme="minorHAnsi" w:hAnsiTheme="minorHAnsi" w:cstheme="minorHAnsi"/>
          <w:i/>
          <w:sz w:val="16"/>
          <w:szCs w:val="16"/>
        </w:rPr>
      </w:pPr>
      <w:r>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Fuente</w:t>
      </w:r>
      <w:r w:rsidR="009868E2">
        <w:rPr>
          <w:rFonts w:asciiTheme="minorHAnsi" w:hAnsiTheme="minorHAnsi" w:cstheme="minorHAnsi"/>
          <w:i/>
          <w:iCs/>
          <w:sz w:val="16"/>
          <w:szCs w:val="16"/>
        </w:rPr>
        <w:t>s</w:t>
      </w:r>
      <w:r w:rsidR="00034F5B">
        <w:rPr>
          <w:rFonts w:asciiTheme="minorHAnsi" w:hAnsiTheme="minorHAnsi" w:cstheme="minorHAnsi"/>
          <w:i/>
          <w:iCs/>
          <w:sz w:val="16"/>
          <w:szCs w:val="16"/>
        </w:rPr>
        <w:t xml:space="preserve">: </w:t>
      </w:r>
      <w:r w:rsidR="00034F5B"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C97F57">
        <w:rPr>
          <w:rFonts w:asciiTheme="minorHAnsi" w:hAnsiTheme="minorHAnsi" w:cstheme="minorHAnsi"/>
          <w:i/>
          <w:iCs/>
          <w:sz w:val="16"/>
          <w:szCs w:val="16"/>
        </w:rPr>
        <w:t xml:space="preserve"> </w:t>
      </w:r>
      <w:r w:rsidR="00034F5B">
        <w:rPr>
          <w:rFonts w:asciiTheme="minorHAnsi" w:hAnsiTheme="minorHAnsi" w:cstheme="minorHAnsi"/>
          <w:i/>
          <w:iCs/>
          <w:sz w:val="16"/>
          <w:szCs w:val="16"/>
        </w:rPr>
        <w:t>y Petroperú</w:t>
      </w:r>
    </w:p>
    <w:p w14:paraId="01FFC1C3" w14:textId="4F4C9C7F" w:rsidR="008D40C4" w:rsidRDefault="00DC168B" w:rsidP="006220EA">
      <w:pPr>
        <w:rPr>
          <w:rFonts w:asciiTheme="minorHAnsi" w:hAnsiTheme="minorHAnsi" w:cstheme="minorHAnsi"/>
          <w:i/>
          <w:sz w:val="18"/>
          <w:szCs w:val="18"/>
        </w:rPr>
      </w:pPr>
      <w:r>
        <w:rPr>
          <w:rFonts w:asciiTheme="minorHAnsi" w:hAnsiTheme="minorHAnsi" w:cstheme="minorHAnsi"/>
          <w:b/>
          <w:i/>
          <w:sz w:val="18"/>
          <w:szCs w:val="18"/>
        </w:rPr>
        <w:br w:type="page"/>
      </w:r>
      <w:r w:rsidR="00F27BD1" w:rsidRPr="001839E1">
        <w:rPr>
          <w:rFonts w:asciiTheme="minorHAnsi" w:hAnsiTheme="minorHAnsi" w:cstheme="minorHAnsi"/>
          <w:b/>
          <w:i/>
          <w:sz w:val="20"/>
          <w:szCs w:val="20"/>
        </w:rPr>
        <w:lastRenderedPageBreak/>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6</w:t>
      </w:r>
      <w:r w:rsidR="008D40C4" w:rsidRPr="001839E1">
        <w:rPr>
          <w:rFonts w:asciiTheme="minorHAnsi" w:hAnsiTheme="minorHAnsi" w:cstheme="minorHAnsi"/>
          <w:b/>
          <w:i/>
          <w:sz w:val="20"/>
          <w:szCs w:val="20"/>
        </w:rPr>
        <w:t>:</w:t>
      </w:r>
      <w:r w:rsidR="008D40C4" w:rsidRPr="002B3648">
        <w:rPr>
          <w:rFonts w:asciiTheme="minorHAnsi" w:hAnsiTheme="minorHAnsi" w:cstheme="minorHAnsi"/>
          <w:b/>
          <w:i/>
          <w:sz w:val="18"/>
          <w:szCs w:val="18"/>
        </w:rPr>
        <w:t xml:space="preserve"> </w:t>
      </w:r>
      <w:r w:rsidR="008D40C4" w:rsidRPr="002B3648">
        <w:rPr>
          <w:rFonts w:asciiTheme="minorHAnsi" w:hAnsiTheme="minorHAnsi" w:cstheme="minorHAnsi"/>
          <w:i/>
          <w:sz w:val="18"/>
          <w:szCs w:val="18"/>
        </w:rPr>
        <w:t xml:space="preserve">Comparación de Precios de </w:t>
      </w:r>
      <w:r w:rsidR="00C16747">
        <w:rPr>
          <w:rFonts w:asciiTheme="minorHAnsi" w:hAnsiTheme="minorHAnsi" w:cstheme="minorHAnsi"/>
          <w:i/>
          <w:sz w:val="18"/>
          <w:szCs w:val="18"/>
        </w:rPr>
        <w:t xml:space="preserve">Referencia y Precios de Lista </w:t>
      </w:r>
      <w:r w:rsidR="00A70B54">
        <w:rPr>
          <w:rFonts w:asciiTheme="minorHAnsi" w:hAnsiTheme="minorHAnsi" w:cstheme="minorHAnsi"/>
          <w:i/>
          <w:sz w:val="18"/>
          <w:szCs w:val="18"/>
        </w:rPr>
        <w:t xml:space="preserve">en </w:t>
      </w:r>
      <w:r w:rsidR="00127A54">
        <w:rPr>
          <w:rFonts w:asciiTheme="minorHAnsi" w:hAnsiTheme="minorHAnsi" w:cstheme="minorHAnsi"/>
          <w:i/>
          <w:sz w:val="18"/>
          <w:szCs w:val="18"/>
        </w:rPr>
        <w:t>Soles</w:t>
      </w:r>
      <w:r w:rsidR="00A70B54">
        <w:rPr>
          <w:rFonts w:asciiTheme="minorHAnsi" w:hAnsiTheme="minorHAnsi" w:cstheme="minorHAnsi"/>
          <w:i/>
          <w:sz w:val="18"/>
          <w:szCs w:val="18"/>
        </w:rPr>
        <w:t>/</w:t>
      </w:r>
      <w:r w:rsidR="00127A54">
        <w:rPr>
          <w:rFonts w:asciiTheme="minorHAnsi" w:hAnsiTheme="minorHAnsi" w:cstheme="minorHAnsi"/>
          <w:i/>
          <w:sz w:val="18"/>
          <w:szCs w:val="18"/>
        </w:rPr>
        <w:t>Galón</w:t>
      </w:r>
    </w:p>
    <w:p w14:paraId="5A51B5DD" w14:textId="77777777" w:rsidR="005207D4" w:rsidRDefault="005207D4" w:rsidP="006220EA">
      <w:pPr>
        <w:rPr>
          <w:rFonts w:asciiTheme="minorHAnsi" w:hAnsiTheme="minorHAnsi" w:cstheme="minorHAnsi"/>
          <w:i/>
          <w:sz w:val="18"/>
          <w:szCs w:val="18"/>
        </w:rPr>
      </w:pPr>
    </w:p>
    <w:p w14:paraId="44B24A74" w14:textId="72D89D2A" w:rsidR="00127A54" w:rsidRDefault="0060592B" w:rsidP="006220EA">
      <w:pPr>
        <w:rPr>
          <w:rFonts w:asciiTheme="minorHAnsi" w:hAnsiTheme="minorHAnsi" w:cstheme="minorHAnsi"/>
          <w:i/>
          <w:sz w:val="18"/>
          <w:szCs w:val="18"/>
        </w:rPr>
      </w:pPr>
      <w:r w:rsidRPr="0060592B">
        <w:drawing>
          <wp:inline distT="0" distB="0" distL="0" distR="0" wp14:anchorId="2202EC78" wp14:editId="3DC506F4">
            <wp:extent cx="5850255" cy="7058660"/>
            <wp:effectExtent l="0" t="0" r="0" b="889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850255" cy="7058660"/>
                    </a:xfrm>
                    <a:prstGeom prst="rect">
                      <a:avLst/>
                    </a:prstGeom>
                    <a:noFill/>
                    <a:ln>
                      <a:noFill/>
                    </a:ln>
                  </pic:spPr>
                </pic:pic>
              </a:graphicData>
            </a:graphic>
          </wp:inline>
        </w:drawing>
      </w:r>
    </w:p>
    <w:p w14:paraId="6E7D3449" w14:textId="77777777" w:rsidR="00C80F8A" w:rsidRPr="00C2751F" w:rsidRDefault="00DC168B" w:rsidP="00C2751F">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sidR="0022589A">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sidR="00E108B5">
        <w:rPr>
          <w:rFonts w:asciiTheme="minorHAnsi" w:hAnsiTheme="minorHAnsi" w:cstheme="minorHAnsi"/>
          <w:i/>
          <w:iCs/>
          <w:sz w:val="16"/>
          <w:szCs w:val="16"/>
        </w:rPr>
        <w:t>sinergmin</w:t>
      </w:r>
      <w:r w:rsidR="00034F5B">
        <w:rPr>
          <w:rFonts w:asciiTheme="minorHAnsi" w:hAnsiTheme="minorHAnsi" w:cstheme="minorHAnsi"/>
          <w:i/>
          <w:iCs/>
          <w:sz w:val="16"/>
          <w:szCs w:val="16"/>
        </w:rPr>
        <w:t xml:space="preserve"> </w:t>
      </w:r>
      <w:r w:rsidR="009011EA">
        <w:rPr>
          <w:rFonts w:asciiTheme="minorHAnsi" w:hAnsiTheme="minorHAnsi" w:cstheme="minorHAnsi"/>
          <w:i/>
          <w:iCs/>
          <w:sz w:val="16"/>
          <w:szCs w:val="16"/>
        </w:rPr>
        <w:t>y Petroperú</w:t>
      </w:r>
    </w:p>
    <w:p w14:paraId="1667552F" w14:textId="298AC37A" w:rsidR="00C80F8A" w:rsidRDefault="00C80F8A" w:rsidP="00C2751F">
      <w:pPr>
        <w:jc w:val="both"/>
        <w:rPr>
          <w:rFonts w:asciiTheme="minorHAnsi" w:hAnsiTheme="minorHAnsi" w:cstheme="minorHAnsi"/>
          <w:i/>
          <w:iCs/>
          <w:sz w:val="16"/>
          <w:szCs w:val="16"/>
        </w:rPr>
      </w:pPr>
    </w:p>
    <w:p w14:paraId="094AB2C7" w14:textId="77777777" w:rsidR="00C80F8A" w:rsidRDefault="00C80F8A" w:rsidP="00C2751F">
      <w:pPr>
        <w:jc w:val="both"/>
        <w:rPr>
          <w:rFonts w:asciiTheme="minorHAnsi" w:hAnsiTheme="minorHAnsi" w:cstheme="minorHAnsi"/>
          <w:i/>
          <w:iCs/>
          <w:sz w:val="16"/>
          <w:szCs w:val="16"/>
        </w:rPr>
      </w:pPr>
    </w:p>
    <w:p w14:paraId="57C88BDA" w14:textId="77777777" w:rsidR="00C80F8A" w:rsidRDefault="00C80F8A" w:rsidP="00550489">
      <w:pPr>
        <w:pStyle w:val="xl37"/>
        <w:spacing w:before="0" w:beforeAutospacing="0" w:after="0" w:afterAutospacing="0"/>
        <w:ind w:left="-851"/>
        <w:rPr>
          <w:rFonts w:asciiTheme="minorHAnsi" w:hAnsiTheme="minorHAnsi" w:cstheme="minorHAnsi"/>
          <w:i/>
          <w:iCs/>
          <w:sz w:val="16"/>
          <w:szCs w:val="16"/>
        </w:rPr>
      </w:pPr>
    </w:p>
    <w:p w14:paraId="351FE9C1" w14:textId="3F72869D" w:rsidR="00865534" w:rsidRPr="00865534" w:rsidRDefault="00DB4BFD" w:rsidP="00865534">
      <w:pPr>
        <w:pStyle w:val="Ttulo3"/>
        <w:numPr>
          <w:ilvl w:val="0"/>
          <w:numId w:val="3"/>
        </w:numPr>
        <w:tabs>
          <w:tab w:val="left" w:pos="284"/>
        </w:tabs>
        <w:spacing w:before="0" w:after="0"/>
        <w:ind w:left="284" w:right="-1" w:hanging="568"/>
        <w:jc w:val="both"/>
        <w:rPr>
          <w:rFonts w:asciiTheme="minorHAnsi" w:hAnsiTheme="minorHAnsi" w:cstheme="minorHAnsi"/>
          <w:sz w:val="24"/>
          <w:szCs w:val="24"/>
        </w:rPr>
      </w:pPr>
      <w:r w:rsidRPr="00865534">
        <w:rPr>
          <w:rFonts w:asciiTheme="minorHAnsi" w:hAnsiTheme="minorHAnsi" w:cstheme="minorHAnsi"/>
          <w:i/>
          <w:iCs/>
          <w:sz w:val="16"/>
          <w:szCs w:val="16"/>
        </w:rPr>
        <w:br w:type="page"/>
      </w:r>
      <w:r w:rsidR="00865534" w:rsidRPr="00865534">
        <w:rPr>
          <w:rFonts w:asciiTheme="minorHAnsi" w:hAnsiTheme="minorHAnsi" w:cstheme="minorHAnsi"/>
          <w:sz w:val="24"/>
          <w:szCs w:val="24"/>
        </w:rPr>
        <w:lastRenderedPageBreak/>
        <w:t xml:space="preserve">COMPARACIÓN DE PRECIOS DE REFERENCIA DE </w:t>
      </w:r>
      <w:r w:rsidR="00865534">
        <w:rPr>
          <w:rFonts w:asciiTheme="minorHAnsi" w:hAnsiTheme="minorHAnsi" w:cstheme="minorHAnsi"/>
          <w:sz w:val="24"/>
          <w:szCs w:val="24"/>
        </w:rPr>
        <w:t xml:space="preserve">IMPORTACIÓN DE LOS </w:t>
      </w:r>
      <w:r w:rsidR="00865534" w:rsidRPr="00865534">
        <w:rPr>
          <w:rFonts w:asciiTheme="minorHAnsi" w:hAnsiTheme="minorHAnsi" w:cstheme="minorHAnsi"/>
          <w:sz w:val="24"/>
          <w:szCs w:val="24"/>
        </w:rPr>
        <w:t>COMBUSTIBLES Y LOS PRECIOS DE PARIDAD DE CHILE.</w:t>
      </w:r>
    </w:p>
    <w:p w14:paraId="00F47A69" w14:textId="4CB85CAF" w:rsidR="00DB4BFD" w:rsidRDefault="00DB4BFD" w:rsidP="00550489">
      <w:pPr>
        <w:pStyle w:val="xl37"/>
        <w:spacing w:before="0" w:beforeAutospacing="0" w:after="0" w:afterAutospacing="0"/>
        <w:ind w:left="-851"/>
        <w:rPr>
          <w:rFonts w:asciiTheme="minorHAnsi" w:hAnsiTheme="minorHAnsi" w:cstheme="minorHAnsi"/>
          <w:b w:val="0"/>
          <w:i/>
          <w:iCs/>
          <w:sz w:val="16"/>
          <w:szCs w:val="16"/>
        </w:rPr>
      </w:pPr>
    </w:p>
    <w:p w14:paraId="69B15648" w14:textId="0EE1CA16" w:rsidR="00127A54" w:rsidRDefault="005048C1" w:rsidP="005048C1">
      <w:pPr>
        <w:rPr>
          <w:rFonts w:asciiTheme="minorHAnsi" w:hAnsiTheme="minorHAnsi" w:cstheme="minorHAnsi"/>
          <w:i/>
          <w:sz w:val="18"/>
          <w:szCs w:val="18"/>
        </w:rPr>
      </w:pPr>
      <w:r w:rsidRPr="001839E1">
        <w:rPr>
          <w:rFonts w:asciiTheme="minorHAnsi" w:hAnsiTheme="minorHAnsi" w:cstheme="minorHAnsi"/>
          <w:b/>
          <w:i/>
          <w:sz w:val="20"/>
          <w:szCs w:val="20"/>
        </w:rPr>
        <w:t>GRAFICA Nº</w:t>
      </w:r>
      <w:r w:rsidR="00CA4BF0">
        <w:rPr>
          <w:rFonts w:asciiTheme="minorHAnsi" w:hAnsiTheme="minorHAnsi" w:cstheme="minorHAnsi"/>
          <w:b/>
          <w:i/>
          <w:sz w:val="20"/>
          <w:szCs w:val="20"/>
        </w:rPr>
        <w:t xml:space="preserve"> </w:t>
      </w:r>
      <w:r w:rsidR="002C3713">
        <w:rPr>
          <w:rFonts w:asciiTheme="minorHAnsi" w:hAnsiTheme="minorHAnsi" w:cstheme="minorHAnsi"/>
          <w:b/>
          <w:i/>
          <w:sz w:val="20"/>
          <w:szCs w:val="20"/>
        </w:rPr>
        <w:t>7</w:t>
      </w:r>
      <w:r w:rsidRPr="001839E1">
        <w:rPr>
          <w:rFonts w:asciiTheme="minorHAnsi" w:hAnsiTheme="minorHAnsi" w:cstheme="minorHAnsi"/>
          <w:b/>
          <w:i/>
          <w:sz w:val="20"/>
          <w:szCs w:val="20"/>
        </w:rPr>
        <w:t>:</w:t>
      </w:r>
      <w:r w:rsidRPr="002B3648">
        <w:rPr>
          <w:rFonts w:asciiTheme="minorHAnsi" w:hAnsiTheme="minorHAnsi" w:cstheme="minorHAnsi"/>
          <w:b/>
          <w:i/>
          <w:sz w:val="18"/>
          <w:szCs w:val="18"/>
        </w:rPr>
        <w:t xml:space="preserve"> </w:t>
      </w:r>
      <w:r w:rsidRPr="002B3648">
        <w:rPr>
          <w:rFonts w:asciiTheme="minorHAnsi" w:hAnsiTheme="minorHAnsi" w:cstheme="minorHAnsi"/>
          <w:i/>
          <w:sz w:val="18"/>
          <w:szCs w:val="18"/>
        </w:rPr>
        <w:t xml:space="preserve">Comparación de Precios de </w:t>
      </w:r>
      <w:r>
        <w:rPr>
          <w:rFonts w:asciiTheme="minorHAnsi" w:hAnsiTheme="minorHAnsi" w:cstheme="minorHAnsi"/>
          <w:i/>
          <w:sz w:val="18"/>
          <w:szCs w:val="18"/>
        </w:rPr>
        <w:t xml:space="preserve">Referencia y Precios de Paridad de Chile en </w:t>
      </w:r>
      <w:r w:rsidR="00984F39">
        <w:rPr>
          <w:rFonts w:asciiTheme="minorHAnsi" w:hAnsiTheme="minorHAnsi" w:cstheme="minorHAnsi"/>
          <w:i/>
          <w:sz w:val="18"/>
          <w:szCs w:val="18"/>
        </w:rPr>
        <w:t>US$</w:t>
      </w:r>
      <w:r w:rsidR="00C35B6B">
        <w:rPr>
          <w:rFonts w:asciiTheme="minorHAnsi" w:hAnsiTheme="minorHAnsi" w:cstheme="minorHAnsi"/>
          <w:i/>
          <w:sz w:val="18"/>
          <w:szCs w:val="18"/>
        </w:rPr>
        <w:t>/Galón</w:t>
      </w:r>
    </w:p>
    <w:p w14:paraId="78C769F7" w14:textId="4715F26F" w:rsidR="00550568" w:rsidRDefault="00550568" w:rsidP="005048C1">
      <w:pPr>
        <w:rPr>
          <w:rFonts w:asciiTheme="minorHAnsi" w:hAnsiTheme="minorHAnsi" w:cstheme="minorHAnsi"/>
          <w:i/>
          <w:sz w:val="18"/>
          <w:szCs w:val="18"/>
        </w:rPr>
      </w:pPr>
    </w:p>
    <w:p w14:paraId="72FF84FE" w14:textId="3A113A74" w:rsidR="00BF4B4A" w:rsidRPr="00C2751F" w:rsidRDefault="004F6B3A" w:rsidP="005048C1">
      <w:pPr>
        <w:spacing w:line="0" w:lineRule="atLeast"/>
        <w:ind w:right="-567"/>
        <w:jc w:val="both"/>
        <w:rPr>
          <w:noProof/>
          <w:lang w:val="es-PE" w:eastAsia="es-PE"/>
        </w:rPr>
      </w:pPr>
      <w:r w:rsidRPr="004F6B3A">
        <w:drawing>
          <wp:inline distT="0" distB="0" distL="0" distR="0" wp14:anchorId="5A0D52DF" wp14:editId="3B00BE52">
            <wp:extent cx="5850255" cy="6305550"/>
            <wp:effectExtent l="0" t="0" r="0" b="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850255" cy="6305550"/>
                    </a:xfrm>
                    <a:prstGeom prst="rect">
                      <a:avLst/>
                    </a:prstGeom>
                    <a:noFill/>
                    <a:ln>
                      <a:noFill/>
                    </a:ln>
                  </pic:spPr>
                </pic:pic>
              </a:graphicData>
            </a:graphic>
          </wp:inline>
        </w:drawing>
      </w:r>
    </w:p>
    <w:p w14:paraId="070E1F19" w14:textId="6A222A34" w:rsidR="005048C1" w:rsidRPr="00C2751F" w:rsidRDefault="005048C1" w:rsidP="005048C1">
      <w:pPr>
        <w:jc w:val="both"/>
        <w:rPr>
          <w:rFonts w:asciiTheme="minorHAnsi" w:hAnsiTheme="minorHAnsi" w:cstheme="minorHAnsi"/>
          <w:i/>
          <w:iCs/>
          <w:sz w:val="16"/>
          <w:szCs w:val="16"/>
        </w:rPr>
      </w:pPr>
      <w:r w:rsidRPr="00DC168B">
        <w:rPr>
          <w:rFonts w:asciiTheme="minorHAnsi" w:hAnsiTheme="minorHAnsi" w:cstheme="minorHAnsi"/>
          <w:i/>
          <w:iCs/>
          <w:sz w:val="16"/>
          <w:szCs w:val="16"/>
        </w:rPr>
        <w:t xml:space="preserve"> </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Fuente</w:t>
      </w:r>
      <w:r>
        <w:rPr>
          <w:rFonts w:asciiTheme="minorHAnsi" w:hAnsiTheme="minorHAnsi" w:cstheme="minorHAnsi"/>
          <w:i/>
          <w:iCs/>
          <w:sz w:val="16"/>
          <w:szCs w:val="16"/>
        </w:rPr>
        <w:t xml:space="preserve">: </w:t>
      </w:r>
      <w:r w:rsidRPr="002B3648">
        <w:rPr>
          <w:rFonts w:asciiTheme="minorHAnsi" w:hAnsiTheme="minorHAnsi" w:cstheme="minorHAnsi"/>
          <w:i/>
          <w:iCs/>
          <w:sz w:val="16"/>
          <w:szCs w:val="16"/>
        </w:rPr>
        <w:t>O</w:t>
      </w:r>
      <w:r>
        <w:rPr>
          <w:rFonts w:asciiTheme="minorHAnsi" w:hAnsiTheme="minorHAnsi" w:cstheme="minorHAnsi"/>
          <w:i/>
          <w:iCs/>
          <w:sz w:val="16"/>
          <w:szCs w:val="16"/>
        </w:rPr>
        <w:t xml:space="preserve">sinergmin y </w:t>
      </w:r>
      <w:r w:rsidR="00127A54">
        <w:rPr>
          <w:rFonts w:asciiTheme="minorHAnsi" w:hAnsiTheme="minorHAnsi" w:cstheme="minorHAnsi"/>
          <w:i/>
          <w:iCs/>
          <w:sz w:val="16"/>
          <w:szCs w:val="16"/>
        </w:rPr>
        <w:t>ENAP</w:t>
      </w:r>
    </w:p>
    <w:p w14:paraId="3EC280C0" w14:textId="77777777" w:rsidR="00E042C4" w:rsidRDefault="00E042C4" w:rsidP="00E042C4">
      <w:pPr>
        <w:jc w:val="both"/>
        <w:rPr>
          <w:rFonts w:asciiTheme="minorHAnsi" w:hAnsiTheme="minorHAnsi" w:cstheme="minorHAnsi"/>
          <w:i/>
          <w:iCs/>
          <w:sz w:val="16"/>
          <w:szCs w:val="16"/>
        </w:rPr>
      </w:pPr>
    </w:p>
    <w:p w14:paraId="6B3D1EA8" w14:textId="77777777" w:rsidR="00E042C4" w:rsidRDefault="00E042C4" w:rsidP="00E042C4">
      <w:pPr>
        <w:jc w:val="both"/>
        <w:rPr>
          <w:rFonts w:asciiTheme="minorHAnsi" w:hAnsiTheme="minorHAnsi" w:cstheme="minorHAnsi"/>
          <w:i/>
          <w:iCs/>
          <w:sz w:val="16"/>
          <w:szCs w:val="16"/>
        </w:rPr>
      </w:pPr>
    </w:p>
    <w:p w14:paraId="4095CE6B" w14:textId="2948DC6E" w:rsidR="00E042C4" w:rsidRPr="00C2751F" w:rsidRDefault="00E042C4" w:rsidP="00E042C4">
      <w:pPr>
        <w:jc w:val="both"/>
        <w:rPr>
          <w:rFonts w:asciiTheme="minorHAnsi" w:hAnsiTheme="minorHAnsi" w:cstheme="minorHAnsi"/>
          <w:i/>
          <w:iCs/>
          <w:sz w:val="16"/>
          <w:szCs w:val="16"/>
        </w:rPr>
      </w:pPr>
      <w:r w:rsidRPr="00C2751F">
        <w:rPr>
          <w:rFonts w:asciiTheme="minorHAnsi" w:hAnsiTheme="minorHAnsi" w:cstheme="minorHAnsi"/>
          <w:i/>
          <w:iCs/>
          <w:sz w:val="16"/>
          <w:szCs w:val="16"/>
        </w:rPr>
        <w:t>MMC / MMT / ASC</w:t>
      </w:r>
    </w:p>
    <w:p w14:paraId="49C7CCA3" w14:textId="77777777" w:rsidR="005048C1" w:rsidRDefault="005048C1">
      <w:pPr>
        <w:rPr>
          <w:rFonts w:asciiTheme="minorHAnsi" w:hAnsiTheme="minorHAnsi" w:cstheme="minorHAnsi"/>
          <w:b/>
          <w:iCs/>
          <w:u w:val="single"/>
        </w:rPr>
      </w:pPr>
    </w:p>
    <w:p w14:paraId="76903F39" w14:textId="77777777" w:rsidR="00E042C4" w:rsidRDefault="00E042C4">
      <w:pPr>
        <w:rPr>
          <w:rFonts w:asciiTheme="minorHAnsi" w:hAnsiTheme="minorHAnsi" w:cstheme="minorHAnsi"/>
          <w:b/>
          <w:iCs/>
          <w:u w:val="single"/>
        </w:rPr>
      </w:pPr>
      <w:r>
        <w:rPr>
          <w:rFonts w:asciiTheme="minorHAnsi" w:hAnsiTheme="minorHAnsi" w:cstheme="minorHAnsi"/>
          <w:bCs/>
          <w:iCs/>
          <w:u w:val="single"/>
        </w:rPr>
        <w:br w:type="page"/>
      </w:r>
    </w:p>
    <w:p w14:paraId="654B735D" w14:textId="712CB825" w:rsidR="00214BFB" w:rsidRPr="00496869" w:rsidRDefault="00CA3C87" w:rsidP="00214BFB">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1</w:t>
      </w:r>
      <w:r w:rsidR="009D445C">
        <w:rPr>
          <w:rStyle w:val="Refdenotaalpie"/>
          <w:rFonts w:asciiTheme="minorHAnsi" w:eastAsia="Times New Roman" w:hAnsiTheme="minorHAnsi" w:cstheme="minorHAnsi"/>
          <w:bCs w:val="0"/>
          <w:iCs/>
          <w:sz w:val="24"/>
          <w:szCs w:val="24"/>
          <w:u w:val="single"/>
        </w:rPr>
        <w:footnoteReference w:id="4"/>
      </w:r>
    </w:p>
    <w:p w14:paraId="1A959533" w14:textId="06BAE007" w:rsidR="00214BFB" w:rsidRDefault="00214BFB" w:rsidP="00214BFB">
      <w:pPr>
        <w:jc w:val="both"/>
        <w:rPr>
          <w:rFonts w:asciiTheme="minorHAnsi" w:hAnsiTheme="minorHAnsi" w:cstheme="minorHAnsi"/>
          <w:sz w:val="22"/>
          <w:szCs w:val="22"/>
        </w:rPr>
      </w:pPr>
    </w:p>
    <w:p w14:paraId="592891F0" w14:textId="77777777" w:rsidR="00D77243" w:rsidRDefault="00D77243" w:rsidP="00D77243">
      <w:pPr>
        <w:jc w:val="center"/>
        <w:rPr>
          <w:rFonts w:asciiTheme="minorHAnsi" w:hAnsiTheme="minorHAnsi" w:cstheme="minorHAnsi"/>
          <w:sz w:val="22"/>
          <w:szCs w:val="22"/>
        </w:rPr>
      </w:pPr>
    </w:p>
    <w:p w14:paraId="72352FDD" w14:textId="2C2463C7" w:rsidR="00A918E9" w:rsidRDefault="00A918E9" w:rsidP="00A918E9">
      <w:pPr>
        <w:jc w:val="center"/>
        <w:rPr>
          <w:rFonts w:asciiTheme="minorHAnsi" w:hAnsiTheme="minorHAnsi" w:cstheme="minorHAnsi"/>
          <w:sz w:val="22"/>
          <w:szCs w:val="22"/>
        </w:rPr>
      </w:pPr>
      <w:r>
        <w:rPr>
          <w:noProof/>
        </w:rPr>
        <w:drawing>
          <wp:inline distT="0" distB="0" distL="0" distR="0" wp14:anchorId="02C9DBDA" wp14:editId="7B6936A8">
            <wp:extent cx="5781275" cy="3352800"/>
            <wp:effectExtent l="19050" t="19050" r="10160" b="19050"/>
            <wp:docPr id="981345601" name="Imagen 4" descr="U.S. crude oil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 crude oil stocks graph"/>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12362" cy="3370829"/>
                    </a:xfrm>
                    <a:prstGeom prst="rect">
                      <a:avLst/>
                    </a:prstGeom>
                    <a:noFill/>
                    <a:ln>
                      <a:solidFill>
                        <a:schemeClr val="accent1"/>
                      </a:solidFill>
                    </a:ln>
                  </pic:spPr>
                </pic:pic>
              </a:graphicData>
            </a:graphic>
          </wp:inline>
        </w:drawing>
      </w:r>
    </w:p>
    <w:p w14:paraId="0B148E75" w14:textId="77777777" w:rsidR="00A918E9" w:rsidRDefault="00A918E9" w:rsidP="00A918E9">
      <w:pPr>
        <w:jc w:val="center"/>
        <w:rPr>
          <w:rFonts w:asciiTheme="minorHAnsi" w:hAnsiTheme="minorHAnsi" w:cstheme="minorHAnsi"/>
          <w:sz w:val="22"/>
          <w:szCs w:val="22"/>
        </w:rPr>
      </w:pPr>
    </w:p>
    <w:p w14:paraId="7D7A330F" w14:textId="77777777" w:rsidR="00A918E9" w:rsidRDefault="00A918E9" w:rsidP="00A918E9">
      <w:pPr>
        <w:jc w:val="center"/>
        <w:rPr>
          <w:rFonts w:asciiTheme="minorHAnsi" w:hAnsiTheme="minorHAnsi" w:cstheme="minorHAnsi"/>
          <w:sz w:val="22"/>
          <w:szCs w:val="22"/>
        </w:rPr>
      </w:pPr>
    </w:p>
    <w:p w14:paraId="5405B75E" w14:textId="77777777" w:rsidR="00A918E9" w:rsidRDefault="00A918E9" w:rsidP="00A918E9">
      <w:pPr>
        <w:jc w:val="center"/>
        <w:rPr>
          <w:rFonts w:asciiTheme="minorHAnsi" w:hAnsiTheme="minorHAnsi" w:cstheme="minorHAnsi"/>
          <w:sz w:val="22"/>
          <w:szCs w:val="22"/>
        </w:rPr>
      </w:pPr>
      <w:r>
        <w:rPr>
          <w:noProof/>
        </w:rPr>
        <w:drawing>
          <wp:inline distT="0" distB="0" distL="0" distR="0" wp14:anchorId="510FA4B0" wp14:editId="492F06CB">
            <wp:extent cx="5761990" cy="3314700"/>
            <wp:effectExtent l="19050" t="19050" r="10160" b="19050"/>
            <wp:docPr id="129334193" name="Imagen 5" descr="U.S. gasoli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U.S. gasoline stocks graph"/>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89179" cy="3330341"/>
                    </a:xfrm>
                    <a:prstGeom prst="rect">
                      <a:avLst/>
                    </a:prstGeom>
                    <a:noFill/>
                    <a:ln>
                      <a:solidFill>
                        <a:schemeClr val="accent1"/>
                      </a:solidFill>
                    </a:ln>
                  </pic:spPr>
                </pic:pic>
              </a:graphicData>
            </a:graphic>
          </wp:inline>
        </w:drawing>
      </w:r>
    </w:p>
    <w:p w14:paraId="7A5860CB" w14:textId="77777777" w:rsidR="00A918E9" w:rsidRDefault="00A918E9" w:rsidP="00A918E9">
      <w:pPr>
        <w:jc w:val="center"/>
        <w:rPr>
          <w:rFonts w:asciiTheme="minorHAnsi" w:hAnsiTheme="minorHAnsi" w:cstheme="minorHAnsi"/>
          <w:b/>
          <w:iCs/>
          <w:u w:val="single"/>
        </w:rPr>
      </w:pPr>
    </w:p>
    <w:p w14:paraId="2B864F2C" w14:textId="2B4D574A" w:rsidR="00A918E9" w:rsidRDefault="00A918E9" w:rsidP="00A918E9">
      <w:pPr>
        <w:jc w:val="center"/>
        <w:rPr>
          <w:rFonts w:asciiTheme="minorHAnsi" w:hAnsiTheme="minorHAnsi" w:cstheme="minorHAnsi"/>
          <w:b/>
          <w:iCs/>
          <w:u w:val="single"/>
        </w:rPr>
      </w:pPr>
      <w:r>
        <w:rPr>
          <w:noProof/>
        </w:rPr>
        <w:lastRenderedPageBreak/>
        <w:drawing>
          <wp:inline distT="0" distB="0" distL="0" distR="0" wp14:anchorId="572269A3" wp14:editId="45B59BCE">
            <wp:extent cx="5772150" cy="3447687"/>
            <wp:effectExtent l="19050" t="19050" r="19050" b="19685"/>
            <wp:docPr id="915280416" name="Imagen 6" descr="U.S. distillat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U.S. distillate stocks graph"/>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94231" cy="3460876"/>
                    </a:xfrm>
                    <a:prstGeom prst="rect">
                      <a:avLst/>
                    </a:prstGeom>
                    <a:noFill/>
                    <a:ln>
                      <a:solidFill>
                        <a:schemeClr val="accent1"/>
                      </a:solidFill>
                    </a:ln>
                  </pic:spPr>
                </pic:pic>
              </a:graphicData>
            </a:graphic>
          </wp:inline>
        </w:drawing>
      </w:r>
    </w:p>
    <w:p w14:paraId="511A6B34" w14:textId="77777777" w:rsidR="00A918E9" w:rsidRDefault="00A918E9" w:rsidP="00A918E9">
      <w:pPr>
        <w:jc w:val="center"/>
        <w:rPr>
          <w:rFonts w:asciiTheme="minorHAnsi" w:hAnsiTheme="minorHAnsi" w:cstheme="minorHAnsi"/>
          <w:b/>
          <w:iCs/>
          <w:u w:val="single"/>
        </w:rPr>
      </w:pPr>
    </w:p>
    <w:p w14:paraId="5A981589" w14:textId="77777777" w:rsidR="00A918E9" w:rsidRDefault="00A918E9" w:rsidP="00A918E9">
      <w:pPr>
        <w:jc w:val="center"/>
        <w:rPr>
          <w:rFonts w:asciiTheme="minorHAnsi" w:hAnsiTheme="minorHAnsi" w:cstheme="minorHAnsi"/>
          <w:b/>
          <w:iCs/>
          <w:u w:val="single"/>
        </w:rPr>
      </w:pPr>
    </w:p>
    <w:p w14:paraId="177F1EB6" w14:textId="77777777" w:rsidR="00A918E9" w:rsidRDefault="00A918E9" w:rsidP="00A918E9">
      <w:pPr>
        <w:jc w:val="center"/>
        <w:rPr>
          <w:rFonts w:asciiTheme="minorHAnsi" w:hAnsiTheme="minorHAnsi" w:cstheme="minorHAnsi"/>
          <w:b/>
          <w:iCs/>
          <w:u w:val="single"/>
        </w:rPr>
      </w:pPr>
      <w:r>
        <w:rPr>
          <w:noProof/>
        </w:rPr>
        <w:drawing>
          <wp:inline distT="0" distB="0" distL="0" distR="0" wp14:anchorId="2BA4049E" wp14:editId="4C2E63A8">
            <wp:extent cx="5756116" cy="3343098"/>
            <wp:effectExtent l="19050" t="19050" r="16510" b="10160"/>
            <wp:docPr id="1948668177" name="Imagen 7" descr="U.S. propane/propylene stocks grap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S. propane/propylene stocks graph"/>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75844" cy="3354556"/>
                    </a:xfrm>
                    <a:prstGeom prst="rect">
                      <a:avLst/>
                    </a:prstGeom>
                    <a:noFill/>
                    <a:ln>
                      <a:solidFill>
                        <a:schemeClr val="accent1"/>
                      </a:solidFill>
                    </a:ln>
                  </pic:spPr>
                </pic:pic>
              </a:graphicData>
            </a:graphic>
          </wp:inline>
        </w:drawing>
      </w:r>
    </w:p>
    <w:p w14:paraId="4F115284" w14:textId="77777777" w:rsidR="00F45219" w:rsidRDefault="00F45219" w:rsidP="00F45219">
      <w:pPr>
        <w:jc w:val="center"/>
        <w:rPr>
          <w:rFonts w:asciiTheme="minorHAnsi" w:hAnsiTheme="minorHAnsi" w:cstheme="minorHAnsi"/>
          <w:sz w:val="22"/>
          <w:szCs w:val="22"/>
        </w:rPr>
      </w:pPr>
    </w:p>
    <w:p w14:paraId="56ABBB12" w14:textId="77777777" w:rsidR="00F45219" w:rsidRDefault="00F45219" w:rsidP="00F45219">
      <w:pPr>
        <w:jc w:val="center"/>
        <w:rPr>
          <w:rFonts w:asciiTheme="minorHAnsi" w:hAnsiTheme="minorHAnsi" w:cstheme="minorHAnsi"/>
          <w:sz w:val="22"/>
          <w:szCs w:val="22"/>
        </w:rPr>
      </w:pPr>
    </w:p>
    <w:p w14:paraId="15348DE3" w14:textId="66B24544" w:rsidR="00F45219" w:rsidRDefault="00F45219" w:rsidP="00F45219">
      <w:pPr>
        <w:jc w:val="center"/>
        <w:rPr>
          <w:rFonts w:asciiTheme="minorHAnsi" w:hAnsiTheme="minorHAnsi" w:cstheme="minorHAnsi"/>
          <w:sz w:val="22"/>
          <w:szCs w:val="22"/>
        </w:rPr>
      </w:pPr>
    </w:p>
    <w:p w14:paraId="1C3409F8" w14:textId="77777777" w:rsidR="00F45219" w:rsidRDefault="00F45219" w:rsidP="00F45219">
      <w:pPr>
        <w:jc w:val="center"/>
        <w:rPr>
          <w:rFonts w:asciiTheme="minorHAnsi" w:hAnsiTheme="minorHAnsi" w:cstheme="minorHAnsi"/>
          <w:b/>
          <w:iCs/>
          <w:u w:val="single"/>
        </w:rPr>
      </w:pPr>
    </w:p>
    <w:p w14:paraId="136F3408" w14:textId="60181E63" w:rsidR="00F45219" w:rsidRDefault="00F45219" w:rsidP="00F45219">
      <w:pPr>
        <w:jc w:val="center"/>
        <w:rPr>
          <w:rFonts w:asciiTheme="minorHAnsi" w:hAnsiTheme="minorHAnsi" w:cstheme="minorHAnsi"/>
          <w:b/>
          <w:iCs/>
          <w:u w:val="single"/>
        </w:rPr>
      </w:pPr>
    </w:p>
    <w:p w14:paraId="341D30C8" w14:textId="77777777" w:rsidR="00F45219" w:rsidRDefault="00F45219" w:rsidP="00F45219">
      <w:pPr>
        <w:jc w:val="center"/>
        <w:rPr>
          <w:rFonts w:asciiTheme="minorHAnsi" w:hAnsiTheme="minorHAnsi" w:cstheme="minorHAnsi"/>
          <w:b/>
          <w:iCs/>
          <w:u w:val="single"/>
        </w:rPr>
      </w:pPr>
    </w:p>
    <w:p w14:paraId="2C2BCE94" w14:textId="77777777" w:rsidR="00F45219" w:rsidRDefault="00F45219" w:rsidP="00F45219">
      <w:pPr>
        <w:jc w:val="center"/>
        <w:rPr>
          <w:rFonts w:asciiTheme="minorHAnsi" w:hAnsiTheme="minorHAnsi" w:cstheme="minorHAnsi"/>
          <w:b/>
          <w:iCs/>
          <w:u w:val="single"/>
        </w:rPr>
      </w:pPr>
    </w:p>
    <w:p w14:paraId="166D0F6D" w14:textId="4958A048" w:rsidR="00CA3C87" w:rsidRPr="00496869" w:rsidRDefault="00CA3C87" w:rsidP="005F2172">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r w:rsidRPr="00496869">
        <w:rPr>
          <w:rFonts w:asciiTheme="minorHAnsi" w:eastAsia="Times New Roman" w:hAnsiTheme="minorHAnsi" w:cstheme="minorHAnsi"/>
          <w:bCs w:val="0"/>
          <w:iCs/>
          <w:sz w:val="24"/>
          <w:szCs w:val="24"/>
          <w:u w:val="single"/>
        </w:rPr>
        <w:lastRenderedPageBreak/>
        <w:t>ANEXO N°</w:t>
      </w:r>
      <w:r w:rsidR="003C365B">
        <w:rPr>
          <w:rFonts w:asciiTheme="minorHAnsi" w:eastAsia="Times New Roman" w:hAnsiTheme="minorHAnsi" w:cstheme="minorHAnsi"/>
          <w:bCs w:val="0"/>
          <w:iCs/>
          <w:sz w:val="24"/>
          <w:szCs w:val="24"/>
          <w:u w:val="single"/>
        </w:rPr>
        <w:t xml:space="preserve"> </w:t>
      </w:r>
      <w:r>
        <w:rPr>
          <w:rFonts w:asciiTheme="minorHAnsi" w:eastAsia="Times New Roman" w:hAnsiTheme="minorHAnsi" w:cstheme="minorHAnsi"/>
          <w:bCs w:val="0"/>
          <w:iCs/>
          <w:sz w:val="24"/>
          <w:szCs w:val="24"/>
          <w:u w:val="single"/>
        </w:rPr>
        <w:t>2</w:t>
      </w:r>
    </w:p>
    <w:p w14:paraId="70F57A92" w14:textId="77777777" w:rsidR="00CA3C87" w:rsidRPr="00496869" w:rsidRDefault="00CA3C87" w:rsidP="00CA3C87">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146C392A"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del GLP</w:t>
      </w:r>
    </w:p>
    <w:p w14:paraId="16D9B922"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399FFBA8"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5680E8CE" wp14:editId="2A700D90">
            <wp:extent cx="5850255" cy="32194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850255" cy="3219450"/>
                    </a:xfrm>
                    <a:prstGeom prst="rect">
                      <a:avLst/>
                    </a:prstGeom>
                  </pic:spPr>
                </pic:pic>
              </a:graphicData>
            </a:graphic>
          </wp:inline>
        </w:drawing>
      </w:r>
    </w:p>
    <w:p w14:paraId="49863F9C"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3E432CDF"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p>
    <w:p w14:paraId="321D41C0" w14:textId="77777777" w:rsidR="00CA3C87" w:rsidRPr="00B10649" w:rsidRDefault="00CA3C87" w:rsidP="00CA3C87">
      <w:pPr>
        <w:jc w:val="both"/>
        <w:rPr>
          <w:rFonts w:ascii="Calibri" w:hAnsi="Calibri" w:cs="Arial"/>
          <w:b/>
          <w:bCs/>
          <w:i/>
          <w:sz w:val="20"/>
          <w:szCs w:val="20"/>
          <w:lang w:eastAsia="es-PE"/>
        </w:rPr>
      </w:pPr>
      <w:r>
        <w:rPr>
          <w:rFonts w:ascii="Calibri" w:hAnsi="Calibri" w:cs="Arial"/>
          <w:b/>
          <w:bCs/>
          <w:i/>
          <w:sz w:val="20"/>
          <w:szCs w:val="20"/>
          <w:lang w:eastAsia="es-PE"/>
        </w:rPr>
        <w:t>Estructura del Precio de Referencia de Importación (PR1) de los Combustibles Líquidos</w:t>
      </w:r>
    </w:p>
    <w:p w14:paraId="27703B51"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p>
    <w:p w14:paraId="17A060BB" w14:textId="77777777" w:rsidR="00CA3C87" w:rsidRDefault="00CA3C87" w:rsidP="00CA3C87">
      <w:pPr>
        <w:keepNext/>
        <w:pBdr>
          <w:top w:val="single" w:sz="4" w:space="1" w:color="auto"/>
          <w:bottom w:val="single" w:sz="4" w:space="1" w:color="auto"/>
        </w:pBdr>
        <w:contextualSpacing/>
        <w:jc w:val="center"/>
        <w:rPr>
          <w:rFonts w:ascii="Calibri" w:eastAsia="Calibri" w:hAnsi="Calibri"/>
          <w:sz w:val="22"/>
          <w:szCs w:val="22"/>
        </w:rPr>
      </w:pPr>
      <w:r>
        <w:rPr>
          <w:noProof/>
          <w:lang w:val="es-PE" w:eastAsia="es-PE"/>
        </w:rPr>
        <w:drawing>
          <wp:inline distT="0" distB="0" distL="0" distR="0" wp14:anchorId="27C52847" wp14:editId="51A6F2E6">
            <wp:extent cx="5850255" cy="3327400"/>
            <wp:effectExtent l="0" t="0" r="0" b="635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5850255" cy="3327400"/>
                    </a:xfrm>
                    <a:prstGeom prst="rect">
                      <a:avLst/>
                    </a:prstGeom>
                  </pic:spPr>
                </pic:pic>
              </a:graphicData>
            </a:graphic>
          </wp:inline>
        </w:drawing>
      </w:r>
    </w:p>
    <w:p w14:paraId="7EAB924A" w14:textId="77777777" w:rsidR="00CA3C87" w:rsidRDefault="00CA3C87" w:rsidP="00CA3C87">
      <w:pPr>
        <w:pStyle w:val="xl37"/>
        <w:tabs>
          <w:tab w:val="left" w:pos="180"/>
        </w:tabs>
        <w:spacing w:before="0" w:beforeAutospacing="0" w:after="0" w:afterAutospacing="0"/>
        <w:rPr>
          <w:rFonts w:ascii="Calibri" w:eastAsia="Calibri" w:hAnsi="Calibri"/>
          <w:i/>
          <w:iCs/>
          <w:sz w:val="18"/>
          <w:szCs w:val="18"/>
        </w:rPr>
      </w:pPr>
      <w:r w:rsidRPr="00EC0416">
        <w:rPr>
          <w:rFonts w:ascii="Calibri" w:eastAsia="Calibri" w:hAnsi="Calibri"/>
          <w:b w:val="0"/>
          <w:bCs w:val="0"/>
          <w:i/>
          <w:iCs/>
          <w:sz w:val="18"/>
          <w:szCs w:val="18"/>
        </w:rPr>
        <w:t>Fuente</w:t>
      </w:r>
      <w:r w:rsidRPr="00EC0416">
        <w:rPr>
          <w:rFonts w:ascii="Calibri" w:eastAsia="Calibri" w:hAnsi="Calibri"/>
          <w:i/>
          <w:iCs/>
          <w:sz w:val="18"/>
          <w:szCs w:val="18"/>
        </w:rPr>
        <w:t>: OSINERGMI</w:t>
      </w:r>
      <w:r>
        <w:rPr>
          <w:rFonts w:ascii="Calibri" w:eastAsia="Calibri" w:hAnsi="Calibri"/>
          <w:i/>
          <w:iCs/>
          <w:sz w:val="18"/>
          <w:szCs w:val="18"/>
        </w:rPr>
        <w:t>N</w:t>
      </w:r>
      <w:r w:rsidRPr="00EC0416">
        <w:rPr>
          <w:rFonts w:ascii="Calibri" w:eastAsia="Calibri" w:hAnsi="Calibri"/>
          <w:i/>
          <w:iCs/>
          <w:sz w:val="18"/>
          <w:szCs w:val="18"/>
        </w:rPr>
        <w:t>, MINEM-DGH</w:t>
      </w:r>
      <w:r w:rsidRPr="00EC0416">
        <w:rPr>
          <w:rFonts w:ascii="Calibri" w:eastAsia="Calibri" w:hAnsi="Calibri"/>
          <w:i/>
          <w:iCs/>
          <w:sz w:val="18"/>
          <w:szCs w:val="18"/>
        </w:rPr>
        <w:tab/>
      </w:r>
    </w:p>
    <w:p w14:paraId="17180F1B" w14:textId="77777777" w:rsidR="00CA3C87" w:rsidRDefault="00CA3C87" w:rsidP="00CA3C87">
      <w:pPr>
        <w:rPr>
          <w:rFonts w:asciiTheme="minorHAnsi" w:hAnsiTheme="minorHAnsi" w:cstheme="minorHAnsi"/>
          <w:b/>
          <w:bCs/>
          <w:i/>
          <w:iCs/>
          <w:sz w:val="16"/>
          <w:szCs w:val="16"/>
        </w:rPr>
      </w:pPr>
    </w:p>
    <w:p w14:paraId="110839C8" w14:textId="77777777" w:rsidR="00CA3C87" w:rsidRDefault="00CA3C87" w:rsidP="00CA3C87">
      <w:pPr>
        <w:rPr>
          <w:rFonts w:asciiTheme="minorHAnsi" w:hAnsiTheme="minorHAnsi" w:cstheme="minorHAnsi"/>
          <w:b/>
          <w:bCs/>
          <w:i/>
          <w:iCs/>
          <w:sz w:val="16"/>
          <w:szCs w:val="16"/>
        </w:rPr>
      </w:pPr>
      <w:r>
        <w:rPr>
          <w:rFonts w:asciiTheme="minorHAnsi" w:hAnsiTheme="minorHAnsi" w:cstheme="minorHAnsi"/>
          <w:b/>
          <w:bCs/>
          <w:i/>
          <w:iCs/>
          <w:sz w:val="16"/>
          <w:szCs w:val="16"/>
        </w:rPr>
        <w:t>Mayor información sobre los criterios metodológicos se puede encontrar en la siguiente dirección web:</w:t>
      </w:r>
    </w:p>
    <w:p w14:paraId="039D5F43" w14:textId="77777777" w:rsidR="00CA3C87" w:rsidRPr="002B3648" w:rsidRDefault="00356B94" w:rsidP="00CA3C87">
      <w:pPr>
        <w:rPr>
          <w:rFonts w:asciiTheme="minorHAnsi" w:hAnsiTheme="minorHAnsi" w:cstheme="minorHAnsi"/>
          <w:b/>
          <w:bCs/>
          <w:i/>
          <w:iCs/>
          <w:sz w:val="16"/>
          <w:szCs w:val="16"/>
        </w:rPr>
      </w:pPr>
      <w:hyperlink r:id="rId37" w:history="1">
        <w:r w:rsidR="00CA3C87" w:rsidRPr="00191C7D">
          <w:rPr>
            <w:rStyle w:val="Hipervnculo"/>
            <w:rFonts w:asciiTheme="minorHAnsi" w:hAnsiTheme="minorHAnsi" w:cstheme="minorHAnsi"/>
            <w:b/>
            <w:bCs/>
            <w:i/>
            <w:iCs/>
            <w:sz w:val="16"/>
            <w:szCs w:val="16"/>
          </w:rPr>
          <w:t>https://www.osinergmin.gob.pe/seccion/centro_documental/gart/precios_referencia_banda_precios/PreciosReferencia/Informe-Tecnico-479-2021-GRT.pdf</w:t>
        </w:r>
      </w:hyperlink>
    </w:p>
    <w:sectPr w:rsidR="00CA3C87" w:rsidRPr="002B3648" w:rsidSect="00F45219">
      <w:headerReference w:type="default" r:id="rId38"/>
      <w:footerReference w:type="default" r:id="rId39"/>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CB06AC6" w14:textId="77777777" w:rsidR="00E4762F" w:rsidRDefault="00E4762F" w:rsidP="006502B5">
      <w:r>
        <w:separator/>
      </w:r>
    </w:p>
  </w:endnote>
  <w:endnote w:type="continuationSeparator" w:id="0">
    <w:p w14:paraId="65565445" w14:textId="77777777" w:rsidR="00E4762F" w:rsidRDefault="00E4762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E15336" w14:textId="32F2864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0A99BA" w14:textId="5C4624FB" w:rsidR="00287F9F" w:rsidRPr="00287F9F" w:rsidRDefault="00287F9F" w:rsidP="0091328E">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AA845A" w14:textId="1F8F27DB"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0C899" w14:textId="77777777" w:rsidR="00E4762F" w:rsidRDefault="00E4762F" w:rsidP="006502B5">
      <w:r>
        <w:separator/>
      </w:r>
    </w:p>
  </w:footnote>
  <w:footnote w:type="continuationSeparator" w:id="0">
    <w:p w14:paraId="501E3E2E" w14:textId="77777777" w:rsidR="00E4762F" w:rsidRDefault="00E4762F" w:rsidP="006502B5">
      <w:r>
        <w:continuationSeparator/>
      </w:r>
    </w:p>
  </w:footnote>
  <w:footnote w:id="1">
    <w:p w14:paraId="3E654964" w14:textId="77777777" w:rsidR="00494331" w:rsidRPr="0020108D" w:rsidRDefault="00494331" w:rsidP="00EA7960">
      <w:pPr>
        <w:pStyle w:val="Textonotapie"/>
        <w:spacing w:before="0" w:after="0" w:line="0" w:lineRule="atLeast"/>
        <w:rPr>
          <w:rFonts w:asciiTheme="minorHAnsi" w:hAnsiTheme="minorHAnsi" w:cstheme="minorHAnsi"/>
          <w:i/>
          <w:sz w:val="16"/>
          <w:szCs w:val="16"/>
          <w:lang w:val="es-MX"/>
        </w:rPr>
      </w:pPr>
      <w:r w:rsidRPr="003F61E5">
        <w:rPr>
          <w:vertAlign w:val="superscript"/>
        </w:rPr>
        <w:footnoteRef/>
      </w:r>
      <w:r w:rsidR="007A7847" w:rsidRPr="0020108D">
        <w:rPr>
          <w:rFonts w:asciiTheme="minorHAnsi" w:hAnsiTheme="minorHAnsi" w:cstheme="minorHAnsi"/>
          <w:i/>
          <w:sz w:val="16"/>
          <w:szCs w:val="16"/>
          <w:lang w:val="es-MX"/>
        </w:rPr>
        <w:t>Fuentes: EIA</w:t>
      </w:r>
      <w:r w:rsidRPr="0020108D">
        <w:rPr>
          <w:rFonts w:asciiTheme="minorHAnsi" w:hAnsiTheme="minorHAnsi" w:cstheme="minorHAnsi"/>
          <w:i/>
          <w:sz w:val="16"/>
          <w:szCs w:val="16"/>
          <w:lang w:val="es-MX"/>
        </w:rPr>
        <w:t>, Reuters</w:t>
      </w:r>
      <w:r w:rsidR="00D22304" w:rsidRPr="0020108D">
        <w:rPr>
          <w:rFonts w:asciiTheme="minorHAnsi" w:hAnsiTheme="minorHAnsi" w:cstheme="minorHAnsi"/>
          <w:i/>
          <w:sz w:val="16"/>
          <w:szCs w:val="16"/>
          <w:lang w:val="es-MX"/>
        </w:rPr>
        <w:t>,</w:t>
      </w:r>
      <w:r w:rsidR="00BC79DF" w:rsidRPr="0020108D">
        <w:rPr>
          <w:rFonts w:asciiTheme="minorHAnsi" w:hAnsiTheme="minorHAnsi" w:cstheme="minorHAnsi"/>
          <w:i/>
          <w:sz w:val="16"/>
          <w:szCs w:val="16"/>
          <w:lang w:val="es-MX"/>
        </w:rPr>
        <w:t xml:space="preserve"> otros.</w:t>
      </w:r>
    </w:p>
  </w:footnote>
  <w:footnote w:id="2">
    <w:p w14:paraId="3BF88213" w14:textId="26482818" w:rsidR="00FE53EF" w:rsidRPr="00FE53EF" w:rsidRDefault="00FE53EF">
      <w:pPr>
        <w:pStyle w:val="Textonotapie"/>
      </w:pPr>
      <w:r>
        <w:rPr>
          <w:rStyle w:val="Refdenotaalpie"/>
        </w:rPr>
        <w:footnoteRef/>
      </w:r>
      <w:r>
        <w:t xml:space="preserve"> </w:t>
      </w:r>
      <w:r w:rsidRPr="00D115A0">
        <w:rPr>
          <w:rFonts w:asciiTheme="minorHAnsi" w:hAnsiTheme="minorHAnsi" w:cstheme="minorHAnsi"/>
          <w:i/>
          <w:sz w:val="18"/>
          <w:szCs w:val="18"/>
        </w:rPr>
        <w:t>El período de evaluación comprende los diez últimos días hábiles en los que se publican las cotizaciones internacionales de petróleo crudo y combustibles.</w:t>
      </w:r>
    </w:p>
  </w:footnote>
  <w:footnote w:id="3">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4">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Energy Information Administration)</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7B123DA5" w14:textId="77777777" w:rsidTr="00957F6B">
      <w:trPr>
        <w:trHeight w:val="1275"/>
      </w:trPr>
      <w:tc>
        <w:tcPr>
          <w:tcW w:w="4679" w:type="dxa"/>
          <w:vAlign w:val="center"/>
        </w:tcPr>
        <w:p w14:paraId="3392DBCD"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05D3CC72" wp14:editId="2956DB4D">
                <wp:extent cx="1955165" cy="362585"/>
                <wp:effectExtent l="0" t="0" r="6985"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4070DE8"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3DAD4D3B"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C78A301" w14:textId="64E805F1" w:rsidR="00352B3A" w:rsidRPr="00352B3A" w:rsidRDefault="00352B3A" w:rsidP="00E812D9">
          <w:pPr>
            <w:jc w:val="center"/>
            <w:rPr>
              <w:rFonts w:ascii="Calibri" w:hAnsi="Calibri" w:cs="Calibri"/>
              <w:sz w:val="26"/>
              <w:szCs w:val="26"/>
              <w:lang w:val="it-IT"/>
            </w:rPr>
          </w:pPr>
          <w:r w:rsidRPr="00352B3A">
            <w:rPr>
              <w:rFonts w:ascii="Calibri" w:hAnsi="Calibri" w:cs="Calibri"/>
              <w:b/>
              <w:sz w:val="26"/>
              <w:szCs w:val="26"/>
              <w:lang w:val="it-IT"/>
            </w:rPr>
            <w:t>Informe N° PR-</w:t>
          </w:r>
          <w:r w:rsidR="00974654">
            <w:rPr>
              <w:rFonts w:ascii="Calibri" w:hAnsi="Calibri" w:cs="Calibri"/>
              <w:b/>
              <w:sz w:val="26"/>
              <w:szCs w:val="26"/>
              <w:lang w:val="it-IT"/>
            </w:rPr>
            <w:t>2</w:t>
          </w:r>
          <w:r w:rsidR="00A10FAB">
            <w:rPr>
              <w:rFonts w:ascii="Calibri" w:hAnsi="Calibri" w:cs="Calibri"/>
              <w:b/>
              <w:sz w:val="26"/>
              <w:szCs w:val="26"/>
              <w:lang w:val="it-IT"/>
            </w:rPr>
            <w:t>3</w:t>
          </w:r>
          <w:r w:rsidRPr="00352B3A">
            <w:rPr>
              <w:rFonts w:ascii="Calibri" w:hAnsi="Calibri" w:cs="Calibri"/>
              <w:b/>
              <w:sz w:val="26"/>
              <w:szCs w:val="26"/>
              <w:lang w:val="it-IT"/>
            </w:rPr>
            <w:t>-202</w:t>
          </w:r>
          <w:r w:rsidR="00071B58">
            <w:rPr>
              <w:rFonts w:ascii="Calibri" w:hAnsi="Calibri" w:cs="Calibri"/>
              <w:b/>
              <w:sz w:val="26"/>
              <w:szCs w:val="26"/>
              <w:lang w:val="it-IT"/>
            </w:rPr>
            <w:t>4</w:t>
          </w:r>
          <w:r w:rsidRPr="00352B3A">
            <w:rPr>
              <w:rFonts w:ascii="Calibri" w:hAnsi="Calibri" w:cs="Calibri"/>
              <w:b/>
              <w:sz w:val="26"/>
              <w:szCs w:val="26"/>
              <w:lang w:val="it-IT"/>
            </w:rPr>
            <w:t>-DGN/GRT</w:t>
          </w:r>
        </w:p>
      </w:tc>
    </w:tr>
  </w:tbl>
  <w:p w14:paraId="5441F31C" w14:textId="732C610D" w:rsidR="00FF1622" w:rsidRPr="00352B3A" w:rsidRDefault="00FF1622" w:rsidP="00FF1622">
    <w:pPr>
      <w:pStyle w:val="Encabezado"/>
      <w:tabs>
        <w:tab w:val="clear" w:pos="8838"/>
        <w:tab w:val="right" w:pos="8646"/>
      </w:tabs>
      <w:ind w:left="-1418"/>
      <w:rPr>
        <w:lang w:val="it-IT"/>
      </w:rPr>
    </w:pPr>
    <w:r w:rsidRPr="00352B3A">
      <w:rPr>
        <w:noProof/>
        <w:lang w:val="it-IT" w:eastAsia="es-PE"/>
      </w:rPr>
      <w:t xml:space="preserve">                                    </w:t>
    </w:r>
    <w:r w:rsidR="005A0113" w:rsidRPr="00352B3A">
      <w:rPr>
        <w:noProof/>
        <w:lang w:val="it-IT" w:eastAsia="es-PE"/>
      </w:rPr>
      <w:t xml:space="preserve">                               </w:t>
    </w:r>
  </w:p>
  <w:bookmarkEnd w:id="1"/>
  <w:bookmarkEnd w:id="2"/>
  <w:p w14:paraId="1C9A32BF" w14:textId="4E046723" w:rsidR="004F74EE" w:rsidRPr="00376371" w:rsidRDefault="004F74EE" w:rsidP="00352553">
    <w:pPr>
      <w:tabs>
        <w:tab w:val="left" w:pos="2120"/>
        <w:tab w:val="right" w:pos="8364"/>
      </w:tabs>
      <w:ind w:right="283"/>
      <w:rPr>
        <w:lang w:val="x-none"/>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9"/>
      <w:gridCol w:w="4649"/>
    </w:tblGrid>
    <w:tr w:rsidR="00352B3A" w:rsidRPr="005714C0" w14:paraId="2D3EEF13" w14:textId="77777777" w:rsidTr="00352B3A">
      <w:trPr>
        <w:trHeight w:val="1275"/>
      </w:trPr>
      <w:tc>
        <w:tcPr>
          <w:tcW w:w="4679" w:type="dxa"/>
          <w:vAlign w:val="center"/>
        </w:tcPr>
        <w:p w14:paraId="542012AA" w14:textId="53FA8649"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45E0977B" wp14:editId="1E2A3330">
                <wp:extent cx="1955165" cy="362585"/>
                <wp:effectExtent l="0" t="0" r="6985" b="0"/>
                <wp:docPr id="23"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6D78DA73"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50614DAF"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649" w:type="dxa"/>
          <w:vAlign w:val="center"/>
        </w:tcPr>
        <w:p w14:paraId="3FEE1F98" w14:textId="48F98499" w:rsidR="00352B3A" w:rsidRPr="00352B3A" w:rsidRDefault="00C823A9" w:rsidP="00913D54">
          <w:pPr>
            <w:jc w:val="center"/>
            <w:rPr>
              <w:rFonts w:ascii="Calibri" w:hAnsi="Calibri" w:cs="Calibri"/>
              <w:sz w:val="26"/>
              <w:szCs w:val="26"/>
              <w:lang w:val="it-IT"/>
            </w:rPr>
          </w:pPr>
          <w:r>
            <w:rPr>
              <w:rFonts w:ascii="Calibri" w:hAnsi="Calibri" w:cs="Calibri"/>
              <w:b/>
              <w:sz w:val="26"/>
              <w:szCs w:val="26"/>
              <w:lang w:val="it-IT"/>
            </w:rPr>
            <w:t>Informe N° PR-</w:t>
          </w:r>
          <w:r w:rsidR="00974654">
            <w:rPr>
              <w:rFonts w:ascii="Calibri" w:hAnsi="Calibri" w:cs="Calibri"/>
              <w:b/>
              <w:sz w:val="26"/>
              <w:szCs w:val="26"/>
              <w:lang w:val="it-IT"/>
            </w:rPr>
            <w:t>2</w:t>
          </w:r>
          <w:r w:rsidR="00A10FAB">
            <w:rPr>
              <w:rFonts w:ascii="Calibri" w:hAnsi="Calibri" w:cs="Calibri"/>
              <w:b/>
              <w:sz w:val="26"/>
              <w:szCs w:val="26"/>
              <w:lang w:val="it-IT"/>
            </w:rPr>
            <w:t>3</w:t>
          </w:r>
          <w:r w:rsidR="00352B3A" w:rsidRPr="00352B3A">
            <w:rPr>
              <w:rFonts w:ascii="Calibri" w:hAnsi="Calibri" w:cs="Calibri"/>
              <w:b/>
              <w:sz w:val="26"/>
              <w:szCs w:val="26"/>
              <w:lang w:val="it-IT"/>
            </w:rPr>
            <w:t>-202</w:t>
          </w:r>
          <w:r w:rsidR="005C1470">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1BF2ED61" w14:textId="49B14A58" w:rsidR="00FD404B" w:rsidRPr="00352B3A" w:rsidRDefault="00580CBC" w:rsidP="005A0113">
    <w:pPr>
      <w:pStyle w:val="Encabezado"/>
      <w:tabs>
        <w:tab w:val="clear" w:pos="8838"/>
        <w:tab w:val="right" w:pos="426"/>
      </w:tabs>
      <w:ind w:left="-1276"/>
      <w:rPr>
        <w:lang w:val="it-IT"/>
      </w:rPr>
    </w:pPr>
    <w:r>
      <w:rPr>
        <w:noProof/>
        <w:lang w:val="en-US" w:eastAsia="en-US"/>
      </w:rPr>
      <w:t xml:space="preserve">                                                            </w:t>
    </w:r>
  </w:p>
  <w:p w14:paraId="51896AD8" w14:textId="77777777" w:rsidR="00CF6BA7" w:rsidRPr="00352B3A" w:rsidRDefault="00CF6BA7" w:rsidP="00FD404B">
    <w:pPr>
      <w:tabs>
        <w:tab w:val="center" w:pos="4320"/>
        <w:tab w:val="right" w:pos="8498"/>
      </w:tabs>
      <w:ind w:right="283"/>
      <w:jc w:val="right"/>
      <w:rPr>
        <w:lang w:val="it-IT"/>
      </w:rPr>
    </w:pPr>
    <w:r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D0D3C1" w14:textId="77777777"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6450"/>
      <w:gridCol w:w="6308"/>
    </w:tblGrid>
    <w:tr w:rsidR="00352B3A" w:rsidRPr="005714C0" w14:paraId="331BBDAF" w14:textId="77777777" w:rsidTr="00352B3A">
      <w:trPr>
        <w:trHeight w:val="1100"/>
      </w:trPr>
      <w:tc>
        <w:tcPr>
          <w:tcW w:w="6450" w:type="dxa"/>
          <w:vAlign w:val="center"/>
        </w:tcPr>
        <w:p w14:paraId="0558507C" w14:textId="77777777" w:rsidR="00352B3A" w:rsidRPr="00352B3A" w:rsidRDefault="00352B3A" w:rsidP="00352B3A">
          <w:pPr>
            <w:pStyle w:val="Prrafodelista"/>
            <w:ind w:left="39"/>
            <w:jc w:val="center"/>
            <w:rPr>
              <w:rFonts w:ascii="Calibri" w:hAnsi="Calibri" w:cs="Calibri"/>
            </w:rPr>
          </w:pPr>
          <w:r w:rsidRPr="00352B3A">
            <w:rPr>
              <w:rFonts w:ascii="Calibri" w:hAnsi="Calibri" w:cs="Calibri"/>
              <w:noProof/>
              <w:lang w:val="es-PE" w:eastAsia="es-PE"/>
            </w:rPr>
            <w:drawing>
              <wp:inline distT="0" distB="0" distL="0" distR="0" wp14:anchorId="368BBAA5" wp14:editId="29840EB4">
                <wp:extent cx="1955165" cy="362585"/>
                <wp:effectExtent l="0" t="0" r="6985" b="0"/>
                <wp:docPr id="26"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28144F75" w14:textId="77777777" w:rsidR="00352B3A" w:rsidRPr="00352B3A" w:rsidRDefault="00352B3A" w:rsidP="00352B3A">
          <w:pPr>
            <w:ind w:left="39"/>
            <w:jc w:val="center"/>
            <w:rPr>
              <w:rFonts w:ascii="Calibri" w:hAnsi="Calibri" w:cs="Calibri"/>
              <w:b/>
              <w:sz w:val="18"/>
            </w:rPr>
          </w:pPr>
          <w:r w:rsidRPr="00352B3A">
            <w:rPr>
              <w:rFonts w:ascii="Calibri" w:hAnsi="Calibri" w:cs="Calibri"/>
              <w:b/>
              <w:sz w:val="18"/>
            </w:rPr>
            <w:t>Gerencia de Regulación de Tarifas</w:t>
          </w:r>
        </w:p>
        <w:p w14:paraId="2E390E00" w14:textId="77777777" w:rsidR="00352B3A" w:rsidRPr="00352B3A" w:rsidRDefault="00352B3A" w:rsidP="00352B3A">
          <w:pPr>
            <w:ind w:left="39"/>
            <w:jc w:val="center"/>
            <w:rPr>
              <w:rFonts w:ascii="Calibri" w:hAnsi="Calibri" w:cs="Calibri"/>
              <w:sz w:val="22"/>
            </w:rPr>
          </w:pPr>
          <w:r w:rsidRPr="00352B3A">
            <w:rPr>
              <w:rFonts w:ascii="Calibri" w:hAnsi="Calibri" w:cs="Calibri"/>
              <w:b/>
              <w:sz w:val="18"/>
            </w:rPr>
            <w:t>División de Gas Natural</w:t>
          </w:r>
        </w:p>
      </w:tc>
      <w:tc>
        <w:tcPr>
          <w:tcW w:w="6308" w:type="dxa"/>
          <w:vAlign w:val="center"/>
        </w:tcPr>
        <w:p w14:paraId="5DDAEF50" w14:textId="3DB2E93F" w:rsidR="00352B3A" w:rsidRPr="00352B3A" w:rsidRDefault="00C823A9" w:rsidP="00E812D9">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A918E9">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4A48B273" w14:textId="77777777" w:rsidR="00352B3A" w:rsidRPr="00352B3A" w:rsidRDefault="00352B3A" w:rsidP="005A0113">
    <w:pPr>
      <w:pStyle w:val="Encabezado"/>
      <w:tabs>
        <w:tab w:val="clear" w:pos="8838"/>
        <w:tab w:val="right" w:pos="426"/>
      </w:tabs>
      <w:ind w:left="-1276"/>
      <w:rPr>
        <w:lang w:val="it-IT"/>
      </w:rPr>
    </w:pPr>
    <w:r>
      <w:rPr>
        <w:noProof/>
        <w:lang w:val="en-US" w:eastAsia="en-US"/>
      </w:rPr>
      <w:t xml:space="preserve">                                                            </w:t>
    </w:r>
  </w:p>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62"/>
      <w:gridCol w:w="4962"/>
    </w:tblGrid>
    <w:tr w:rsidR="00352B3A" w:rsidRPr="005714C0" w14:paraId="26F4E8F4" w14:textId="77777777" w:rsidTr="00AF5121">
      <w:trPr>
        <w:trHeight w:val="1275"/>
      </w:trPr>
      <w:tc>
        <w:tcPr>
          <w:tcW w:w="4962" w:type="dxa"/>
          <w:vAlign w:val="center"/>
        </w:tcPr>
        <w:p w14:paraId="468BBADA" w14:textId="77777777" w:rsidR="00352B3A" w:rsidRPr="00352B3A" w:rsidRDefault="00352B3A" w:rsidP="00352B3A">
          <w:pPr>
            <w:pStyle w:val="Prrafodelista"/>
            <w:rPr>
              <w:rFonts w:ascii="Calibri" w:hAnsi="Calibri" w:cs="Calibri"/>
            </w:rPr>
          </w:pPr>
          <w:r w:rsidRPr="00352B3A">
            <w:rPr>
              <w:rFonts w:ascii="Calibri" w:hAnsi="Calibri" w:cs="Calibri"/>
              <w:noProof/>
              <w:lang w:val="es-PE" w:eastAsia="es-PE"/>
            </w:rPr>
            <w:drawing>
              <wp:inline distT="0" distB="0" distL="0" distR="0" wp14:anchorId="1C999AA8" wp14:editId="4BCED37B">
                <wp:extent cx="1955165" cy="362585"/>
                <wp:effectExtent l="0" t="0" r="6985"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955165" cy="362585"/>
                        </a:xfrm>
                        <a:prstGeom prst="rect">
                          <a:avLst/>
                        </a:prstGeom>
                        <a:noFill/>
                        <a:ln>
                          <a:noFill/>
                        </a:ln>
                      </pic:spPr>
                    </pic:pic>
                  </a:graphicData>
                </a:graphic>
              </wp:inline>
            </w:drawing>
          </w:r>
        </w:p>
        <w:p w14:paraId="798C0619" w14:textId="77777777" w:rsidR="00352B3A" w:rsidRPr="00352B3A" w:rsidRDefault="00352B3A" w:rsidP="00352B3A">
          <w:pPr>
            <w:jc w:val="center"/>
            <w:rPr>
              <w:rFonts w:ascii="Calibri" w:hAnsi="Calibri" w:cs="Calibri"/>
              <w:b/>
              <w:sz w:val="18"/>
            </w:rPr>
          </w:pPr>
          <w:r w:rsidRPr="00352B3A">
            <w:rPr>
              <w:rFonts w:ascii="Calibri" w:hAnsi="Calibri" w:cs="Calibri"/>
              <w:b/>
              <w:sz w:val="18"/>
            </w:rPr>
            <w:t>Gerencia de Regulación de Tarifas</w:t>
          </w:r>
        </w:p>
        <w:p w14:paraId="0BD2E32C" w14:textId="77777777" w:rsidR="00352B3A" w:rsidRPr="00352B3A" w:rsidRDefault="00352B3A" w:rsidP="00352B3A">
          <w:pPr>
            <w:jc w:val="center"/>
            <w:rPr>
              <w:rFonts w:ascii="Calibri" w:hAnsi="Calibri" w:cs="Calibri"/>
              <w:sz w:val="22"/>
            </w:rPr>
          </w:pPr>
          <w:r w:rsidRPr="00352B3A">
            <w:rPr>
              <w:rFonts w:ascii="Calibri" w:hAnsi="Calibri" w:cs="Calibri"/>
              <w:b/>
              <w:sz w:val="18"/>
            </w:rPr>
            <w:t>División de Gas Natural</w:t>
          </w:r>
        </w:p>
      </w:tc>
      <w:tc>
        <w:tcPr>
          <w:tcW w:w="4962" w:type="dxa"/>
          <w:vAlign w:val="center"/>
        </w:tcPr>
        <w:p w14:paraId="3461CCA7" w14:textId="20D3A88F" w:rsidR="00352B3A" w:rsidRPr="00352B3A" w:rsidRDefault="00670C8F" w:rsidP="000F6575">
          <w:pPr>
            <w:jc w:val="center"/>
            <w:rPr>
              <w:rFonts w:ascii="Calibri" w:hAnsi="Calibri" w:cs="Calibri"/>
              <w:sz w:val="26"/>
              <w:szCs w:val="26"/>
              <w:lang w:val="it-IT"/>
            </w:rPr>
          </w:pPr>
          <w:r>
            <w:rPr>
              <w:rFonts w:ascii="Calibri" w:hAnsi="Calibri" w:cs="Calibri"/>
              <w:b/>
              <w:sz w:val="26"/>
              <w:szCs w:val="26"/>
              <w:lang w:val="it-IT"/>
            </w:rPr>
            <w:t>Informe N° PR-</w:t>
          </w:r>
          <w:r w:rsidR="006845CF">
            <w:rPr>
              <w:rFonts w:ascii="Calibri" w:hAnsi="Calibri" w:cs="Calibri"/>
              <w:b/>
              <w:sz w:val="26"/>
              <w:szCs w:val="26"/>
              <w:lang w:val="it-IT"/>
            </w:rPr>
            <w:t>2</w:t>
          </w:r>
          <w:r w:rsidR="00A918E9">
            <w:rPr>
              <w:rFonts w:ascii="Calibri" w:hAnsi="Calibri" w:cs="Calibri"/>
              <w:b/>
              <w:sz w:val="26"/>
              <w:szCs w:val="26"/>
              <w:lang w:val="it-IT"/>
            </w:rPr>
            <w:t>3</w:t>
          </w:r>
          <w:r w:rsidR="00352B3A" w:rsidRPr="00352B3A">
            <w:rPr>
              <w:rFonts w:ascii="Calibri" w:hAnsi="Calibri" w:cs="Calibri"/>
              <w:b/>
              <w:sz w:val="26"/>
              <w:szCs w:val="26"/>
              <w:lang w:val="it-IT"/>
            </w:rPr>
            <w:t>-202</w:t>
          </w:r>
          <w:r w:rsidR="00071B58">
            <w:rPr>
              <w:rFonts w:ascii="Calibri" w:hAnsi="Calibri" w:cs="Calibri"/>
              <w:b/>
              <w:sz w:val="26"/>
              <w:szCs w:val="26"/>
              <w:lang w:val="it-IT"/>
            </w:rPr>
            <w:t>4</w:t>
          </w:r>
          <w:r w:rsidR="00352B3A" w:rsidRPr="00352B3A">
            <w:rPr>
              <w:rFonts w:ascii="Calibri" w:hAnsi="Calibri" w:cs="Calibri"/>
              <w:b/>
              <w:sz w:val="26"/>
              <w:szCs w:val="26"/>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885B89"/>
    <w:multiLevelType w:val="multilevel"/>
    <w:tmpl w:val="D1122F86"/>
    <w:lvl w:ilvl="0">
      <w:start w:val="1"/>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5"/>
  </w:num>
  <w:num w:numId="2">
    <w:abstractNumId w:val="14"/>
  </w:num>
  <w:num w:numId="3">
    <w:abstractNumId w:val="15"/>
  </w:num>
  <w:num w:numId="4">
    <w:abstractNumId w:val="0"/>
  </w:num>
  <w:num w:numId="5">
    <w:abstractNumId w:val="17"/>
  </w:num>
  <w:num w:numId="6">
    <w:abstractNumId w:val="21"/>
  </w:num>
  <w:num w:numId="7">
    <w:abstractNumId w:val="20"/>
  </w:num>
  <w:num w:numId="8">
    <w:abstractNumId w:val="13"/>
  </w:num>
  <w:num w:numId="9">
    <w:abstractNumId w:val="18"/>
  </w:num>
  <w:num w:numId="10">
    <w:abstractNumId w:val="7"/>
  </w:num>
  <w:num w:numId="11">
    <w:abstractNumId w:val="16"/>
  </w:num>
  <w:num w:numId="12">
    <w:abstractNumId w:val="6"/>
  </w:num>
  <w:num w:numId="13">
    <w:abstractNumId w:val="4"/>
  </w:num>
  <w:num w:numId="14">
    <w:abstractNumId w:val="8"/>
  </w:num>
  <w:num w:numId="15">
    <w:abstractNumId w:val="12"/>
  </w:num>
  <w:num w:numId="16">
    <w:abstractNumId w:val="23"/>
  </w:num>
  <w:num w:numId="17">
    <w:abstractNumId w:val="24"/>
  </w:num>
  <w:num w:numId="18">
    <w:abstractNumId w:val="9"/>
  </w:num>
  <w:num w:numId="19">
    <w:abstractNumId w:val="3"/>
  </w:num>
  <w:num w:numId="20">
    <w:abstractNumId w:val="4"/>
  </w:num>
  <w:num w:numId="21">
    <w:abstractNumId w:val="23"/>
  </w:num>
  <w:num w:numId="22">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9"/>
  </w:num>
  <w:num w:numId="26">
    <w:abstractNumId w:val="22"/>
  </w:num>
  <w:num w:numId="27">
    <w:abstractNumId w:val="10"/>
  </w:num>
  <w:num w:numId="28">
    <w:abstractNumId w:val="1"/>
  </w:num>
  <w:num w:numId="29">
    <w:abstractNumId w:val="2"/>
  </w:num>
  <w:num w:numId="30">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8DD"/>
    <w:rsid w:val="000008DF"/>
    <w:rsid w:val="00000B4A"/>
    <w:rsid w:val="00000C79"/>
    <w:rsid w:val="00000CF9"/>
    <w:rsid w:val="00000E5C"/>
    <w:rsid w:val="00000EE8"/>
    <w:rsid w:val="00000F98"/>
    <w:rsid w:val="000010EC"/>
    <w:rsid w:val="0000129D"/>
    <w:rsid w:val="000012F2"/>
    <w:rsid w:val="00001728"/>
    <w:rsid w:val="0000174F"/>
    <w:rsid w:val="0000186E"/>
    <w:rsid w:val="0000189B"/>
    <w:rsid w:val="00001CF7"/>
    <w:rsid w:val="000025D0"/>
    <w:rsid w:val="00002683"/>
    <w:rsid w:val="000027ED"/>
    <w:rsid w:val="0000282A"/>
    <w:rsid w:val="000028DC"/>
    <w:rsid w:val="000031C2"/>
    <w:rsid w:val="000032A8"/>
    <w:rsid w:val="00003376"/>
    <w:rsid w:val="000033C5"/>
    <w:rsid w:val="000036D9"/>
    <w:rsid w:val="00003D98"/>
    <w:rsid w:val="00003E70"/>
    <w:rsid w:val="0000468F"/>
    <w:rsid w:val="00004F72"/>
    <w:rsid w:val="000054D1"/>
    <w:rsid w:val="00005628"/>
    <w:rsid w:val="0000584F"/>
    <w:rsid w:val="00005A8F"/>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55E"/>
    <w:rsid w:val="0001056E"/>
    <w:rsid w:val="0001061F"/>
    <w:rsid w:val="000107D2"/>
    <w:rsid w:val="00010ED1"/>
    <w:rsid w:val="00010FBC"/>
    <w:rsid w:val="00011040"/>
    <w:rsid w:val="00011253"/>
    <w:rsid w:val="000112CB"/>
    <w:rsid w:val="00011549"/>
    <w:rsid w:val="000115BA"/>
    <w:rsid w:val="000119DA"/>
    <w:rsid w:val="00011A42"/>
    <w:rsid w:val="00011E7C"/>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FEB"/>
    <w:rsid w:val="00016055"/>
    <w:rsid w:val="00016193"/>
    <w:rsid w:val="0001621D"/>
    <w:rsid w:val="00016406"/>
    <w:rsid w:val="000164FF"/>
    <w:rsid w:val="00016784"/>
    <w:rsid w:val="00016D62"/>
    <w:rsid w:val="00016EBD"/>
    <w:rsid w:val="00017261"/>
    <w:rsid w:val="000173C1"/>
    <w:rsid w:val="000174D1"/>
    <w:rsid w:val="000174F0"/>
    <w:rsid w:val="000176AE"/>
    <w:rsid w:val="000177E2"/>
    <w:rsid w:val="000177FD"/>
    <w:rsid w:val="00017859"/>
    <w:rsid w:val="00017CB4"/>
    <w:rsid w:val="000201D2"/>
    <w:rsid w:val="00020397"/>
    <w:rsid w:val="00020781"/>
    <w:rsid w:val="000208E8"/>
    <w:rsid w:val="00020F6C"/>
    <w:rsid w:val="000210AE"/>
    <w:rsid w:val="00021226"/>
    <w:rsid w:val="0002125E"/>
    <w:rsid w:val="000214D4"/>
    <w:rsid w:val="00021630"/>
    <w:rsid w:val="000216E2"/>
    <w:rsid w:val="0002183F"/>
    <w:rsid w:val="0002184C"/>
    <w:rsid w:val="0002187D"/>
    <w:rsid w:val="00021AFD"/>
    <w:rsid w:val="00021F26"/>
    <w:rsid w:val="00021FCF"/>
    <w:rsid w:val="000221C8"/>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DBD"/>
    <w:rsid w:val="00026F31"/>
    <w:rsid w:val="0002700A"/>
    <w:rsid w:val="00027029"/>
    <w:rsid w:val="000272AA"/>
    <w:rsid w:val="00027343"/>
    <w:rsid w:val="000273C9"/>
    <w:rsid w:val="0002740B"/>
    <w:rsid w:val="00027489"/>
    <w:rsid w:val="0002762D"/>
    <w:rsid w:val="00027AEB"/>
    <w:rsid w:val="00027D8A"/>
    <w:rsid w:val="00027EC3"/>
    <w:rsid w:val="00030305"/>
    <w:rsid w:val="0003055A"/>
    <w:rsid w:val="0003063A"/>
    <w:rsid w:val="000308CB"/>
    <w:rsid w:val="00030AB4"/>
    <w:rsid w:val="00030C6A"/>
    <w:rsid w:val="00030CC3"/>
    <w:rsid w:val="00030E5E"/>
    <w:rsid w:val="000310D3"/>
    <w:rsid w:val="00031285"/>
    <w:rsid w:val="00031299"/>
    <w:rsid w:val="0003140D"/>
    <w:rsid w:val="000317AE"/>
    <w:rsid w:val="00031807"/>
    <w:rsid w:val="000319BA"/>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7056"/>
    <w:rsid w:val="00037082"/>
    <w:rsid w:val="00037421"/>
    <w:rsid w:val="00037587"/>
    <w:rsid w:val="000378C7"/>
    <w:rsid w:val="00037C81"/>
    <w:rsid w:val="00037D2E"/>
    <w:rsid w:val="00037E88"/>
    <w:rsid w:val="00037FFC"/>
    <w:rsid w:val="000403CD"/>
    <w:rsid w:val="0004043F"/>
    <w:rsid w:val="000404D6"/>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4BD"/>
    <w:rsid w:val="000435C8"/>
    <w:rsid w:val="00043688"/>
    <w:rsid w:val="0004375E"/>
    <w:rsid w:val="00043BAC"/>
    <w:rsid w:val="000445FB"/>
    <w:rsid w:val="000447BA"/>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EA4"/>
    <w:rsid w:val="0005213B"/>
    <w:rsid w:val="0005233A"/>
    <w:rsid w:val="00052508"/>
    <w:rsid w:val="0005252C"/>
    <w:rsid w:val="0005257A"/>
    <w:rsid w:val="00052786"/>
    <w:rsid w:val="00052862"/>
    <w:rsid w:val="0005297A"/>
    <w:rsid w:val="00052AD2"/>
    <w:rsid w:val="00052ECF"/>
    <w:rsid w:val="000532D4"/>
    <w:rsid w:val="00053389"/>
    <w:rsid w:val="00053752"/>
    <w:rsid w:val="000539EF"/>
    <w:rsid w:val="00053A27"/>
    <w:rsid w:val="00053E30"/>
    <w:rsid w:val="0005434D"/>
    <w:rsid w:val="00054374"/>
    <w:rsid w:val="0005461D"/>
    <w:rsid w:val="000546BF"/>
    <w:rsid w:val="0005472B"/>
    <w:rsid w:val="00054907"/>
    <w:rsid w:val="0005490B"/>
    <w:rsid w:val="00054A8D"/>
    <w:rsid w:val="00054D49"/>
    <w:rsid w:val="00054E83"/>
    <w:rsid w:val="00054ECB"/>
    <w:rsid w:val="00055581"/>
    <w:rsid w:val="00055C29"/>
    <w:rsid w:val="00055CF0"/>
    <w:rsid w:val="00055FE0"/>
    <w:rsid w:val="00056049"/>
    <w:rsid w:val="0005609C"/>
    <w:rsid w:val="000562BC"/>
    <w:rsid w:val="0005662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8F6"/>
    <w:rsid w:val="00070AE1"/>
    <w:rsid w:val="00070DAE"/>
    <w:rsid w:val="00070E49"/>
    <w:rsid w:val="00070E5E"/>
    <w:rsid w:val="000711BC"/>
    <w:rsid w:val="0007143F"/>
    <w:rsid w:val="00071634"/>
    <w:rsid w:val="00071815"/>
    <w:rsid w:val="00071B58"/>
    <w:rsid w:val="00071E25"/>
    <w:rsid w:val="00072076"/>
    <w:rsid w:val="000723F5"/>
    <w:rsid w:val="00072759"/>
    <w:rsid w:val="000727C3"/>
    <w:rsid w:val="000728B3"/>
    <w:rsid w:val="00072C0F"/>
    <w:rsid w:val="00072CAD"/>
    <w:rsid w:val="00072CEA"/>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26A"/>
    <w:rsid w:val="0007628C"/>
    <w:rsid w:val="00076293"/>
    <w:rsid w:val="0007633F"/>
    <w:rsid w:val="000763A1"/>
    <w:rsid w:val="00076442"/>
    <w:rsid w:val="00076544"/>
    <w:rsid w:val="00076608"/>
    <w:rsid w:val="00076C43"/>
    <w:rsid w:val="00076CC7"/>
    <w:rsid w:val="00077327"/>
    <w:rsid w:val="000773AB"/>
    <w:rsid w:val="00077405"/>
    <w:rsid w:val="00077884"/>
    <w:rsid w:val="000778BC"/>
    <w:rsid w:val="0007791C"/>
    <w:rsid w:val="00077B67"/>
    <w:rsid w:val="00077BCC"/>
    <w:rsid w:val="00077D40"/>
    <w:rsid w:val="00077DE2"/>
    <w:rsid w:val="000800F6"/>
    <w:rsid w:val="00080206"/>
    <w:rsid w:val="00080379"/>
    <w:rsid w:val="000803BA"/>
    <w:rsid w:val="00080548"/>
    <w:rsid w:val="00080866"/>
    <w:rsid w:val="00080BE8"/>
    <w:rsid w:val="00081031"/>
    <w:rsid w:val="00081A2B"/>
    <w:rsid w:val="00081AB4"/>
    <w:rsid w:val="00081DB0"/>
    <w:rsid w:val="00081FD1"/>
    <w:rsid w:val="00082194"/>
    <w:rsid w:val="00082434"/>
    <w:rsid w:val="0008277E"/>
    <w:rsid w:val="00082906"/>
    <w:rsid w:val="000829B0"/>
    <w:rsid w:val="00082DB3"/>
    <w:rsid w:val="00082F53"/>
    <w:rsid w:val="000832B4"/>
    <w:rsid w:val="00083539"/>
    <w:rsid w:val="00083719"/>
    <w:rsid w:val="00083838"/>
    <w:rsid w:val="00083AE9"/>
    <w:rsid w:val="00083B2A"/>
    <w:rsid w:val="00083B40"/>
    <w:rsid w:val="00083C07"/>
    <w:rsid w:val="00083D33"/>
    <w:rsid w:val="00083E6E"/>
    <w:rsid w:val="00083E7E"/>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BCB"/>
    <w:rsid w:val="00086C15"/>
    <w:rsid w:val="00086EDC"/>
    <w:rsid w:val="00086F65"/>
    <w:rsid w:val="000874E0"/>
    <w:rsid w:val="00087641"/>
    <w:rsid w:val="000876D0"/>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2BD"/>
    <w:rsid w:val="0009262D"/>
    <w:rsid w:val="00092667"/>
    <w:rsid w:val="00092962"/>
    <w:rsid w:val="00092AC3"/>
    <w:rsid w:val="00092B72"/>
    <w:rsid w:val="00092E03"/>
    <w:rsid w:val="00092E4C"/>
    <w:rsid w:val="00092FB7"/>
    <w:rsid w:val="000931DC"/>
    <w:rsid w:val="00093852"/>
    <w:rsid w:val="00093973"/>
    <w:rsid w:val="00093C66"/>
    <w:rsid w:val="00093E91"/>
    <w:rsid w:val="00094185"/>
    <w:rsid w:val="00094297"/>
    <w:rsid w:val="00094571"/>
    <w:rsid w:val="000947F3"/>
    <w:rsid w:val="000948D9"/>
    <w:rsid w:val="00094BAE"/>
    <w:rsid w:val="00094DE1"/>
    <w:rsid w:val="00095047"/>
    <w:rsid w:val="0009539C"/>
    <w:rsid w:val="00095449"/>
    <w:rsid w:val="000957FD"/>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344"/>
    <w:rsid w:val="000A251C"/>
    <w:rsid w:val="000A25CC"/>
    <w:rsid w:val="000A2701"/>
    <w:rsid w:val="000A2938"/>
    <w:rsid w:val="000A29B6"/>
    <w:rsid w:val="000A29CA"/>
    <w:rsid w:val="000A2B2C"/>
    <w:rsid w:val="000A3034"/>
    <w:rsid w:val="000A3569"/>
    <w:rsid w:val="000A373B"/>
    <w:rsid w:val="000A374E"/>
    <w:rsid w:val="000A38F1"/>
    <w:rsid w:val="000A3986"/>
    <w:rsid w:val="000A3CC3"/>
    <w:rsid w:val="000A3D61"/>
    <w:rsid w:val="000A422D"/>
    <w:rsid w:val="000A44F9"/>
    <w:rsid w:val="000A4592"/>
    <w:rsid w:val="000A4716"/>
    <w:rsid w:val="000A4729"/>
    <w:rsid w:val="000A4998"/>
    <w:rsid w:val="000A4B25"/>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77"/>
    <w:rsid w:val="000A6BC2"/>
    <w:rsid w:val="000A6D88"/>
    <w:rsid w:val="000A6EFF"/>
    <w:rsid w:val="000A6FE3"/>
    <w:rsid w:val="000A70FB"/>
    <w:rsid w:val="000A7563"/>
    <w:rsid w:val="000A7DD9"/>
    <w:rsid w:val="000B01EF"/>
    <w:rsid w:val="000B0352"/>
    <w:rsid w:val="000B040E"/>
    <w:rsid w:val="000B043C"/>
    <w:rsid w:val="000B05F3"/>
    <w:rsid w:val="000B08C8"/>
    <w:rsid w:val="000B0A50"/>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C0021"/>
    <w:rsid w:val="000C0094"/>
    <w:rsid w:val="000C0221"/>
    <w:rsid w:val="000C0382"/>
    <w:rsid w:val="000C060E"/>
    <w:rsid w:val="000C0BC0"/>
    <w:rsid w:val="000C0D80"/>
    <w:rsid w:val="000C0F8F"/>
    <w:rsid w:val="000C0FDA"/>
    <w:rsid w:val="000C108D"/>
    <w:rsid w:val="000C11F6"/>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E9"/>
    <w:rsid w:val="000C4B60"/>
    <w:rsid w:val="000C4D8C"/>
    <w:rsid w:val="000C4F51"/>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F04"/>
    <w:rsid w:val="000C6F95"/>
    <w:rsid w:val="000C6F9F"/>
    <w:rsid w:val="000C706C"/>
    <w:rsid w:val="000C70F7"/>
    <w:rsid w:val="000C7426"/>
    <w:rsid w:val="000C791F"/>
    <w:rsid w:val="000C7C48"/>
    <w:rsid w:val="000C7F97"/>
    <w:rsid w:val="000D0030"/>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30C"/>
    <w:rsid w:val="000D2355"/>
    <w:rsid w:val="000D23AE"/>
    <w:rsid w:val="000D272E"/>
    <w:rsid w:val="000D2EC5"/>
    <w:rsid w:val="000D2EDF"/>
    <w:rsid w:val="000D30D1"/>
    <w:rsid w:val="000D312C"/>
    <w:rsid w:val="000D34D0"/>
    <w:rsid w:val="000D3D7A"/>
    <w:rsid w:val="000D41FE"/>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21F4"/>
    <w:rsid w:val="000E2594"/>
    <w:rsid w:val="000E2B56"/>
    <w:rsid w:val="000E2C11"/>
    <w:rsid w:val="000E2C25"/>
    <w:rsid w:val="000E2CAB"/>
    <w:rsid w:val="000E2D3C"/>
    <w:rsid w:val="000E2DD7"/>
    <w:rsid w:val="000E2E1A"/>
    <w:rsid w:val="000E2FC3"/>
    <w:rsid w:val="000E3381"/>
    <w:rsid w:val="000E3392"/>
    <w:rsid w:val="000E3651"/>
    <w:rsid w:val="000E3978"/>
    <w:rsid w:val="000E39DB"/>
    <w:rsid w:val="000E3E91"/>
    <w:rsid w:val="000E3F1C"/>
    <w:rsid w:val="000E41FE"/>
    <w:rsid w:val="000E42E9"/>
    <w:rsid w:val="000E44A1"/>
    <w:rsid w:val="000E4EF9"/>
    <w:rsid w:val="000E502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D70"/>
    <w:rsid w:val="000F0077"/>
    <w:rsid w:val="000F0539"/>
    <w:rsid w:val="000F06DF"/>
    <w:rsid w:val="000F0798"/>
    <w:rsid w:val="000F0814"/>
    <w:rsid w:val="000F0868"/>
    <w:rsid w:val="000F099A"/>
    <w:rsid w:val="000F0B95"/>
    <w:rsid w:val="000F0DC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A51"/>
    <w:rsid w:val="000F5A7D"/>
    <w:rsid w:val="000F5BE0"/>
    <w:rsid w:val="000F5DB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9"/>
    <w:rsid w:val="001033D7"/>
    <w:rsid w:val="00103697"/>
    <w:rsid w:val="00103941"/>
    <w:rsid w:val="001039D4"/>
    <w:rsid w:val="00103C96"/>
    <w:rsid w:val="00103EB0"/>
    <w:rsid w:val="00103F71"/>
    <w:rsid w:val="00103FFC"/>
    <w:rsid w:val="0010400E"/>
    <w:rsid w:val="00104418"/>
    <w:rsid w:val="0010447F"/>
    <w:rsid w:val="001049DB"/>
    <w:rsid w:val="00105189"/>
    <w:rsid w:val="001051AF"/>
    <w:rsid w:val="0010530F"/>
    <w:rsid w:val="00105452"/>
    <w:rsid w:val="001055BE"/>
    <w:rsid w:val="001055C4"/>
    <w:rsid w:val="00105861"/>
    <w:rsid w:val="001058F4"/>
    <w:rsid w:val="00105AAD"/>
    <w:rsid w:val="00105BDE"/>
    <w:rsid w:val="001060D4"/>
    <w:rsid w:val="0010675D"/>
    <w:rsid w:val="00106A56"/>
    <w:rsid w:val="00106C3B"/>
    <w:rsid w:val="00106EA3"/>
    <w:rsid w:val="001070CF"/>
    <w:rsid w:val="001073D1"/>
    <w:rsid w:val="0010788C"/>
    <w:rsid w:val="0010792F"/>
    <w:rsid w:val="00107BA4"/>
    <w:rsid w:val="00107E57"/>
    <w:rsid w:val="0011008C"/>
    <w:rsid w:val="0011050C"/>
    <w:rsid w:val="00110598"/>
    <w:rsid w:val="00110634"/>
    <w:rsid w:val="00110839"/>
    <w:rsid w:val="00110917"/>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640"/>
    <w:rsid w:val="00113BC1"/>
    <w:rsid w:val="00113D20"/>
    <w:rsid w:val="00113E0F"/>
    <w:rsid w:val="001143C0"/>
    <w:rsid w:val="001143F7"/>
    <w:rsid w:val="001146E0"/>
    <w:rsid w:val="0011480D"/>
    <w:rsid w:val="00114A20"/>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BF9"/>
    <w:rsid w:val="00121D44"/>
    <w:rsid w:val="00122122"/>
    <w:rsid w:val="001222DA"/>
    <w:rsid w:val="001229C7"/>
    <w:rsid w:val="00122A9D"/>
    <w:rsid w:val="00122BE4"/>
    <w:rsid w:val="00122D4A"/>
    <w:rsid w:val="00122F66"/>
    <w:rsid w:val="00123028"/>
    <w:rsid w:val="00123047"/>
    <w:rsid w:val="00123090"/>
    <w:rsid w:val="00123246"/>
    <w:rsid w:val="0012337F"/>
    <w:rsid w:val="001235C5"/>
    <w:rsid w:val="00123711"/>
    <w:rsid w:val="00123902"/>
    <w:rsid w:val="00123A3F"/>
    <w:rsid w:val="00123A59"/>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8E"/>
    <w:rsid w:val="001304E6"/>
    <w:rsid w:val="0013057D"/>
    <w:rsid w:val="00130596"/>
    <w:rsid w:val="00130605"/>
    <w:rsid w:val="0013092C"/>
    <w:rsid w:val="0013093E"/>
    <w:rsid w:val="00130AB4"/>
    <w:rsid w:val="00130C30"/>
    <w:rsid w:val="00130F4D"/>
    <w:rsid w:val="00130FAD"/>
    <w:rsid w:val="001312A8"/>
    <w:rsid w:val="00131900"/>
    <w:rsid w:val="00131954"/>
    <w:rsid w:val="001319A3"/>
    <w:rsid w:val="00131A02"/>
    <w:rsid w:val="00131C46"/>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335"/>
    <w:rsid w:val="00141515"/>
    <w:rsid w:val="00141516"/>
    <w:rsid w:val="00141522"/>
    <w:rsid w:val="00141AF2"/>
    <w:rsid w:val="00141CF4"/>
    <w:rsid w:val="00141F12"/>
    <w:rsid w:val="001424E2"/>
    <w:rsid w:val="00142693"/>
    <w:rsid w:val="0014288C"/>
    <w:rsid w:val="00142E20"/>
    <w:rsid w:val="001433A5"/>
    <w:rsid w:val="001435A6"/>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71E"/>
    <w:rsid w:val="001457B2"/>
    <w:rsid w:val="0014588D"/>
    <w:rsid w:val="00145BB2"/>
    <w:rsid w:val="00145EE3"/>
    <w:rsid w:val="00146046"/>
    <w:rsid w:val="00146047"/>
    <w:rsid w:val="00146319"/>
    <w:rsid w:val="00146604"/>
    <w:rsid w:val="0014688C"/>
    <w:rsid w:val="00146BBB"/>
    <w:rsid w:val="00146C19"/>
    <w:rsid w:val="001470B8"/>
    <w:rsid w:val="00147162"/>
    <w:rsid w:val="0014737A"/>
    <w:rsid w:val="001474E5"/>
    <w:rsid w:val="0014796A"/>
    <w:rsid w:val="00147A0F"/>
    <w:rsid w:val="00150074"/>
    <w:rsid w:val="00150371"/>
    <w:rsid w:val="00150576"/>
    <w:rsid w:val="001506B7"/>
    <w:rsid w:val="00150BEB"/>
    <w:rsid w:val="00150F08"/>
    <w:rsid w:val="00151082"/>
    <w:rsid w:val="001510C2"/>
    <w:rsid w:val="0015115F"/>
    <w:rsid w:val="0015130F"/>
    <w:rsid w:val="001517B7"/>
    <w:rsid w:val="00151A44"/>
    <w:rsid w:val="00151BF3"/>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7A"/>
    <w:rsid w:val="00156B0F"/>
    <w:rsid w:val="00156B69"/>
    <w:rsid w:val="00156BA9"/>
    <w:rsid w:val="00156F3E"/>
    <w:rsid w:val="00157016"/>
    <w:rsid w:val="001571D2"/>
    <w:rsid w:val="00157361"/>
    <w:rsid w:val="00157533"/>
    <w:rsid w:val="0015759A"/>
    <w:rsid w:val="001577F9"/>
    <w:rsid w:val="00157927"/>
    <w:rsid w:val="00157B85"/>
    <w:rsid w:val="00157D54"/>
    <w:rsid w:val="00157DF9"/>
    <w:rsid w:val="001600B1"/>
    <w:rsid w:val="00160295"/>
    <w:rsid w:val="00160430"/>
    <w:rsid w:val="00160437"/>
    <w:rsid w:val="001605B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9CA"/>
    <w:rsid w:val="00164C5F"/>
    <w:rsid w:val="00164F8A"/>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3B1"/>
    <w:rsid w:val="00170580"/>
    <w:rsid w:val="001705B8"/>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F3"/>
    <w:rsid w:val="001731A1"/>
    <w:rsid w:val="0017325B"/>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41B4"/>
    <w:rsid w:val="001943C7"/>
    <w:rsid w:val="00194404"/>
    <w:rsid w:val="00194BA1"/>
    <w:rsid w:val="00194BEB"/>
    <w:rsid w:val="00194DBD"/>
    <w:rsid w:val="00194E69"/>
    <w:rsid w:val="00194F98"/>
    <w:rsid w:val="001951F8"/>
    <w:rsid w:val="001952A5"/>
    <w:rsid w:val="001955BB"/>
    <w:rsid w:val="0019578B"/>
    <w:rsid w:val="00195AE7"/>
    <w:rsid w:val="00195B0E"/>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C53"/>
    <w:rsid w:val="001A4D56"/>
    <w:rsid w:val="001A4F99"/>
    <w:rsid w:val="001A51D9"/>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A16"/>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316B"/>
    <w:rsid w:val="001C36F0"/>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5B5"/>
    <w:rsid w:val="001C7920"/>
    <w:rsid w:val="001C79A3"/>
    <w:rsid w:val="001C7B61"/>
    <w:rsid w:val="001C7BE3"/>
    <w:rsid w:val="001C7D98"/>
    <w:rsid w:val="001D0176"/>
    <w:rsid w:val="001D0771"/>
    <w:rsid w:val="001D09EB"/>
    <w:rsid w:val="001D0FE1"/>
    <w:rsid w:val="001D1159"/>
    <w:rsid w:val="001D115C"/>
    <w:rsid w:val="001D1248"/>
    <w:rsid w:val="001D1637"/>
    <w:rsid w:val="001D1826"/>
    <w:rsid w:val="001D189A"/>
    <w:rsid w:val="001D1BF0"/>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179"/>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ACD"/>
    <w:rsid w:val="001E6B2E"/>
    <w:rsid w:val="001E6B3D"/>
    <w:rsid w:val="001E6D76"/>
    <w:rsid w:val="001E7329"/>
    <w:rsid w:val="001E78FA"/>
    <w:rsid w:val="001E7EC2"/>
    <w:rsid w:val="001F00C2"/>
    <w:rsid w:val="001F0618"/>
    <w:rsid w:val="001F08AA"/>
    <w:rsid w:val="001F0AB4"/>
    <w:rsid w:val="001F0C52"/>
    <w:rsid w:val="001F1291"/>
    <w:rsid w:val="001F1607"/>
    <w:rsid w:val="001F16BF"/>
    <w:rsid w:val="001F1BB7"/>
    <w:rsid w:val="001F1C70"/>
    <w:rsid w:val="001F1FA5"/>
    <w:rsid w:val="001F22B0"/>
    <w:rsid w:val="001F25EA"/>
    <w:rsid w:val="001F2602"/>
    <w:rsid w:val="001F2730"/>
    <w:rsid w:val="001F2AEA"/>
    <w:rsid w:val="001F2B2C"/>
    <w:rsid w:val="001F2B99"/>
    <w:rsid w:val="001F2BFB"/>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D8"/>
    <w:rsid w:val="0020380C"/>
    <w:rsid w:val="002038A9"/>
    <w:rsid w:val="00203D19"/>
    <w:rsid w:val="00203E12"/>
    <w:rsid w:val="00204014"/>
    <w:rsid w:val="0020425C"/>
    <w:rsid w:val="0020483C"/>
    <w:rsid w:val="002049F9"/>
    <w:rsid w:val="00204A79"/>
    <w:rsid w:val="00204C7E"/>
    <w:rsid w:val="00204DE3"/>
    <w:rsid w:val="00204EDF"/>
    <w:rsid w:val="00204FAC"/>
    <w:rsid w:val="00205011"/>
    <w:rsid w:val="002051AD"/>
    <w:rsid w:val="002058B0"/>
    <w:rsid w:val="00205916"/>
    <w:rsid w:val="00205B75"/>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769"/>
    <w:rsid w:val="002117E2"/>
    <w:rsid w:val="00211822"/>
    <w:rsid w:val="002118D6"/>
    <w:rsid w:val="00211A25"/>
    <w:rsid w:val="00211B87"/>
    <w:rsid w:val="00211EA9"/>
    <w:rsid w:val="002122A7"/>
    <w:rsid w:val="0021290C"/>
    <w:rsid w:val="00212B64"/>
    <w:rsid w:val="00212C4B"/>
    <w:rsid w:val="00213640"/>
    <w:rsid w:val="0021388A"/>
    <w:rsid w:val="002142C2"/>
    <w:rsid w:val="002147A1"/>
    <w:rsid w:val="00214B99"/>
    <w:rsid w:val="00214BFB"/>
    <w:rsid w:val="00214DF8"/>
    <w:rsid w:val="00214E6F"/>
    <w:rsid w:val="002151D9"/>
    <w:rsid w:val="002154AD"/>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A03"/>
    <w:rsid w:val="00221CD1"/>
    <w:rsid w:val="00221E46"/>
    <w:rsid w:val="00222142"/>
    <w:rsid w:val="00222149"/>
    <w:rsid w:val="00222384"/>
    <w:rsid w:val="002224B6"/>
    <w:rsid w:val="002225FA"/>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50F0"/>
    <w:rsid w:val="0023526B"/>
    <w:rsid w:val="0023552E"/>
    <w:rsid w:val="00235651"/>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9E5"/>
    <w:rsid w:val="00247EF8"/>
    <w:rsid w:val="00250093"/>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F1A"/>
    <w:rsid w:val="00262409"/>
    <w:rsid w:val="002624A2"/>
    <w:rsid w:val="002626C3"/>
    <w:rsid w:val="00262897"/>
    <w:rsid w:val="0026289C"/>
    <w:rsid w:val="00262E39"/>
    <w:rsid w:val="00262E50"/>
    <w:rsid w:val="00262F39"/>
    <w:rsid w:val="002636DA"/>
    <w:rsid w:val="00263B5D"/>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C8"/>
    <w:rsid w:val="00265C17"/>
    <w:rsid w:val="00265CCF"/>
    <w:rsid w:val="00265D45"/>
    <w:rsid w:val="0026609B"/>
    <w:rsid w:val="002661AF"/>
    <w:rsid w:val="0026627F"/>
    <w:rsid w:val="002662D8"/>
    <w:rsid w:val="00266801"/>
    <w:rsid w:val="002669A2"/>
    <w:rsid w:val="002669AD"/>
    <w:rsid w:val="00266D30"/>
    <w:rsid w:val="00267540"/>
    <w:rsid w:val="002675F1"/>
    <w:rsid w:val="00267685"/>
    <w:rsid w:val="00267989"/>
    <w:rsid w:val="00267B36"/>
    <w:rsid w:val="00267C2E"/>
    <w:rsid w:val="00267DA4"/>
    <w:rsid w:val="00267EFF"/>
    <w:rsid w:val="00270608"/>
    <w:rsid w:val="0027062B"/>
    <w:rsid w:val="00270637"/>
    <w:rsid w:val="002709A1"/>
    <w:rsid w:val="00270A73"/>
    <w:rsid w:val="00270AA8"/>
    <w:rsid w:val="002711F0"/>
    <w:rsid w:val="002712FB"/>
    <w:rsid w:val="002715AF"/>
    <w:rsid w:val="0027166D"/>
    <w:rsid w:val="00271C1D"/>
    <w:rsid w:val="00271C46"/>
    <w:rsid w:val="00272716"/>
    <w:rsid w:val="0027278F"/>
    <w:rsid w:val="00272AE1"/>
    <w:rsid w:val="00272B9D"/>
    <w:rsid w:val="00272BD5"/>
    <w:rsid w:val="00272FF3"/>
    <w:rsid w:val="002730DF"/>
    <w:rsid w:val="00273147"/>
    <w:rsid w:val="00273751"/>
    <w:rsid w:val="00273DC4"/>
    <w:rsid w:val="00273DDA"/>
    <w:rsid w:val="00273E57"/>
    <w:rsid w:val="00273F40"/>
    <w:rsid w:val="00274090"/>
    <w:rsid w:val="002741F0"/>
    <w:rsid w:val="0027420E"/>
    <w:rsid w:val="00274983"/>
    <w:rsid w:val="00274E5E"/>
    <w:rsid w:val="00274EB7"/>
    <w:rsid w:val="00275078"/>
    <w:rsid w:val="00275295"/>
    <w:rsid w:val="002753B1"/>
    <w:rsid w:val="002755B1"/>
    <w:rsid w:val="00276032"/>
    <w:rsid w:val="002762DE"/>
    <w:rsid w:val="00276500"/>
    <w:rsid w:val="00276550"/>
    <w:rsid w:val="00276637"/>
    <w:rsid w:val="00276E36"/>
    <w:rsid w:val="00276E4A"/>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EFD"/>
    <w:rsid w:val="002833CB"/>
    <w:rsid w:val="002834AB"/>
    <w:rsid w:val="00283846"/>
    <w:rsid w:val="00283918"/>
    <w:rsid w:val="00283A42"/>
    <w:rsid w:val="00283BA8"/>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A2"/>
    <w:rsid w:val="002A2FBF"/>
    <w:rsid w:val="002A3A31"/>
    <w:rsid w:val="002A3C7E"/>
    <w:rsid w:val="002A3EAF"/>
    <w:rsid w:val="002A3F12"/>
    <w:rsid w:val="002A4044"/>
    <w:rsid w:val="002A4401"/>
    <w:rsid w:val="002A4A5D"/>
    <w:rsid w:val="002A4D95"/>
    <w:rsid w:val="002A4DEF"/>
    <w:rsid w:val="002A4F7C"/>
    <w:rsid w:val="002A5050"/>
    <w:rsid w:val="002A50C8"/>
    <w:rsid w:val="002A50E6"/>
    <w:rsid w:val="002A559A"/>
    <w:rsid w:val="002A55A4"/>
    <w:rsid w:val="002A59D0"/>
    <w:rsid w:val="002A5AE2"/>
    <w:rsid w:val="002A5AEC"/>
    <w:rsid w:val="002A5E0A"/>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22A7"/>
    <w:rsid w:val="002B2409"/>
    <w:rsid w:val="002B244A"/>
    <w:rsid w:val="002B2639"/>
    <w:rsid w:val="002B26A8"/>
    <w:rsid w:val="002B282E"/>
    <w:rsid w:val="002B2A67"/>
    <w:rsid w:val="002B2B2F"/>
    <w:rsid w:val="002B340C"/>
    <w:rsid w:val="002B3454"/>
    <w:rsid w:val="002B34D2"/>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89C"/>
    <w:rsid w:val="002D493D"/>
    <w:rsid w:val="002D4ACE"/>
    <w:rsid w:val="002D4CD1"/>
    <w:rsid w:val="002D4CE5"/>
    <w:rsid w:val="002D4CF1"/>
    <w:rsid w:val="002D4F33"/>
    <w:rsid w:val="002D4F83"/>
    <w:rsid w:val="002D502E"/>
    <w:rsid w:val="002D51D1"/>
    <w:rsid w:val="002D5438"/>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5A4"/>
    <w:rsid w:val="002E3726"/>
    <w:rsid w:val="002E377C"/>
    <w:rsid w:val="002E38C9"/>
    <w:rsid w:val="002E3A2E"/>
    <w:rsid w:val="002E3A9C"/>
    <w:rsid w:val="002E3BC1"/>
    <w:rsid w:val="002E3C90"/>
    <w:rsid w:val="002E3E6F"/>
    <w:rsid w:val="002E42D0"/>
    <w:rsid w:val="002E4316"/>
    <w:rsid w:val="002E4375"/>
    <w:rsid w:val="002E45B3"/>
    <w:rsid w:val="002E45C6"/>
    <w:rsid w:val="002E46AC"/>
    <w:rsid w:val="002E4AE2"/>
    <w:rsid w:val="002E4BDD"/>
    <w:rsid w:val="002E4D31"/>
    <w:rsid w:val="002E4E47"/>
    <w:rsid w:val="002E5047"/>
    <w:rsid w:val="002E51FF"/>
    <w:rsid w:val="002E5236"/>
    <w:rsid w:val="002E524C"/>
    <w:rsid w:val="002E544F"/>
    <w:rsid w:val="002E5459"/>
    <w:rsid w:val="002E54C9"/>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83C"/>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F4B"/>
    <w:rsid w:val="002F2F91"/>
    <w:rsid w:val="002F3483"/>
    <w:rsid w:val="002F38F6"/>
    <w:rsid w:val="002F3C1E"/>
    <w:rsid w:val="002F3C2B"/>
    <w:rsid w:val="002F4671"/>
    <w:rsid w:val="002F4ABD"/>
    <w:rsid w:val="002F4C3E"/>
    <w:rsid w:val="002F4F04"/>
    <w:rsid w:val="002F4FA2"/>
    <w:rsid w:val="002F50EA"/>
    <w:rsid w:val="002F5179"/>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3001B0"/>
    <w:rsid w:val="003001FA"/>
    <w:rsid w:val="0030040C"/>
    <w:rsid w:val="00300844"/>
    <w:rsid w:val="00300CBA"/>
    <w:rsid w:val="00300DBC"/>
    <w:rsid w:val="00300F73"/>
    <w:rsid w:val="003010FF"/>
    <w:rsid w:val="0030130C"/>
    <w:rsid w:val="003014CF"/>
    <w:rsid w:val="00301869"/>
    <w:rsid w:val="00301B83"/>
    <w:rsid w:val="00301C94"/>
    <w:rsid w:val="00301DA0"/>
    <w:rsid w:val="00301ED1"/>
    <w:rsid w:val="00301F19"/>
    <w:rsid w:val="00301F6B"/>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A2D"/>
    <w:rsid w:val="00305A77"/>
    <w:rsid w:val="00305B5D"/>
    <w:rsid w:val="00305CC7"/>
    <w:rsid w:val="00305EF9"/>
    <w:rsid w:val="00305FF1"/>
    <w:rsid w:val="003060D3"/>
    <w:rsid w:val="00306233"/>
    <w:rsid w:val="003063A1"/>
    <w:rsid w:val="00306612"/>
    <w:rsid w:val="003067BF"/>
    <w:rsid w:val="00306A30"/>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9CE"/>
    <w:rsid w:val="00310C66"/>
    <w:rsid w:val="00310CDC"/>
    <w:rsid w:val="00310CF0"/>
    <w:rsid w:val="003115D3"/>
    <w:rsid w:val="003116B5"/>
    <w:rsid w:val="00311987"/>
    <w:rsid w:val="00311D2A"/>
    <w:rsid w:val="00311FD6"/>
    <w:rsid w:val="00312A6F"/>
    <w:rsid w:val="00312E72"/>
    <w:rsid w:val="00313216"/>
    <w:rsid w:val="003135E6"/>
    <w:rsid w:val="00313672"/>
    <w:rsid w:val="00313709"/>
    <w:rsid w:val="00313792"/>
    <w:rsid w:val="00313848"/>
    <w:rsid w:val="00313A64"/>
    <w:rsid w:val="00313A9F"/>
    <w:rsid w:val="00313B1F"/>
    <w:rsid w:val="00313BAE"/>
    <w:rsid w:val="00313C92"/>
    <w:rsid w:val="00314576"/>
    <w:rsid w:val="003149B1"/>
    <w:rsid w:val="00314D7A"/>
    <w:rsid w:val="00314E80"/>
    <w:rsid w:val="003152A8"/>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F3D"/>
    <w:rsid w:val="0031706D"/>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C1C"/>
    <w:rsid w:val="00322CB9"/>
    <w:rsid w:val="00322ECA"/>
    <w:rsid w:val="00322F2B"/>
    <w:rsid w:val="00322F6B"/>
    <w:rsid w:val="0032326A"/>
    <w:rsid w:val="00323299"/>
    <w:rsid w:val="0032353A"/>
    <w:rsid w:val="00323669"/>
    <w:rsid w:val="00323757"/>
    <w:rsid w:val="0032381A"/>
    <w:rsid w:val="003239F6"/>
    <w:rsid w:val="00323E40"/>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30303"/>
    <w:rsid w:val="0033048B"/>
    <w:rsid w:val="00330715"/>
    <w:rsid w:val="0033073B"/>
    <w:rsid w:val="003308A3"/>
    <w:rsid w:val="00330CA1"/>
    <w:rsid w:val="00330CC3"/>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E3F"/>
    <w:rsid w:val="00333E55"/>
    <w:rsid w:val="00334003"/>
    <w:rsid w:val="00334107"/>
    <w:rsid w:val="003342D3"/>
    <w:rsid w:val="0033477B"/>
    <w:rsid w:val="0033482D"/>
    <w:rsid w:val="00334F17"/>
    <w:rsid w:val="003353E8"/>
    <w:rsid w:val="00335438"/>
    <w:rsid w:val="00335687"/>
    <w:rsid w:val="00335732"/>
    <w:rsid w:val="003359BC"/>
    <w:rsid w:val="00335D21"/>
    <w:rsid w:val="00336251"/>
    <w:rsid w:val="003366D3"/>
    <w:rsid w:val="00336745"/>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4112"/>
    <w:rsid w:val="00344447"/>
    <w:rsid w:val="003446BD"/>
    <w:rsid w:val="00344B48"/>
    <w:rsid w:val="00344DC9"/>
    <w:rsid w:val="00344EC0"/>
    <w:rsid w:val="00344FA9"/>
    <w:rsid w:val="003450D2"/>
    <w:rsid w:val="003453CC"/>
    <w:rsid w:val="0034546F"/>
    <w:rsid w:val="00345568"/>
    <w:rsid w:val="003465ED"/>
    <w:rsid w:val="0034664F"/>
    <w:rsid w:val="00346A6F"/>
    <w:rsid w:val="00346FD5"/>
    <w:rsid w:val="00347016"/>
    <w:rsid w:val="003470C8"/>
    <w:rsid w:val="0034768F"/>
    <w:rsid w:val="00347770"/>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E23"/>
    <w:rsid w:val="00354E72"/>
    <w:rsid w:val="00355757"/>
    <w:rsid w:val="00355B56"/>
    <w:rsid w:val="00355C32"/>
    <w:rsid w:val="00355F9D"/>
    <w:rsid w:val="00356091"/>
    <w:rsid w:val="003560C4"/>
    <w:rsid w:val="003561FA"/>
    <w:rsid w:val="00356775"/>
    <w:rsid w:val="003568F9"/>
    <w:rsid w:val="00356B94"/>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6"/>
    <w:rsid w:val="003725C2"/>
    <w:rsid w:val="003725CA"/>
    <w:rsid w:val="00372646"/>
    <w:rsid w:val="003727C3"/>
    <w:rsid w:val="00372B5D"/>
    <w:rsid w:val="00372BE0"/>
    <w:rsid w:val="00372E2A"/>
    <w:rsid w:val="00373394"/>
    <w:rsid w:val="003734B2"/>
    <w:rsid w:val="00373C05"/>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D57"/>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BD4"/>
    <w:rsid w:val="00390CEA"/>
    <w:rsid w:val="00390D63"/>
    <w:rsid w:val="00390EB9"/>
    <w:rsid w:val="003916B1"/>
    <w:rsid w:val="00391A73"/>
    <w:rsid w:val="00391FB5"/>
    <w:rsid w:val="003922AB"/>
    <w:rsid w:val="003926F8"/>
    <w:rsid w:val="00392A4B"/>
    <w:rsid w:val="003931BB"/>
    <w:rsid w:val="00393228"/>
    <w:rsid w:val="00393749"/>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49C"/>
    <w:rsid w:val="00396642"/>
    <w:rsid w:val="00396B9B"/>
    <w:rsid w:val="00396F19"/>
    <w:rsid w:val="00397160"/>
    <w:rsid w:val="00397181"/>
    <w:rsid w:val="00397299"/>
    <w:rsid w:val="0039730A"/>
    <w:rsid w:val="0039743D"/>
    <w:rsid w:val="003975A8"/>
    <w:rsid w:val="00397B65"/>
    <w:rsid w:val="00397CA3"/>
    <w:rsid w:val="00397CD3"/>
    <w:rsid w:val="00397F02"/>
    <w:rsid w:val="003A0075"/>
    <w:rsid w:val="003A0268"/>
    <w:rsid w:val="003A063C"/>
    <w:rsid w:val="003A064A"/>
    <w:rsid w:val="003A067C"/>
    <w:rsid w:val="003A0731"/>
    <w:rsid w:val="003A0965"/>
    <w:rsid w:val="003A0B50"/>
    <w:rsid w:val="003A0CB2"/>
    <w:rsid w:val="003A0E1F"/>
    <w:rsid w:val="003A0E9B"/>
    <w:rsid w:val="003A118E"/>
    <w:rsid w:val="003A1313"/>
    <w:rsid w:val="003A1541"/>
    <w:rsid w:val="003A1624"/>
    <w:rsid w:val="003A1892"/>
    <w:rsid w:val="003A1A9E"/>
    <w:rsid w:val="003A1CA2"/>
    <w:rsid w:val="003A1EBE"/>
    <w:rsid w:val="003A1F37"/>
    <w:rsid w:val="003A204D"/>
    <w:rsid w:val="003A2B93"/>
    <w:rsid w:val="003A302D"/>
    <w:rsid w:val="003A337A"/>
    <w:rsid w:val="003A33E7"/>
    <w:rsid w:val="003A3653"/>
    <w:rsid w:val="003A493B"/>
    <w:rsid w:val="003A4AA6"/>
    <w:rsid w:val="003A4B27"/>
    <w:rsid w:val="003A5545"/>
    <w:rsid w:val="003A55AC"/>
    <w:rsid w:val="003A5B64"/>
    <w:rsid w:val="003A5BA5"/>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79A"/>
    <w:rsid w:val="003B084D"/>
    <w:rsid w:val="003B0A12"/>
    <w:rsid w:val="003B0A52"/>
    <w:rsid w:val="003B0ADF"/>
    <w:rsid w:val="003B0D1D"/>
    <w:rsid w:val="003B0F58"/>
    <w:rsid w:val="003B13F2"/>
    <w:rsid w:val="003B159E"/>
    <w:rsid w:val="003B1CFE"/>
    <w:rsid w:val="003B1F2B"/>
    <w:rsid w:val="003B1F76"/>
    <w:rsid w:val="003B1FA5"/>
    <w:rsid w:val="003B250B"/>
    <w:rsid w:val="003B2705"/>
    <w:rsid w:val="003B2711"/>
    <w:rsid w:val="003B2D9C"/>
    <w:rsid w:val="003B2EA1"/>
    <w:rsid w:val="003B3080"/>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40D0"/>
    <w:rsid w:val="003C42A9"/>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860"/>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792"/>
    <w:rsid w:val="003E27D7"/>
    <w:rsid w:val="003E2AD0"/>
    <w:rsid w:val="003E2FA6"/>
    <w:rsid w:val="003E30E2"/>
    <w:rsid w:val="003E3207"/>
    <w:rsid w:val="003E36DF"/>
    <w:rsid w:val="003E3ABF"/>
    <w:rsid w:val="003E3C03"/>
    <w:rsid w:val="003E3C3E"/>
    <w:rsid w:val="003E3CFA"/>
    <w:rsid w:val="003E3D21"/>
    <w:rsid w:val="003E3E77"/>
    <w:rsid w:val="003E3E92"/>
    <w:rsid w:val="003E4723"/>
    <w:rsid w:val="003E48E3"/>
    <w:rsid w:val="003E4B10"/>
    <w:rsid w:val="003E4DA4"/>
    <w:rsid w:val="003E5146"/>
    <w:rsid w:val="003E5197"/>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DB"/>
    <w:rsid w:val="003E723D"/>
    <w:rsid w:val="003E735B"/>
    <w:rsid w:val="003E741C"/>
    <w:rsid w:val="003E74E1"/>
    <w:rsid w:val="003E7621"/>
    <w:rsid w:val="003E7763"/>
    <w:rsid w:val="003E7E1B"/>
    <w:rsid w:val="003E7FBF"/>
    <w:rsid w:val="003F0089"/>
    <w:rsid w:val="003F00E0"/>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F36"/>
    <w:rsid w:val="003F3FE0"/>
    <w:rsid w:val="003F4078"/>
    <w:rsid w:val="003F41B3"/>
    <w:rsid w:val="003F47BA"/>
    <w:rsid w:val="003F4888"/>
    <w:rsid w:val="003F4BD4"/>
    <w:rsid w:val="003F4F50"/>
    <w:rsid w:val="003F50AD"/>
    <w:rsid w:val="003F5148"/>
    <w:rsid w:val="003F52BD"/>
    <w:rsid w:val="003F52F6"/>
    <w:rsid w:val="003F581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B7C"/>
    <w:rsid w:val="003F7BE7"/>
    <w:rsid w:val="003F7E2F"/>
    <w:rsid w:val="00400293"/>
    <w:rsid w:val="00400806"/>
    <w:rsid w:val="00400818"/>
    <w:rsid w:val="00400C06"/>
    <w:rsid w:val="00400E5A"/>
    <w:rsid w:val="00401092"/>
    <w:rsid w:val="004011F1"/>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766"/>
    <w:rsid w:val="00415779"/>
    <w:rsid w:val="0041596C"/>
    <w:rsid w:val="00415C35"/>
    <w:rsid w:val="00416CCC"/>
    <w:rsid w:val="00416FBB"/>
    <w:rsid w:val="00417006"/>
    <w:rsid w:val="0041701D"/>
    <w:rsid w:val="0041724F"/>
    <w:rsid w:val="00417918"/>
    <w:rsid w:val="00420056"/>
    <w:rsid w:val="004200ED"/>
    <w:rsid w:val="004202AE"/>
    <w:rsid w:val="00420426"/>
    <w:rsid w:val="0042056F"/>
    <w:rsid w:val="00420747"/>
    <w:rsid w:val="00420A01"/>
    <w:rsid w:val="004212A2"/>
    <w:rsid w:val="0042173B"/>
    <w:rsid w:val="00421841"/>
    <w:rsid w:val="00421B53"/>
    <w:rsid w:val="00421E5E"/>
    <w:rsid w:val="00421F54"/>
    <w:rsid w:val="00422401"/>
    <w:rsid w:val="004225AA"/>
    <w:rsid w:val="00422783"/>
    <w:rsid w:val="00422AB7"/>
    <w:rsid w:val="00422C18"/>
    <w:rsid w:val="00422CFB"/>
    <w:rsid w:val="00422D50"/>
    <w:rsid w:val="00422EB1"/>
    <w:rsid w:val="00422EFF"/>
    <w:rsid w:val="00422FA6"/>
    <w:rsid w:val="00423045"/>
    <w:rsid w:val="00423179"/>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C2C"/>
    <w:rsid w:val="00430CF0"/>
    <w:rsid w:val="00430D8E"/>
    <w:rsid w:val="00430E7A"/>
    <w:rsid w:val="00430FBB"/>
    <w:rsid w:val="00430FBC"/>
    <w:rsid w:val="0043139D"/>
    <w:rsid w:val="004313A4"/>
    <w:rsid w:val="00431667"/>
    <w:rsid w:val="00431F69"/>
    <w:rsid w:val="004320C5"/>
    <w:rsid w:val="004322CB"/>
    <w:rsid w:val="004328F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CD3"/>
    <w:rsid w:val="00446DC5"/>
    <w:rsid w:val="00446F1A"/>
    <w:rsid w:val="00447011"/>
    <w:rsid w:val="00447161"/>
    <w:rsid w:val="0044729D"/>
    <w:rsid w:val="004472F7"/>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524F"/>
    <w:rsid w:val="00455397"/>
    <w:rsid w:val="004553C1"/>
    <w:rsid w:val="004554F9"/>
    <w:rsid w:val="00455579"/>
    <w:rsid w:val="00455599"/>
    <w:rsid w:val="004557AC"/>
    <w:rsid w:val="0045580C"/>
    <w:rsid w:val="00455A2B"/>
    <w:rsid w:val="00455A82"/>
    <w:rsid w:val="00455E76"/>
    <w:rsid w:val="00456582"/>
    <w:rsid w:val="004565BD"/>
    <w:rsid w:val="004568DB"/>
    <w:rsid w:val="00456BE5"/>
    <w:rsid w:val="00456E79"/>
    <w:rsid w:val="00457135"/>
    <w:rsid w:val="004573EA"/>
    <w:rsid w:val="004579DE"/>
    <w:rsid w:val="00457A4C"/>
    <w:rsid w:val="00457E13"/>
    <w:rsid w:val="00457F41"/>
    <w:rsid w:val="004601B9"/>
    <w:rsid w:val="004602F6"/>
    <w:rsid w:val="00460595"/>
    <w:rsid w:val="00460711"/>
    <w:rsid w:val="00460C1C"/>
    <w:rsid w:val="00460E2E"/>
    <w:rsid w:val="004611FF"/>
    <w:rsid w:val="0046175F"/>
    <w:rsid w:val="004617C4"/>
    <w:rsid w:val="00461A30"/>
    <w:rsid w:val="00461AC0"/>
    <w:rsid w:val="00461F18"/>
    <w:rsid w:val="0046218F"/>
    <w:rsid w:val="00462241"/>
    <w:rsid w:val="004624BD"/>
    <w:rsid w:val="00462588"/>
    <w:rsid w:val="0046259C"/>
    <w:rsid w:val="00462622"/>
    <w:rsid w:val="004626DC"/>
    <w:rsid w:val="0046288F"/>
    <w:rsid w:val="00462CEB"/>
    <w:rsid w:val="00462F77"/>
    <w:rsid w:val="00462FF0"/>
    <w:rsid w:val="004631E1"/>
    <w:rsid w:val="004631F8"/>
    <w:rsid w:val="00463287"/>
    <w:rsid w:val="0046339F"/>
    <w:rsid w:val="004636D8"/>
    <w:rsid w:val="00463951"/>
    <w:rsid w:val="004639D2"/>
    <w:rsid w:val="00463BDC"/>
    <w:rsid w:val="00463E3A"/>
    <w:rsid w:val="00463EFF"/>
    <w:rsid w:val="00463FA3"/>
    <w:rsid w:val="00463FC1"/>
    <w:rsid w:val="004640C2"/>
    <w:rsid w:val="0046438C"/>
    <w:rsid w:val="004643B4"/>
    <w:rsid w:val="00464566"/>
    <w:rsid w:val="0046458F"/>
    <w:rsid w:val="00464991"/>
    <w:rsid w:val="00464F2D"/>
    <w:rsid w:val="00465129"/>
    <w:rsid w:val="004651DC"/>
    <w:rsid w:val="004653FA"/>
    <w:rsid w:val="004655EB"/>
    <w:rsid w:val="00465725"/>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AB"/>
    <w:rsid w:val="00473672"/>
    <w:rsid w:val="0047375D"/>
    <w:rsid w:val="00473BB4"/>
    <w:rsid w:val="00473CC3"/>
    <w:rsid w:val="00473EC7"/>
    <w:rsid w:val="00473FB0"/>
    <w:rsid w:val="00474050"/>
    <w:rsid w:val="00474099"/>
    <w:rsid w:val="004747ED"/>
    <w:rsid w:val="004747FE"/>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E07"/>
    <w:rsid w:val="00486E6E"/>
    <w:rsid w:val="004872DD"/>
    <w:rsid w:val="004873F8"/>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F31"/>
    <w:rsid w:val="00491FAE"/>
    <w:rsid w:val="00492157"/>
    <w:rsid w:val="00492187"/>
    <w:rsid w:val="00492206"/>
    <w:rsid w:val="004924E8"/>
    <w:rsid w:val="00492715"/>
    <w:rsid w:val="0049298D"/>
    <w:rsid w:val="004929B0"/>
    <w:rsid w:val="004929FD"/>
    <w:rsid w:val="00492A58"/>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377"/>
    <w:rsid w:val="004954CA"/>
    <w:rsid w:val="00495614"/>
    <w:rsid w:val="00495D1A"/>
    <w:rsid w:val="00495F58"/>
    <w:rsid w:val="0049600B"/>
    <w:rsid w:val="004962B8"/>
    <w:rsid w:val="004962D7"/>
    <w:rsid w:val="00496822"/>
    <w:rsid w:val="00496869"/>
    <w:rsid w:val="00496B90"/>
    <w:rsid w:val="00496D80"/>
    <w:rsid w:val="00496E8E"/>
    <w:rsid w:val="00496F80"/>
    <w:rsid w:val="0049709C"/>
    <w:rsid w:val="004970C7"/>
    <w:rsid w:val="004973FE"/>
    <w:rsid w:val="004974B2"/>
    <w:rsid w:val="00497681"/>
    <w:rsid w:val="00497842"/>
    <w:rsid w:val="004978D4"/>
    <w:rsid w:val="00497940"/>
    <w:rsid w:val="00497DF2"/>
    <w:rsid w:val="00497E4C"/>
    <w:rsid w:val="004A0177"/>
    <w:rsid w:val="004A0261"/>
    <w:rsid w:val="004A05E3"/>
    <w:rsid w:val="004A0806"/>
    <w:rsid w:val="004A0807"/>
    <w:rsid w:val="004A083D"/>
    <w:rsid w:val="004A0848"/>
    <w:rsid w:val="004A0FBD"/>
    <w:rsid w:val="004A1211"/>
    <w:rsid w:val="004A12AF"/>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76"/>
    <w:rsid w:val="004B034F"/>
    <w:rsid w:val="004B06FE"/>
    <w:rsid w:val="004B070A"/>
    <w:rsid w:val="004B0765"/>
    <w:rsid w:val="004B07BB"/>
    <w:rsid w:val="004B08F7"/>
    <w:rsid w:val="004B099D"/>
    <w:rsid w:val="004B09F2"/>
    <w:rsid w:val="004B0C23"/>
    <w:rsid w:val="004B0D11"/>
    <w:rsid w:val="004B0FD3"/>
    <w:rsid w:val="004B1073"/>
    <w:rsid w:val="004B1AB7"/>
    <w:rsid w:val="004B20E0"/>
    <w:rsid w:val="004B20EA"/>
    <w:rsid w:val="004B212F"/>
    <w:rsid w:val="004B22BB"/>
    <w:rsid w:val="004B2347"/>
    <w:rsid w:val="004B2438"/>
    <w:rsid w:val="004B2473"/>
    <w:rsid w:val="004B2706"/>
    <w:rsid w:val="004B2B55"/>
    <w:rsid w:val="004B2D78"/>
    <w:rsid w:val="004B2F8A"/>
    <w:rsid w:val="004B2FE5"/>
    <w:rsid w:val="004B3090"/>
    <w:rsid w:val="004B32A5"/>
    <w:rsid w:val="004B3349"/>
    <w:rsid w:val="004B36AF"/>
    <w:rsid w:val="004B3823"/>
    <w:rsid w:val="004B3A5A"/>
    <w:rsid w:val="004B3A8C"/>
    <w:rsid w:val="004B3C5F"/>
    <w:rsid w:val="004B3C60"/>
    <w:rsid w:val="004B4519"/>
    <w:rsid w:val="004B48B2"/>
    <w:rsid w:val="004B4904"/>
    <w:rsid w:val="004B4B86"/>
    <w:rsid w:val="004B4EC8"/>
    <w:rsid w:val="004B534B"/>
    <w:rsid w:val="004B55A2"/>
    <w:rsid w:val="004B569C"/>
    <w:rsid w:val="004B57AA"/>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1B2"/>
    <w:rsid w:val="004B72DA"/>
    <w:rsid w:val="004B7525"/>
    <w:rsid w:val="004B765A"/>
    <w:rsid w:val="004B786B"/>
    <w:rsid w:val="004B78EA"/>
    <w:rsid w:val="004B79A4"/>
    <w:rsid w:val="004B7C7D"/>
    <w:rsid w:val="004B7EA6"/>
    <w:rsid w:val="004C0069"/>
    <w:rsid w:val="004C0110"/>
    <w:rsid w:val="004C0215"/>
    <w:rsid w:val="004C0423"/>
    <w:rsid w:val="004C06A8"/>
    <w:rsid w:val="004C07AE"/>
    <w:rsid w:val="004C0B12"/>
    <w:rsid w:val="004C0C6F"/>
    <w:rsid w:val="004C0CE4"/>
    <w:rsid w:val="004C0D26"/>
    <w:rsid w:val="004C0E45"/>
    <w:rsid w:val="004C0F94"/>
    <w:rsid w:val="004C12CE"/>
    <w:rsid w:val="004C1618"/>
    <w:rsid w:val="004C17C2"/>
    <w:rsid w:val="004C17EB"/>
    <w:rsid w:val="004C1D59"/>
    <w:rsid w:val="004C1ED3"/>
    <w:rsid w:val="004C1EFA"/>
    <w:rsid w:val="004C22CA"/>
    <w:rsid w:val="004C274E"/>
    <w:rsid w:val="004C2C5F"/>
    <w:rsid w:val="004C300E"/>
    <w:rsid w:val="004C35BD"/>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8D8"/>
    <w:rsid w:val="004D1999"/>
    <w:rsid w:val="004D1A1E"/>
    <w:rsid w:val="004D1C6F"/>
    <w:rsid w:val="004D21AE"/>
    <w:rsid w:val="004D2324"/>
    <w:rsid w:val="004D239A"/>
    <w:rsid w:val="004D27ED"/>
    <w:rsid w:val="004D2C76"/>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11D"/>
    <w:rsid w:val="004E147D"/>
    <w:rsid w:val="004E158B"/>
    <w:rsid w:val="004E173D"/>
    <w:rsid w:val="004E1971"/>
    <w:rsid w:val="004E1D24"/>
    <w:rsid w:val="004E1D99"/>
    <w:rsid w:val="004E1DE3"/>
    <w:rsid w:val="004E1E07"/>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AB4"/>
    <w:rsid w:val="004E4AF3"/>
    <w:rsid w:val="004E4B75"/>
    <w:rsid w:val="004E4F58"/>
    <w:rsid w:val="004E4FFB"/>
    <w:rsid w:val="004E5084"/>
    <w:rsid w:val="004E51D3"/>
    <w:rsid w:val="004E51FE"/>
    <w:rsid w:val="004E5425"/>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577"/>
    <w:rsid w:val="004F6687"/>
    <w:rsid w:val="004F6B3A"/>
    <w:rsid w:val="004F6BA0"/>
    <w:rsid w:val="004F74EE"/>
    <w:rsid w:val="004F7528"/>
    <w:rsid w:val="004F7757"/>
    <w:rsid w:val="004F7828"/>
    <w:rsid w:val="004F792F"/>
    <w:rsid w:val="00500094"/>
    <w:rsid w:val="005002A3"/>
    <w:rsid w:val="00500660"/>
    <w:rsid w:val="005006F1"/>
    <w:rsid w:val="00500778"/>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79"/>
    <w:rsid w:val="00510D59"/>
    <w:rsid w:val="00510F2A"/>
    <w:rsid w:val="0051129C"/>
    <w:rsid w:val="005113DD"/>
    <w:rsid w:val="00511905"/>
    <w:rsid w:val="0051196F"/>
    <w:rsid w:val="00511A5C"/>
    <w:rsid w:val="00511A9F"/>
    <w:rsid w:val="00511AFB"/>
    <w:rsid w:val="00511D1B"/>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47E"/>
    <w:rsid w:val="0051462C"/>
    <w:rsid w:val="00514738"/>
    <w:rsid w:val="00514876"/>
    <w:rsid w:val="00514B68"/>
    <w:rsid w:val="00514BB9"/>
    <w:rsid w:val="00514C8B"/>
    <w:rsid w:val="00514F91"/>
    <w:rsid w:val="005150D2"/>
    <w:rsid w:val="005151A4"/>
    <w:rsid w:val="0051547A"/>
    <w:rsid w:val="00515735"/>
    <w:rsid w:val="00515BAC"/>
    <w:rsid w:val="00515D08"/>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8F"/>
    <w:rsid w:val="005235AE"/>
    <w:rsid w:val="005235E8"/>
    <w:rsid w:val="00523924"/>
    <w:rsid w:val="00523AA7"/>
    <w:rsid w:val="00523B7C"/>
    <w:rsid w:val="00523CA0"/>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6C"/>
    <w:rsid w:val="0052627F"/>
    <w:rsid w:val="00526779"/>
    <w:rsid w:val="00526820"/>
    <w:rsid w:val="0052686F"/>
    <w:rsid w:val="00526AC9"/>
    <w:rsid w:val="00526C63"/>
    <w:rsid w:val="00526CD8"/>
    <w:rsid w:val="005272B3"/>
    <w:rsid w:val="005273C9"/>
    <w:rsid w:val="00527592"/>
    <w:rsid w:val="00527662"/>
    <w:rsid w:val="00527926"/>
    <w:rsid w:val="00527A6D"/>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6554"/>
    <w:rsid w:val="0053672D"/>
    <w:rsid w:val="00536760"/>
    <w:rsid w:val="00536E42"/>
    <w:rsid w:val="00536E63"/>
    <w:rsid w:val="00536F5E"/>
    <w:rsid w:val="00537082"/>
    <w:rsid w:val="00537228"/>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817"/>
    <w:rsid w:val="005449BD"/>
    <w:rsid w:val="00544EAC"/>
    <w:rsid w:val="00545042"/>
    <w:rsid w:val="005451BE"/>
    <w:rsid w:val="005452CE"/>
    <w:rsid w:val="005453AB"/>
    <w:rsid w:val="005455FA"/>
    <w:rsid w:val="0054580A"/>
    <w:rsid w:val="00545855"/>
    <w:rsid w:val="00545973"/>
    <w:rsid w:val="005459AA"/>
    <w:rsid w:val="00545BCB"/>
    <w:rsid w:val="00545BD7"/>
    <w:rsid w:val="005465B1"/>
    <w:rsid w:val="00546627"/>
    <w:rsid w:val="0054662C"/>
    <w:rsid w:val="00546872"/>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BD"/>
    <w:rsid w:val="00557BB0"/>
    <w:rsid w:val="00557C48"/>
    <w:rsid w:val="00557C9F"/>
    <w:rsid w:val="0056035B"/>
    <w:rsid w:val="005603CD"/>
    <w:rsid w:val="0056062D"/>
    <w:rsid w:val="005607BF"/>
    <w:rsid w:val="00560B16"/>
    <w:rsid w:val="00560CBB"/>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FC"/>
    <w:rsid w:val="00566587"/>
    <w:rsid w:val="00566CE3"/>
    <w:rsid w:val="00566D7A"/>
    <w:rsid w:val="00566EB1"/>
    <w:rsid w:val="0056702E"/>
    <w:rsid w:val="00567112"/>
    <w:rsid w:val="005671CE"/>
    <w:rsid w:val="005672A3"/>
    <w:rsid w:val="005674D3"/>
    <w:rsid w:val="00567631"/>
    <w:rsid w:val="00567AE0"/>
    <w:rsid w:val="00567B53"/>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B61"/>
    <w:rsid w:val="00575CE6"/>
    <w:rsid w:val="00575D48"/>
    <w:rsid w:val="00575E3C"/>
    <w:rsid w:val="00575FFD"/>
    <w:rsid w:val="0057605A"/>
    <w:rsid w:val="00576184"/>
    <w:rsid w:val="0057624F"/>
    <w:rsid w:val="00576264"/>
    <w:rsid w:val="00576358"/>
    <w:rsid w:val="00576376"/>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29F"/>
    <w:rsid w:val="00581385"/>
    <w:rsid w:val="0058141A"/>
    <w:rsid w:val="005814A1"/>
    <w:rsid w:val="005815C6"/>
    <w:rsid w:val="00581603"/>
    <w:rsid w:val="00581761"/>
    <w:rsid w:val="00581797"/>
    <w:rsid w:val="005817C2"/>
    <w:rsid w:val="005818D9"/>
    <w:rsid w:val="00581942"/>
    <w:rsid w:val="00581A99"/>
    <w:rsid w:val="00581BC6"/>
    <w:rsid w:val="00581CB0"/>
    <w:rsid w:val="00582162"/>
    <w:rsid w:val="00582601"/>
    <w:rsid w:val="00582A3B"/>
    <w:rsid w:val="00582F8D"/>
    <w:rsid w:val="00583027"/>
    <w:rsid w:val="0058318F"/>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5054"/>
    <w:rsid w:val="005852EA"/>
    <w:rsid w:val="005855D8"/>
    <w:rsid w:val="00585906"/>
    <w:rsid w:val="0058594E"/>
    <w:rsid w:val="00585C05"/>
    <w:rsid w:val="00585FD0"/>
    <w:rsid w:val="00585FD1"/>
    <w:rsid w:val="005860BD"/>
    <w:rsid w:val="0058611B"/>
    <w:rsid w:val="005864FB"/>
    <w:rsid w:val="00586689"/>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899"/>
    <w:rsid w:val="00592C43"/>
    <w:rsid w:val="00592CE9"/>
    <w:rsid w:val="00592DFC"/>
    <w:rsid w:val="005932D3"/>
    <w:rsid w:val="0059331D"/>
    <w:rsid w:val="005934C9"/>
    <w:rsid w:val="00593570"/>
    <w:rsid w:val="00593CCA"/>
    <w:rsid w:val="00593D48"/>
    <w:rsid w:val="00593ECE"/>
    <w:rsid w:val="00594214"/>
    <w:rsid w:val="00594477"/>
    <w:rsid w:val="00594586"/>
    <w:rsid w:val="005946C9"/>
    <w:rsid w:val="005947CD"/>
    <w:rsid w:val="00594881"/>
    <w:rsid w:val="00594D82"/>
    <w:rsid w:val="00594E76"/>
    <w:rsid w:val="00594E93"/>
    <w:rsid w:val="00594FA9"/>
    <w:rsid w:val="0059529C"/>
    <w:rsid w:val="0059537A"/>
    <w:rsid w:val="00595414"/>
    <w:rsid w:val="0059553A"/>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894"/>
    <w:rsid w:val="005A1D2B"/>
    <w:rsid w:val="005A1E78"/>
    <w:rsid w:val="005A20CB"/>
    <w:rsid w:val="005A23B3"/>
    <w:rsid w:val="005A2679"/>
    <w:rsid w:val="005A27BE"/>
    <w:rsid w:val="005A2A46"/>
    <w:rsid w:val="005A2B42"/>
    <w:rsid w:val="005A2CCF"/>
    <w:rsid w:val="005A2F49"/>
    <w:rsid w:val="005A347D"/>
    <w:rsid w:val="005A3712"/>
    <w:rsid w:val="005A3CB4"/>
    <w:rsid w:val="005A45F5"/>
    <w:rsid w:val="005A4637"/>
    <w:rsid w:val="005A477B"/>
    <w:rsid w:val="005A49EE"/>
    <w:rsid w:val="005A4D47"/>
    <w:rsid w:val="005A5580"/>
    <w:rsid w:val="005A55AF"/>
    <w:rsid w:val="005A56A4"/>
    <w:rsid w:val="005A577B"/>
    <w:rsid w:val="005A5900"/>
    <w:rsid w:val="005A5ACA"/>
    <w:rsid w:val="005A5BC3"/>
    <w:rsid w:val="005A5D1A"/>
    <w:rsid w:val="005A62E0"/>
    <w:rsid w:val="005A6D4A"/>
    <w:rsid w:val="005A6F8B"/>
    <w:rsid w:val="005A7072"/>
    <w:rsid w:val="005A7277"/>
    <w:rsid w:val="005A72F9"/>
    <w:rsid w:val="005A744F"/>
    <w:rsid w:val="005A7543"/>
    <w:rsid w:val="005A7757"/>
    <w:rsid w:val="005A78EB"/>
    <w:rsid w:val="005A7D26"/>
    <w:rsid w:val="005B0100"/>
    <w:rsid w:val="005B02DC"/>
    <w:rsid w:val="005B03F1"/>
    <w:rsid w:val="005B0884"/>
    <w:rsid w:val="005B0900"/>
    <w:rsid w:val="005B0A81"/>
    <w:rsid w:val="005B0BE7"/>
    <w:rsid w:val="005B0BF8"/>
    <w:rsid w:val="005B0D1F"/>
    <w:rsid w:val="005B0DE3"/>
    <w:rsid w:val="005B0F32"/>
    <w:rsid w:val="005B1338"/>
    <w:rsid w:val="005B183F"/>
    <w:rsid w:val="005B18DD"/>
    <w:rsid w:val="005B1A11"/>
    <w:rsid w:val="005B1C0D"/>
    <w:rsid w:val="005B1C3C"/>
    <w:rsid w:val="005B1CDD"/>
    <w:rsid w:val="005B1DBD"/>
    <w:rsid w:val="005B1E57"/>
    <w:rsid w:val="005B2151"/>
    <w:rsid w:val="005B262F"/>
    <w:rsid w:val="005B284E"/>
    <w:rsid w:val="005B28CC"/>
    <w:rsid w:val="005B29AC"/>
    <w:rsid w:val="005B3298"/>
    <w:rsid w:val="005B332C"/>
    <w:rsid w:val="005B3B27"/>
    <w:rsid w:val="005B3C85"/>
    <w:rsid w:val="005B3C90"/>
    <w:rsid w:val="005B3E53"/>
    <w:rsid w:val="005B3E6E"/>
    <w:rsid w:val="005B3EBF"/>
    <w:rsid w:val="005B3ED3"/>
    <w:rsid w:val="005B3EFC"/>
    <w:rsid w:val="005B3F5A"/>
    <w:rsid w:val="005B418A"/>
    <w:rsid w:val="005B445D"/>
    <w:rsid w:val="005B4817"/>
    <w:rsid w:val="005B49D4"/>
    <w:rsid w:val="005B4C77"/>
    <w:rsid w:val="005B4D56"/>
    <w:rsid w:val="005B51C3"/>
    <w:rsid w:val="005B53D4"/>
    <w:rsid w:val="005B55D2"/>
    <w:rsid w:val="005B5C9B"/>
    <w:rsid w:val="005B601E"/>
    <w:rsid w:val="005B67DE"/>
    <w:rsid w:val="005B7027"/>
    <w:rsid w:val="005B719A"/>
    <w:rsid w:val="005B73E6"/>
    <w:rsid w:val="005B75B6"/>
    <w:rsid w:val="005B766A"/>
    <w:rsid w:val="005B7867"/>
    <w:rsid w:val="005B7922"/>
    <w:rsid w:val="005B7A99"/>
    <w:rsid w:val="005B7C8F"/>
    <w:rsid w:val="005B7E5B"/>
    <w:rsid w:val="005B7E78"/>
    <w:rsid w:val="005B7EE2"/>
    <w:rsid w:val="005C0319"/>
    <w:rsid w:val="005C0360"/>
    <w:rsid w:val="005C0678"/>
    <w:rsid w:val="005C09D8"/>
    <w:rsid w:val="005C0E43"/>
    <w:rsid w:val="005C1099"/>
    <w:rsid w:val="005C1318"/>
    <w:rsid w:val="005C1470"/>
    <w:rsid w:val="005C158A"/>
    <w:rsid w:val="005C1D22"/>
    <w:rsid w:val="005C1DBD"/>
    <w:rsid w:val="005C2A13"/>
    <w:rsid w:val="005C2CAE"/>
    <w:rsid w:val="005C2CB3"/>
    <w:rsid w:val="005C2FA1"/>
    <w:rsid w:val="005C2FF6"/>
    <w:rsid w:val="005C3316"/>
    <w:rsid w:val="005C3A5C"/>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C1"/>
    <w:rsid w:val="005D3161"/>
    <w:rsid w:val="005D31D5"/>
    <w:rsid w:val="005D35A5"/>
    <w:rsid w:val="005D38FB"/>
    <w:rsid w:val="005D3BE6"/>
    <w:rsid w:val="005D4136"/>
    <w:rsid w:val="005D4AC4"/>
    <w:rsid w:val="005D4BAC"/>
    <w:rsid w:val="005D4DAF"/>
    <w:rsid w:val="005D50F6"/>
    <w:rsid w:val="005D5273"/>
    <w:rsid w:val="005D531D"/>
    <w:rsid w:val="005D5806"/>
    <w:rsid w:val="005D5CF4"/>
    <w:rsid w:val="005D5F01"/>
    <w:rsid w:val="005D5F12"/>
    <w:rsid w:val="005D602D"/>
    <w:rsid w:val="005D6776"/>
    <w:rsid w:val="005D68B6"/>
    <w:rsid w:val="005D6A3B"/>
    <w:rsid w:val="005D6AAB"/>
    <w:rsid w:val="005D70E5"/>
    <w:rsid w:val="005D7181"/>
    <w:rsid w:val="005D74A0"/>
    <w:rsid w:val="005D7677"/>
    <w:rsid w:val="005D770B"/>
    <w:rsid w:val="005D78BD"/>
    <w:rsid w:val="005D7942"/>
    <w:rsid w:val="005D7CF1"/>
    <w:rsid w:val="005D7DAE"/>
    <w:rsid w:val="005D7EAC"/>
    <w:rsid w:val="005D7FDD"/>
    <w:rsid w:val="005E02E6"/>
    <w:rsid w:val="005E03E5"/>
    <w:rsid w:val="005E043E"/>
    <w:rsid w:val="005E0536"/>
    <w:rsid w:val="005E0655"/>
    <w:rsid w:val="005E072E"/>
    <w:rsid w:val="005E0A83"/>
    <w:rsid w:val="005E0DA8"/>
    <w:rsid w:val="005E1487"/>
    <w:rsid w:val="005E15CF"/>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72"/>
    <w:rsid w:val="005E6FD4"/>
    <w:rsid w:val="005E7042"/>
    <w:rsid w:val="005E71B1"/>
    <w:rsid w:val="005E72E3"/>
    <w:rsid w:val="005E7677"/>
    <w:rsid w:val="005E7AB0"/>
    <w:rsid w:val="005E7AE7"/>
    <w:rsid w:val="005E7C57"/>
    <w:rsid w:val="005E7EA9"/>
    <w:rsid w:val="005F0042"/>
    <w:rsid w:val="005F0079"/>
    <w:rsid w:val="005F00FF"/>
    <w:rsid w:val="005F01F5"/>
    <w:rsid w:val="005F024C"/>
    <w:rsid w:val="005F034B"/>
    <w:rsid w:val="005F06B7"/>
    <w:rsid w:val="005F0721"/>
    <w:rsid w:val="005F0844"/>
    <w:rsid w:val="005F0C43"/>
    <w:rsid w:val="005F0E93"/>
    <w:rsid w:val="005F0FD3"/>
    <w:rsid w:val="005F105D"/>
    <w:rsid w:val="005F1254"/>
    <w:rsid w:val="005F13AA"/>
    <w:rsid w:val="005F157B"/>
    <w:rsid w:val="005F1862"/>
    <w:rsid w:val="005F194D"/>
    <w:rsid w:val="005F1B00"/>
    <w:rsid w:val="005F1C47"/>
    <w:rsid w:val="005F2172"/>
    <w:rsid w:val="005F2549"/>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743"/>
    <w:rsid w:val="006008E1"/>
    <w:rsid w:val="00600BF6"/>
    <w:rsid w:val="00600C86"/>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960"/>
    <w:rsid w:val="00603B7F"/>
    <w:rsid w:val="0060404B"/>
    <w:rsid w:val="0060460D"/>
    <w:rsid w:val="00604758"/>
    <w:rsid w:val="00604799"/>
    <w:rsid w:val="00604825"/>
    <w:rsid w:val="00604F0D"/>
    <w:rsid w:val="00605034"/>
    <w:rsid w:val="00605218"/>
    <w:rsid w:val="0060529F"/>
    <w:rsid w:val="006052A9"/>
    <w:rsid w:val="0060592B"/>
    <w:rsid w:val="00605B5D"/>
    <w:rsid w:val="00605DEF"/>
    <w:rsid w:val="00605E87"/>
    <w:rsid w:val="00605EBE"/>
    <w:rsid w:val="00606468"/>
    <w:rsid w:val="00606A5C"/>
    <w:rsid w:val="00606AE6"/>
    <w:rsid w:val="00606B8B"/>
    <w:rsid w:val="00606BA4"/>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9EA"/>
    <w:rsid w:val="00620CB1"/>
    <w:rsid w:val="00620E26"/>
    <w:rsid w:val="00620E9F"/>
    <w:rsid w:val="00621164"/>
    <w:rsid w:val="006211B6"/>
    <w:rsid w:val="006213EB"/>
    <w:rsid w:val="00621632"/>
    <w:rsid w:val="00621822"/>
    <w:rsid w:val="00621A77"/>
    <w:rsid w:val="006220EA"/>
    <w:rsid w:val="00622641"/>
    <w:rsid w:val="00622C28"/>
    <w:rsid w:val="00622E89"/>
    <w:rsid w:val="0062334E"/>
    <w:rsid w:val="006238C4"/>
    <w:rsid w:val="00623923"/>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C4"/>
    <w:rsid w:val="006266A3"/>
    <w:rsid w:val="006269C5"/>
    <w:rsid w:val="00626AA4"/>
    <w:rsid w:val="00626D86"/>
    <w:rsid w:val="006271F6"/>
    <w:rsid w:val="00627437"/>
    <w:rsid w:val="006274E4"/>
    <w:rsid w:val="00627CE4"/>
    <w:rsid w:val="00630283"/>
    <w:rsid w:val="00630606"/>
    <w:rsid w:val="00630721"/>
    <w:rsid w:val="006307BF"/>
    <w:rsid w:val="00630821"/>
    <w:rsid w:val="00630881"/>
    <w:rsid w:val="006309F6"/>
    <w:rsid w:val="00630D09"/>
    <w:rsid w:val="00630F6C"/>
    <w:rsid w:val="0063117C"/>
    <w:rsid w:val="006312F1"/>
    <w:rsid w:val="006315C2"/>
    <w:rsid w:val="00631697"/>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44C"/>
    <w:rsid w:val="006365A1"/>
    <w:rsid w:val="0063674E"/>
    <w:rsid w:val="00636814"/>
    <w:rsid w:val="006368CE"/>
    <w:rsid w:val="0063693C"/>
    <w:rsid w:val="006369EC"/>
    <w:rsid w:val="00636BBA"/>
    <w:rsid w:val="00636BE0"/>
    <w:rsid w:val="006378C4"/>
    <w:rsid w:val="00637C0D"/>
    <w:rsid w:val="00637CA8"/>
    <w:rsid w:val="00637DA8"/>
    <w:rsid w:val="00637F37"/>
    <w:rsid w:val="006400C1"/>
    <w:rsid w:val="00640143"/>
    <w:rsid w:val="0064084C"/>
    <w:rsid w:val="006408BA"/>
    <w:rsid w:val="00640B7B"/>
    <w:rsid w:val="00640EF9"/>
    <w:rsid w:val="006411D8"/>
    <w:rsid w:val="00641324"/>
    <w:rsid w:val="0064145E"/>
    <w:rsid w:val="006416C1"/>
    <w:rsid w:val="006423A2"/>
    <w:rsid w:val="00642AA9"/>
    <w:rsid w:val="00642BF4"/>
    <w:rsid w:val="00642CE6"/>
    <w:rsid w:val="00642D07"/>
    <w:rsid w:val="00642E43"/>
    <w:rsid w:val="00642F33"/>
    <w:rsid w:val="00643188"/>
    <w:rsid w:val="00643197"/>
    <w:rsid w:val="006431A2"/>
    <w:rsid w:val="006432FC"/>
    <w:rsid w:val="0064356E"/>
    <w:rsid w:val="00643606"/>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815"/>
    <w:rsid w:val="00645B41"/>
    <w:rsid w:val="00645B6B"/>
    <w:rsid w:val="00645BF8"/>
    <w:rsid w:val="00645C39"/>
    <w:rsid w:val="00645D04"/>
    <w:rsid w:val="0064607D"/>
    <w:rsid w:val="006461CD"/>
    <w:rsid w:val="0064631C"/>
    <w:rsid w:val="00646556"/>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7C9"/>
    <w:rsid w:val="006557D6"/>
    <w:rsid w:val="00655BFB"/>
    <w:rsid w:val="00655FB5"/>
    <w:rsid w:val="00656149"/>
    <w:rsid w:val="0065619A"/>
    <w:rsid w:val="00656354"/>
    <w:rsid w:val="0065648B"/>
    <w:rsid w:val="0065681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87"/>
    <w:rsid w:val="00661D88"/>
    <w:rsid w:val="00662170"/>
    <w:rsid w:val="006623A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EA"/>
    <w:rsid w:val="006722A8"/>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60A1"/>
    <w:rsid w:val="006766C6"/>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BD9"/>
    <w:rsid w:val="00684DE5"/>
    <w:rsid w:val="00684ED7"/>
    <w:rsid w:val="00684F00"/>
    <w:rsid w:val="0068517E"/>
    <w:rsid w:val="0068559C"/>
    <w:rsid w:val="006856F8"/>
    <w:rsid w:val="006858AC"/>
    <w:rsid w:val="006858AE"/>
    <w:rsid w:val="00685AF8"/>
    <w:rsid w:val="00685BD1"/>
    <w:rsid w:val="00685F3B"/>
    <w:rsid w:val="006862D3"/>
    <w:rsid w:val="006863BF"/>
    <w:rsid w:val="00686A0D"/>
    <w:rsid w:val="00686F8E"/>
    <w:rsid w:val="0068701E"/>
    <w:rsid w:val="0068710F"/>
    <w:rsid w:val="00687732"/>
    <w:rsid w:val="0068775F"/>
    <w:rsid w:val="0068798C"/>
    <w:rsid w:val="0068799A"/>
    <w:rsid w:val="00687BA3"/>
    <w:rsid w:val="00687F3D"/>
    <w:rsid w:val="00690000"/>
    <w:rsid w:val="0069010C"/>
    <w:rsid w:val="0069024A"/>
    <w:rsid w:val="006905A9"/>
    <w:rsid w:val="00690607"/>
    <w:rsid w:val="00690BED"/>
    <w:rsid w:val="00690D53"/>
    <w:rsid w:val="00690DDB"/>
    <w:rsid w:val="006916A5"/>
    <w:rsid w:val="006917CD"/>
    <w:rsid w:val="00691DA7"/>
    <w:rsid w:val="00691E53"/>
    <w:rsid w:val="00691F96"/>
    <w:rsid w:val="006921FC"/>
    <w:rsid w:val="00692202"/>
    <w:rsid w:val="0069237D"/>
    <w:rsid w:val="00692533"/>
    <w:rsid w:val="0069297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1FF"/>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E22"/>
    <w:rsid w:val="006A51B1"/>
    <w:rsid w:val="006A5205"/>
    <w:rsid w:val="006A5221"/>
    <w:rsid w:val="006A5258"/>
    <w:rsid w:val="006A5549"/>
    <w:rsid w:val="006A561B"/>
    <w:rsid w:val="006A5672"/>
    <w:rsid w:val="006A56CB"/>
    <w:rsid w:val="006A5A06"/>
    <w:rsid w:val="006A5F84"/>
    <w:rsid w:val="006A6174"/>
    <w:rsid w:val="006A6413"/>
    <w:rsid w:val="006A654A"/>
    <w:rsid w:val="006A6596"/>
    <w:rsid w:val="006A65B7"/>
    <w:rsid w:val="006A687B"/>
    <w:rsid w:val="006A6A3B"/>
    <w:rsid w:val="006A6D81"/>
    <w:rsid w:val="006A6F5C"/>
    <w:rsid w:val="006A73AC"/>
    <w:rsid w:val="006A74D6"/>
    <w:rsid w:val="006A7E8D"/>
    <w:rsid w:val="006B0063"/>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F1"/>
    <w:rsid w:val="006B4A62"/>
    <w:rsid w:val="006B4B9A"/>
    <w:rsid w:val="006B5011"/>
    <w:rsid w:val="006B536D"/>
    <w:rsid w:val="006B55B7"/>
    <w:rsid w:val="006B560E"/>
    <w:rsid w:val="006B5DC3"/>
    <w:rsid w:val="006B5DCF"/>
    <w:rsid w:val="006B5ED4"/>
    <w:rsid w:val="006B64C1"/>
    <w:rsid w:val="006B684E"/>
    <w:rsid w:val="006B695F"/>
    <w:rsid w:val="006B6984"/>
    <w:rsid w:val="006B6EA0"/>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A92"/>
    <w:rsid w:val="006C2D7E"/>
    <w:rsid w:val="006C2EBB"/>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543"/>
    <w:rsid w:val="006E05A7"/>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507"/>
    <w:rsid w:val="006F10B6"/>
    <w:rsid w:val="006F2359"/>
    <w:rsid w:val="006F23B2"/>
    <w:rsid w:val="006F25E4"/>
    <w:rsid w:val="006F27B1"/>
    <w:rsid w:val="006F2857"/>
    <w:rsid w:val="006F2BBE"/>
    <w:rsid w:val="006F2C2A"/>
    <w:rsid w:val="006F2E38"/>
    <w:rsid w:val="006F2E7B"/>
    <w:rsid w:val="006F322C"/>
    <w:rsid w:val="006F331F"/>
    <w:rsid w:val="006F3841"/>
    <w:rsid w:val="006F413A"/>
    <w:rsid w:val="006F43AF"/>
    <w:rsid w:val="006F48D3"/>
    <w:rsid w:val="006F49BC"/>
    <w:rsid w:val="006F4D8D"/>
    <w:rsid w:val="006F4F35"/>
    <w:rsid w:val="006F558E"/>
    <w:rsid w:val="006F5994"/>
    <w:rsid w:val="006F59EF"/>
    <w:rsid w:val="006F5B28"/>
    <w:rsid w:val="006F5B55"/>
    <w:rsid w:val="006F5CF0"/>
    <w:rsid w:val="006F5E53"/>
    <w:rsid w:val="006F5EBF"/>
    <w:rsid w:val="006F5F9D"/>
    <w:rsid w:val="006F5FA4"/>
    <w:rsid w:val="006F6E5D"/>
    <w:rsid w:val="006F6E71"/>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4AA"/>
    <w:rsid w:val="00702793"/>
    <w:rsid w:val="00702A76"/>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A7"/>
    <w:rsid w:val="00704318"/>
    <w:rsid w:val="007043FF"/>
    <w:rsid w:val="007045AA"/>
    <w:rsid w:val="007047EB"/>
    <w:rsid w:val="007048B0"/>
    <w:rsid w:val="007049CB"/>
    <w:rsid w:val="00704A9E"/>
    <w:rsid w:val="00704B99"/>
    <w:rsid w:val="00704F50"/>
    <w:rsid w:val="0070506C"/>
    <w:rsid w:val="0070512E"/>
    <w:rsid w:val="00705206"/>
    <w:rsid w:val="00705625"/>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D3B"/>
    <w:rsid w:val="00712DCD"/>
    <w:rsid w:val="0071363B"/>
    <w:rsid w:val="00713C2F"/>
    <w:rsid w:val="00714474"/>
    <w:rsid w:val="00714539"/>
    <w:rsid w:val="00714546"/>
    <w:rsid w:val="007146AD"/>
    <w:rsid w:val="0071494D"/>
    <w:rsid w:val="00714B52"/>
    <w:rsid w:val="00714C17"/>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201C6"/>
    <w:rsid w:val="00720332"/>
    <w:rsid w:val="007207E7"/>
    <w:rsid w:val="00720883"/>
    <w:rsid w:val="00720A57"/>
    <w:rsid w:val="00720C80"/>
    <w:rsid w:val="00720F8F"/>
    <w:rsid w:val="00720FF0"/>
    <w:rsid w:val="0072125A"/>
    <w:rsid w:val="007212D5"/>
    <w:rsid w:val="0072158C"/>
    <w:rsid w:val="00721664"/>
    <w:rsid w:val="00721836"/>
    <w:rsid w:val="007219E7"/>
    <w:rsid w:val="00721CE0"/>
    <w:rsid w:val="00721DD2"/>
    <w:rsid w:val="00721E5C"/>
    <w:rsid w:val="00721EAF"/>
    <w:rsid w:val="00721F87"/>
    <w:rsid w:val="00722040"/>
    <w:rsid w:val="00722351"/>
    <w:rsid w:val="00722357"/>
    <w:rsid w:val="0072271D"/>
    <w:rsid w:val="00722C01"/>
    <w:rsid w:val="00722F1B"/>
    <w:rsid w:val="00722FD8"/>
    <w:rsid w:val="0072376D"/>
    <w:rsid w:val="0072384C"/>
    <w:rsid w:val="00723968"/>
    <w:rsid w:val="007239BB"/>
    <w:rsid w:val="00723D27"/>
    <w:rsid w:val="00724869"/>
    <w:rsid w:val="00724874"/>
    <w:rsid w:val="00724D3E"/>
    <w:rsid w:val="00724E47"/>
    <w:rsid w:val="00725034"/>
    <w:rsid w:val="007251A5"/>
    <w:rsid w:val="00725356"/>
    <w:rsid w:val="007256FC"/>
    <w:rsid w:val="00725A4C"/>
    <w:rsid w:val="00725A5E"/>
    <w:rsid w:val="00725B13"/>
    <w:rsid w:val="00725C61"/>
    <w:rsid w:val="00725D7E"/>
    <w:rsid w:val="00725EE4"/>
    <w:rsid w:val="00725FAC"/>
    <w:rsid w:val="007261A1"/>
    <w:rsid w:val="0072641E"/>
    <w:rsid w:val="0072661D"/>
    <w:rsid w:val="00726A6E"/>
    <w:rsid w:val="00726BD2"/>
    <w:rsid w:val="00726D0F"/>
    <w:rsid w:val="00727325"/>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C92"/>
    <w:rsid w:val="00732D79"/>
    <w:rsid w:val="00732DFD"/>
    <w:rsid w:val="00733159"/>
    <w:rsid w:val="00733288"/>
    <w:rsid w:val="007333F0"/>
    <w:rsid w:val="007336EA"/>
    <w:rsid w:val="0073377A"/>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E4D"/>
    <w:rsid w:val="00734ED0"/>
    <w:rsid w:val="00734F3F"/>
    <w:rsid w:val="00735110"/>
    <w:rsid w:val="0073530A"/>
    <w:rsid w:val="0073548F"/>
    <w:rsid w:val="007358F7"/>
    <w:rsid w:val="00735B53"/>
    <w:rsid w:val="00735B7A"/>
    <w:rsid w:val="00735BE0"/>
    <w:rsid w:val="00735C46"/>
    <w:rsid w:val="00735D3A"/>
    <w:rsid w:val="00735D58"/>
    <w:rsid w:val="00735EF0"/>
    <w:rsid w:val="00735F97"/>
    <w:rsid w:val="007368CD"/>
    <w:rsid w:val="00736920"/>
    <w:rsid w:val="00736CF7"/>
    <w:rsid w:val="00736FC2"/>
    <w:rsid w:val="007370B7"/>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6027"/>
    <w:rsid w:val="0074604E"/>
    <w:rsid w:val="007460A7"/>
    <w:rsid w:val="007461DD"/>
    <w:rsid w:val="007464B2"/>
    <w:rsid w:val="00746702"/>
    <w:rsid w:val="0074679A"/>
    <w:rsid w:val="00747493"/>
    <w:rsid w:val="007475C9"/>
    <w:rsid w:val="007476BE"/>
    <w:rsid w:val="00747907"/>
    <w:rsid w:val="00747CFC"/>
    <w:rsid w:val="00747ED9"/>
    <w:rsid w:val="00747F91"/>
    <w:rsid w:val="007500EB"/>
    <w:rsid w:val="00750115"/>
    <w:rsid w:val="007501BF"/>
    <w:rsid w:val="0075026D"/>
    <w:rsid w:val="007502F0"/>
    <w:rsid w:val="00750349"/>
    <w:rsid w:val="007505A8"/>
    <w:rsid w:val="0075099C"/>
    <w:rsid w:val="00750BB8"/>
    <w:rsid w:val="00750C43"/>
    <w:rsid w:val="00750F47"/>
    <w:rsid w:val="0075136C"/>
    <w:rsid w:val="007518D2"/>
    <w:rsid w:val="00751AD7"/>
    <w:rsid w:val="00751C06"/>
    <w:rsid w:val="00751D22"/>
    <w:rsid w:val="00752235"/>
    <w:rsid w:val="007525E1"/>
    <w:rsid w:val="0075285B"/>
    <w:rsid w:val="00752E30"/>
    <w:rsid w:val="00752E6B"/>
    <w:rsid w:val="00752FFB"/>
    <w:rsid w:val="007531B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CA"/>
    <w:rsid w:val="00764CD4"/>
    <w:rsid w:val="00764D8F"/>
    <w:rsid w:val="00764EAF"/>
    <w:rsid w:val="00764EDD"/>
    <w:rsid w:val="00765078"/>
    <w:rsid w:val="007650BE"/>
    <w:rsid w:val="0076537D"/>
    <w:rsid w:val="0076542E"/>
    <w:rsid w:val="00765643"/>
    <w:rsid w:val="0076587F"/>
    <w:rsid w:val="00765A28"/>
    <w:rsid w:val="00765A56"/>
    <w:rsid w:val="00766174"/>
    <w:rsid w:val="00766533"/>
    <w:rsid w:val="00766655"/>
    <w:rsid w:val="00766B52"/>
    <w:rsid w:val="00766B71"/>
    <w:rsid w:val="00766BA6"/>
    <w:rsid w:val="00766C9B"/>
    <w:rsid w:val="007676B9"/>
    <w:rsid w:val="00767D8A"/>
    <w:rsid w:val="00770067"/>
    <w:rsid w:val="00770222"/>
    <w:rsid w:val="0077083A"/>
    <w:rsid w:val="0077089D"/>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7F"/>
    <w:rsid w:val="0077415B"/>
    <w:rsid w:val="00774295"/>
    <w:rsid w:val="007744B2"/>
    <w:rsid w:val="0077460A"/>
    <w:rsid w:val="00774AF6"/>
    <w:rsid w:val="00774B8B"/>
    <w:rsid w:val="00774C77"/>
    <w:rsid w:val="00774E57"/>
    <w:rsid w:val="00774EA2"/>
    <w:rsid w:val="00774F89"/>
    <w:rsid w:val="00774F9E"/>
    <w:rsid w:val="0077505B"/>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E7"/>
    <w:rsid w:val="00782E15"/>
    <w:rsid w:val="00782F51"/>
    <w:rsid w:val="00782FF3"/>
    <w:rsid w:val="007830DB"/>
    <w:rsid w:val="0078318C"/>
    <w:rsid w:val="0078322A"/>
    <w:rsid w:val="00783231"/>
    <w:rsid w:val="007839DA"/>
    <w:rsid w:val="00783D77"/>
    <w:rsid w:val="00783FA6"/>
    <w:rsid w:val="007841B6"/>
    <w:rsid w:val="00784414"/>
    <w:rsid w:val="0078486B"/>
    <w:rsid w:val="007849F9"/>
    <w:rsid w:val="00784C51"/>
    <w:rsid w:val="007851BB"/>
    <w:rsid w:val="0078550A"/>
    <w:rsid w:val="007856A8"/>
    <w:rsid w:val="00785AF9"/>
    <w:rsid w:val="00785B3C"/>
    <w:rsid w:val="0078623A"/>
    <w:rsid w:val="0078629B"/>
    <w:rsid w:val="0078685B"/>
    <w:rsid w:val="00786F9C"/>
    <w:rsid w:val="00786FFB"/>
    <w:rsid w:val="00787148"/>
    <w:rsid w:val="007876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6"/>
    <w:rsid w:val="007915A4"/>
    <w:rsid w:val="0079169F"/>
    <w:rsid w:val="00791940"/>
    <w:rsid w:val="00791B42"/>
    <w:rsid w:val="00791F25"/>
    <w:rsid w:val="00791FA8"/>
    <w:rsid w:val="007928F0"/>
    <w:rsid w:val="00792AB3"/>
    <w:rsid w:val="00792C47"/>
    <w:rsid w:val="00793035"/>
    <w:rsid w:val="0079348B"/>
    <w:rsid w:val="007934F9"/>
    <w:rsid w:val="0079373D"/>
    <w:rsid w:val="00793B5C"/>
    <w:rsid w:val="007946B8"/>
    <w:rsid w:val="007949D7"/>
    <w:rsid w:val="00794D7B"/>
    <w:rsid w:val="007956AF"/>
    <w:rsid w:val="00795B3B"/>
    <w:rsid w:val="00795D52"/>
    <w:rsid w:val="007960D3"/>
    <w:rsid w:val="00796332"/>
    <w:rsid w:val="0079634E"/>
    <w:rsid w:val="00796578"/>
    <w:rsid w:val="0079696B"/>
    <w:rsid w:val="00797412"/>
    <w:rsid w:val="007978F1"/>
    <w:rsid w:val="007979EE"/>
    <w:rsid w:val="00797B4F"/>
    <w:rsid w:val="00797CC7"/>
    <w:rsid w:val="00797D2F"/>
    <w:rsid w:val="007A00DA"/>
    <w:rsid w:val="007A0280"/>
    <w:rsid w:val="007A0353"/>
    <w:rsid w:val="007A0649"/>
    <w:rsid w:val="007A0672"/>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A6"/>
    <w:rsid w:val="007C070F"/>
    <w:rsid w:val="007C0AF6"/>
    <w:rsid w:val="007C0C93"/>
    <w:rsid w:val="007C101D"/>
    <w:rsid w:val="007C147F"/>
    <w:rsid w:val="007C17AB"/>
    <w:rsid w:val="007C1A28"/>
    <w:rsid w:val="007C1B86"/>
    <w:rsid w:val="007C1BA6"/>
    <w:rsid w:val="007C24D7"/>
    <w:rsid w:val="007C28DD"/>
    <w:rsid w:val="007C2A82"/>
    <w:rsid w:val="007C2E4E"/>
    <w:rsid w:val="007C330C"/>
    <w:rsid w:val="007C3353"/>
    <w:rsid w:val="007C33D1"/>
    <w:rsid w:val="007C35E8"/>
    <w:rsid w:val="007C3715"/>
    <w:rsid w:val="007C3B20"/>
    <w:rsid w:val="007C3B78"/>
    <w:rsid w:val="007C3CE4"/>
    <w:rsid w:val="007C3F89"/>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73"/>
    <w:rsid w:val="007D0824"/>
    <w:rsid w:val="007D095F"/>
    <w:rsid w:val="007D0AD4"/>
    <w:rsid w:val="007D0B0E"/>
    <w:rsid w:val="007D0BBE"/>
    <w:rsid w:val="007D12E3"/>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AA3"/>
    <w:rsid w:val="007D7D18"/>
    <w:rsid w:val="007E037A"/>
    <w:rsid w:val="007E0805"/>
    <w:rsid w:val="007E082A"/>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31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437"/>
    <w:rsid w:val="007F2625"/>
    <w:rsid w:val="007F272B"/>
    <w:rsid w:val="007F288A"/>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782"/>
    <w:rsid w:val="00801C3F"/>
    <w:rsid w:val="00801E23"/>
    <w:rsid w:val="00801E63"/>
    <w:rsid w:val="00801EF4"/>
    <w:rsid w:val="00801FAA"/>
    <w:rsid w:val="008020BD"/>
    <w:rsid w:val="008022CB"/>
    <w:rsid w:val="00802619"/>
    <w:rsid w:val="00802923"/>
    <w:rsid w:val="0080315D"/>
    <w:rsid w:val="00803499"/>
    <w:rsid w:val="0080353B"/>
    <w:rsid w:val="008037C9"/>
    <w:rsid w:val="008038F6"/>
    <w:rsid w:val="00803B2F"/>
    <w:rsid w:val="00803D84"/>
    <w:rsid w:val="00803EAD"/>
    <w:rsid w:val="008040CC"/>
    <w:rsid w:val="00804195"/>
    <w:rsid w:val="008041EB"/>
    <w:rsid w:val="00804673"/>
    <w:rsid w:val="008046AB"/>
    <w:rsid w:val="008047D9"/>
    <w:rsid w:val="00804879"/>
    <w:rsid w:val="00804894"/>
    <w:rsid w:val="00804967"/>
    <w:rsid w:val="00804D59"/>
    <w:rsid w:val="00804FED"/>
    <w:rsid w:val="0080509B"/>
    <w:rsid w:val="00805168"/>
    <w:rsid w:val="00805789"/>
    <w:rsid w:val="00805978"/>
    <w:rsid w:val="00805DA5"/>
    <w:rsid w:val="00805EFB"/>
    <w:rsid w:val="00805FB9"/>
    <w:rsid w:val="00806235"/>
    <w:rsid w:val="0080666F"/>
    <w:rsid w:val="008067B4"/>
    <w:rsid w:val="0080686D"/>
    <w:rsid w:val="0080690A"/>
    <w:rsid w:val="008069B4"/>
    <w:rsid w:val="00806AA4"/>
    <w:rsid w:val="00806BE0"/>
    <w:rsid w:val="00806CC1"/>
    <w:rsid w:val="00807021"/>
    <w:rsid w:val="00807089"/>
    <w:rsid w:val="008072D1"/>
    <w:rsid w:val="0080786E"/>
    <w:rsid w:val="00807A7C"/>
    <w:rsid w:val="00807B7B"/>
    <w:rsid w:val="00807CC8"/>
    <w:rsid w:val="00807FD5"/>
    <w:rsid w:val="00810057"/>
    <w:rsid w:val="00810A61"/>
    <w:rsid w:val="00810B26"/>
    <w:rsid w:val="00810C26"/>
    <w:rsid w:val="00811256"/>
    <w:rsid w:val="00811300"/>
    <w:rsid w:val="00811366"/>
    <w:rsid w:val="00811B16"/>
    <w:rsid w:val="00811D51"/>
    <w:rsid w:val="00811D52"/>
    <w:rsid w:val="00812142"/>
    <w:rsid w:val="0081224B"/>
    <w:rsid w:val="00812616"/>
    <w:rsid w:val="008126CB"/>
    <w:rsid w:val="00812738"/>
    <w:rsid w:val="008129A7"/>
    <w:rsid w:val="00812A0B"/>
    <w:rsid w:val="00812E66"/>
    <w:rsid w:val="00813295"/>
    <w:rsid w:val="008133BB"/>
    <w:rsid w:val="008136AE"/>
    <w:rsid w:val="0081371D"/>
    <w:rsid w:val="00813878"/>
    <w:rsid w:val="00813918"/>
    <w:rsid w:val="00813A5F"/>
    <w:rsid w:val="00813B5D"/>
    <w:rsid w:val="00813D01"/>
    <w:rsid w:val="00813D44"/>
    <w:rsid w:val="00813FC8"/>
    <w:rsid w:val="008140DF"/>
    <w:rsid w:val="0081453C"/>
    <w:rsid w:val="00814B59"/>
    <w:rsid w:val="00814C36"/>
    <w:rsid w:val="00814EE9"/>
    <w:rsid w:val="00815461"/>
    <w:rsid w:val="008157B0"/>
    <w:rsid w:val="008157C9"/>
    <w:rsid w:val="00815A80"/>
    <w:rsid w:val="00815C2F"/>
    <w:rsid w:val="00815CCF"/>
    <w:rsid w:val="00815DA3"/>
    <w:rsid w:val="00815E1A"/>
    <w:rsid w:val="0081609B"/>
    <w:rsid w:val="008160CC"/>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35"/>
    <w:rsid w:val="0084222F"/>
    <w:rsid w:val="008423C4"/>
    <w:rsid w:val="008426EE"/>
    <w:rsid w:val="00842726"/>
    <w:rsid w:val="008428AF"/>
    <w:rsid w:val="00842C0E"/>
    <w:rsid w:val="00842C41"/>
    <w:rsid w:val="00842DDD"/>
    <w:rsid w:val="00842F43"/>
    <w:rsid w:val="00842FA5"/>
    <w:rsid w:val="0084373E"/>
    <w:rsid w:val="008437A1"/>
    <w:rsid w:val="00843BCD"/>
    <w:rsid w:val="00844205"/>
    <w:rsid w:val="00844B53"/>
    <w:rsid w:val="00844B89"/>
    <w:rsid w:val="00844E48"/>
    <w:rsid w:val="008450D1"/>
    <w:rsid w:val="008450D5"/>
    <w:rsid w:val="00845710"/>
    <w:rsid w:val="00845B4D"/>
    <w:rsid w:val="00845D71"/>
    <w:rsid w:val="00845E90"/>
    <w:rsid w:val="00846089"/>
    <w:rsid w:val="00846266"/>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96A"/>
    <w:rsid w:val="00850B9D"/>
    <w:rsid w:val="008510F6"/>
    <w:rsid w:val="0085114D"/>
    <w:rsid w:val="008511F0"/>
    <w:rsid w:val="0085137A"/>
    <w:rsid w:val="0085170B"/>
    <w:rsid w:val="00851788"/>
    <w:rsid w:val="00851D10"/>
    <w:rsid w:val="008520EF"/>
    <w:rsid w:val="00852163"/>
    <w:rsid w:val="00852C40"/>
    <w:rsid w:val="00852EF0"/>
    <w:rsid w:val="00853115"/>
    <w:rsid w:val="00853405"/>
    <w:rsid w:val="00853A7B"/>
    <w:rsid w:val="0085429C"/>
    <w:rsid w:val="00854731"/>
    <w:rsid w:val="00854BF3"/>
    <w:rsid w:val="0085514F"/>
    <w:rsid w:val="00855303"/>
    <w:rsid w:val="008553D8"/>
    <w:rsid w:val="00855413"/>
    <w:rsid w:val="0085586F"/>
    <w:rsid w:val="00855F48"/>
    <w:rsid w:val="00855FF9"/>
    <w:rsid w:val="008560D9"/>
    <w:rsid w:val="0085622D"/>
    <w:rsid w:val="00856970"/>
    <w:rsid w:val="00856D1D"/>
    <w:rsid w:val="00856D3F"/>
    <w:rsid w:val="00856E55"/>
    <w:rsid w:val="00856F7F"/>
    <w:rsid w:val="00857379"/>
    <w:rsid w:val="00857445"/>
    <w:rsid w:val="0085752B"/>
    <w:rsid w:val="0085759D"/>
    <w:rsid w:val="0085769E"/>
    <w:rsid w:val="008578A4"/>
    <w:rsid w:val="00857C76"/>
    <w:rsid w:val="00857CB6"/>
    <w:rsid w:val="00857E4E"/>
    <w:rsid w:val="00857F52"/>
    <w:rsid w:val="00857FBD"/>
    <w:rsid w:val="0086017D"/>
    <w:rsid w:val="00860D52"/>
    <w:rsid w:val="0086100B"/>
    <w:rsid w:val="0086100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D34"/>
    <w:rsid w:val="00863D85"/>
    <w:rsid w:val="00863E4C"/>
    <w:rsid w:val="00864382"/>
    <w:rsid w:val="00864987"/>
    <w:rsid w:val="0086498D"/>
    <w:rsid w:val="00864E56"/>
    <w:rsid w:val="0086505D"/>
    <w:rsid w:val="00865534"/>
    <w:rsid w:val="008656E5"/>
    <w:rsid w:val="0086589B"/>
    <w:rsid w:val="00865B16"/>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A18"/>
    <w:rsid w:val="00881BFA"/>
    <w:rsid w:val="00881E88"/>
    <w:rsid w:val="008825CF"/>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24E"/>
    <w:rsid w:val="00893277"/>
    <w:rsid w:val="00893360"/>
    <w:rsid w:val="00893467"/>
    <w:rsid w:val="00893772"/>
    <w:rsid w:val="00893940"/>
    <w:rsid w:val="00893F27"/>
    <w:rsid w:val="00893F38"/>
    <w:rsid w:val="008940F8"/>
    <w:rsid w:val="00894827"/>
    <w:rsid w:val="00894AE1"/>
    <w:rsid w:val="00894B32"/>
    <w:rsid w:val="00894B57"/>
    <w:rsid w:val="00894C57"/>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48B"/>
    <w:rsid w:val="008A7544"/>
    <w:rsid w:val="008A78D8"/>
    <w:rsid w:val="008A7A4D"/>
    <w:rsid w:val="008A7AF2"/>
    <w:rsid w:val="008A7B40"/>
    <w:rsid w:val="008A7DA7"/>
    <w:rsid w:val="008B0122"/>
    <w:rsid w:val="008B0959"/>
    <w:rsid w:val="008B0A3E"/>
    <w:rsid w:val="008B0AA4"/>
    <w:rsid w:val="008B0B7A"/>
    <w:rsid w:val="008B0C23"/>
    <w:rsid w:val="008B0DCF"/>
    <w:rsid w:val="008B10C1"/>
    <w:rsid w:val="008B1357"/>
    <w:rsid w:val="008B141E"/>
    <w:rsid w:val="008B1894"/>
    <w:rsid w:val="008B1924"/>
    <w:rsid w:val="008B1A48"/>
    <w:rsid w:val="008B1A61"/>
    <w:rsid w:val="008B2161"/>
    <w:rsid w:val="008B219B"/>
    <w:rsid w:val="008B2294"/>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A0A"/>
    <w:rsid w:val="008C2A67"/>
    <w:rsid w:val="008C2BD7"/>
    <w:rsid w:val="008C2BF9"/>
    <w:rsid w:val="008C2D8F"/>
    <w:rsid w:val="008C343C"/>
    <w:rsid w:val="008C34C1"/>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570"/>
    <w:rsid w:val="008E0680"/>
    <w:rsid w:val="008E088D"/>
    <w:rsid w:val="008E0CA8"/>
    <w:rsid w:val="008E11E1"/>
    <w:rsid w:val="008E1751"/>
    <w:rsid w:val="008E17B2"/>
    <w:rsid w:val="008E181B"/>
    <w:rsid w:val="008E1906"/>
    <w:rsid w:val="008E1915"/>
    <w:rsid w:val="008E1991"/>
    <w:rsid w:val="008E2070"/>
    <w:rsid w:val="008E21DF"/>
    <w:rsid w:val="008E264E"/>
    <w:rsid w:val="008E28E4"/>
    <w:rsid w:val="008E2C00"/>
    <w:rsid w:val="008E2EFB"/>
    <w:rsid w:val="008E30D3"/>
    <w:rsid w:val="008E30F4"/>
    <w:rsid w:val="008E3132"/>
    <w:rsid w:val="008E3236"/>
    <w:rsid w:val="008E3750"/>
    <w:rsid w:val="008E3829"/>
    <w:rsid w:val="008E3BCD"/>
    <w:rsid w:val="008E3CAA"/>
    <w:rsid w:val="008E3FF6"/>
    <w:rsid w:val="008E46E4"/>
    <w:rsid w:val="008E4DA9"/>
    <w:rsid w:val="008E4F2D"/>
    <w:rsid w:val="008E556B"/>
    <w:rsid w:val="008E576F"/>
    <w:rsid w:val="008E57F4"/>
    <w:rsid w:val="008E58AE"/>
    <w:rsid w:val="008E61D5"/>
    <w:rsid w:val="008E6266"/>
    <w:rsid w:val="008E63FB"/>
    <w:rsid w:val="008E67CB"/>
    <w:rsid w:val="008E67DC"/>
    <w:rsid w:val="008E6AE0"/>
    <w:rsid w:val="008E6BAE"/>
    <w:rsid w:val="008E6D67"/>
    <w:rsid w:val="008E6DA9"/>
    <w:rsid w:val="008E71E8"/>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B0A"/>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EAA"/>
    <w:rsid w:val="00906EBC"/>
    <w:rsid w:val="00906F5B"/>
    <w:rsid w:val="00906FF5"/>
    <w:rsid w:val="00907303"/>
    <w:rsid w:val="009075C1"/>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610"/>
    <w:rsid w:val="009148C8"/>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C04"/>
    <w:rsid w:val="00923E14"/>
    <w:rsid w:val="00923F04"/>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66D"/>
    <w:rsid w:val="0092775D"/>
    <w:rsid w:val="00927D4C"/>
    <w:rsid w:val="00927E5E"/>
    <w:rsid w:val="00927EF5"/>
    <w:rsid w:val="00930132"/>
    <w:rsid w:val="009301AD"/>
    <w:rsid w:val="009302F8"/>
    <w:rsid w:val="00930356"/>
    <w:rsid w:val="00930532"/>
    <w:rsid w:val="0093097F"/>
    <w:rsid w:val="009309C0"/>
    <w:rsid w:val="00930E0D"/>
    <w:rsid w:val="0093111B"/>
    <w:rsid w:val="0093132A"/>
    <w:rsid w:val="009314FE"/>
    <w:rsid w:val="0093158E"/>
    <w:rsid w:val="009315FB"/>
    <w:rsid w:val="009317E8"/>
    <w:rsid w:val="009317E9"/>
    <w:rsid w:val="00931872"/>
    <w:rsid w:val="00931CE5"/>
    <w:rsid w:val="00931D9F"/>
    <w:rsid w:val="00932297"/>
    <w:rsid w:val="009325BF"/>
    <w:rsid w:val="009326F9"/>
    <w:rsid w:val="00932841"/>
    <w:rsid w:val="00932CEF"/>
    <w:rsid w:val="00932E1A"/>
    <w:rsid w:val="00932F74"/>
    <w:rsid w:val="00933086"/>
    <w:rsid w:val="0093311A"/>
    <w:rsid w:val="00933278"/>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F97"/>
    <w:rsid w:val="009370FC"/>
    <w:rsid w:val="009372D3"/>
    <w:rsid w:val="00937371"/>
    <w:rsid w:val="00937540"/>
    <w:rsid w:val="00937681"/>
    <w:rsid w:val="009376AC"/>
    <w:rsid w:val="00937732"/>
    <w:rsid w:val="009378CC"/>
    <w:rsid w:val="00937979"/>
    <w:rsid w:val="00937D00"/>
    <w:rsid w:val="00940594"/>
    <w:rsid w:val="009405BD"/>
    <w:rsid w:val="00940A00"/>
    <w:rsid w:val="00940B26"/>
    <w:rsid w:val="00940B65"/>
    <w:rsid w:val="00940DB7"/>
    <w:rsid w:val="00940F29"/>
    <w:rsid w:val="00941093"/>
    <w:rsid w:val="0094148B"/>
    <w:rsid w:val="00941727"/>
    <w:rsid w:val="00941B64"/>
    <w:rsid w:val="00941CD2"/>
    <w:rsid w:val="00941CF0"/>
    <w:rsid w:val="00942021"/>
    <w:rsid w:val="0094219B"/>
    <w:rsid w:val="009424C3"/>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6FE"/>
    <w:rsid w:val="00947823"/>
    <w:rsid w:val="00947C10"/>
    <w:rsid w:val="00947CA1"/>
    <w:rsid w:val="00947CF2"/>
    <w:rsid w:val="0095003E"/>
    <w:rsid w:val="00950460"/>
    <w:rsid w:val="009504C5"/>
    <w:rsid w:val="009505B6"/>
    <w:rsid w:val="009507D6"/>
    <w:rsid w:val="00950F19"/>
    <w:rsid w:val="009511FD"/>
    <w:rsid w:val="00951339"/>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7DD"/>
    <w:rsid w:val="009618DB"/>
    <w:rsid w:val="00961D05"/>
    <w:rsid w:val="00962047"/>
    <w:rsid w:val="00962050"/>
    <w:rsid w:val="00962254"/>
    <w:rsid w:val="009625AA"/>
    <w:rsid w:val="009627BF"/>
    <w:rsid w:val="009627D8"/>
    <w:rsid w:val="00962FD2"/>
    <w:rsid w:val="009630E5"/>
    <w:rsid w:val="00963583"/>
    <w:rsid w:val="0096380C"/>
    <w:rsid w:val="00963B78"/>
    <w:rsid w:val="00963C8E"/>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62B"/>
    <w:rsid w:val="0098265E"/>
    <w:rsid w:val="00982A75"/>
    <w:rsid w:val="00982B80"/>
    <w:rsid w:val="00982F22"/>
    <w:rsid w:val="00983028"/>
    <w:rsid w:val="009833D8"/>
    <w:rsid w:val="0098409B"/>
    <w:rsid w:val="00984211"/>
    <w:rsid w:val="009844FC"/>
    <w:rsid w:val="009846A1"/>
    <w:rsid w:val="009847E9"/>
    <w:rsid w:val="00984E38"/>
    <w:rsid w:val="00984F35"/>
    <w:rsid w:val="00984F39"/>
    <w:rsid w:val="00984F81"/>
    <w:rsid w:val="00985540"/>
    <w:rsid w:val="009859B3"/>
    <w:rsid w:val="00985C74"/>
    <w:rsid w:val="00986360"/>
    <w:rsid w:val="009868E2"/>
    <w:rsid w:val="00986AB4"/>
    <w:rsid w:val="00986CE1"/>
    <w:rsid w:val="00986DD8"/>
    <w:rsid w:val="00986E7F"/>
    <w:rsid w:val="00987455"/>
    <w:rsid w:val="00987B2E"/>
    <w:rsid w:val="00987CCC"/>
    <w:rsid w:val="00987E87"/>
    <w:rsid w:val="00987F60"/>
    <w:rsid w:val="00990089"/>
    <w:rsid w:val="0099016D"/>
    <w:rsid w:val="00990281"/>
    <w:rsid w:val="0099072B"/>
    <w:rsid w:val="009909AE"/>
    <w:rsid w:val="00990B75"/>
    <w:rsid w:val="00991B9D"/>
    <w:rsid w:val="00991BF3"/>
    <w:rsid w:val="00991E18"/>
    <w:rsid w:val="00991F99"/>
    <w:rsid w:val="00991FE2"/>
    <w:rsid w:val="00992055"/>
    <w:rsid w:val="00992214"/>
    <w:rsid w:val="00992382"/>
    <w:rsid w:val="0099249E"/>
    <w:rsid w:val="00992574"/>
    <w:rsid w:val="00992F01"/>
    <w:rsid w:val="00993045"/>
    <w:rsid w:val="009930AF"/>
    <w:rsid w:val="0099331B"/>
    <w:rsid w:val="00993761"/>
    <w:rsid w:val="009939BE"/>
    <w:rsid w:val="00993DC0"/>
    <w:rsid w:val="009946B3"/>
    <w:rsid w:val="009949AF"/>
    <w:rsid w:val="00994A37"/>
    <w:rsid w:val="00994BD3"/>
    <w:rsid w:val="00994DCA"/>
    <w:rsid w:val="00995952"/>
    <w:rsid w:val="009959FA"/>
    <w:rsid w:val="009959FE"/>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9AC"/>
    <w:rsid w:val="009A5E69"/>
    <w:rsid w:val="009A61DD"/>
    <w:rsid w:val="009A6BA8"/>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117"/>
    <w:rsid w:val="009B259B"/>
    <w:rsid w:val="009B25CE"/>
    <w:rsid w:val="009B2781"/>
    <w:rsid w:val="009B2865"/>
    <w:rsid w:val="009B3479"/>
    <w:rsid w:val="009B370B"/>
    <w:rsid w:val="009B3768"/>
    <w:rsid w:val="009B3B3B"/>
    <w:rsid w:val="009B3E38"/>
    <w:rsid w:val="009B3F11"/>
    <w:rsid w:val="009B42CD"/>
    <w:rsid w:val="009B435D"/>
    <w:rsid w:val="009B4795"/>
    <w:rsid w:val="009B4829"/>
    <w:rsid w:val="009B4FC4"/>
    <w:rsid w:val="009B5229"/>
    <w:rsid w:val="009B5510"/>
    <w:rsid w:val="009B55B3"/>
    <w:rsid w:val="009B5A5F"/>
    <w:rsid w:val="009B5D14"/>
    <w:rsid w:val="009B6030"/>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F5F"/>
    <w:rsid w:val="009C2426"/>
    <w:rsid w:val="009C2626"/>
    <w:rsid w:val="009C268F"/>
    <w:rsid w:val="009C26CF"/>
    <w:rsid w:val="009C26FE"/>
    <w:rsid w:val="009C27D5"/>
    <w:rsid w:val="009C28B6"/>
    <w:rsid w:val="009C2EEF"/>
    <w:rsid w:val="009C31A9"/>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65A"/>
    <w:rsid w:val="009C6D22"/>
    <w:rsid w:val="009C6E66"/>
    <w:rsid w:val="009C6FFB"/>
    <w:rsid w:val="009C704D"/>
    <w:rsid w:val="009C72F5"/>
    <w:rsid w:val="009C7307"/>
    <w:rsid w:val="009C7A04"/>
    <w:rsid w:val="009C7AE4"/>
    <w:rsid w:val="009C7BFC"/>
    <w:rsid w:val="009C7D70"/>
    <w:rsid w:val="009D0215"/>
    <w:rsid w:val="009D02CE"/>
    <w:rsid w:val="009D034B"/>
    <w:rsid w:val="009D0408"/>
    <w:rsid w:val="009D04A3"/>
    <w:rsid w:val="009D04CD"/>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6D"/>
    <w:rsid w:val="009D3D25"/>
    <w:rsid w:val="009D4287"/>
    <w:rsid w:val="009D445C"/>
    <w:rsid w:val="009D4500"/>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3FC"/>
    <w:rsid w:val="009F340E"/>
    <w:rsid w:val="009F342D"/>
    <w:rsid w:val="009F3446"/>
    <w:rsid w:val="009F357F"/>
    <w:rsid w:val="009F3A32"/>
    <w:rsid w:val="009F3CF7"/>
    <w:rsid w:val="009F3D1B"/>
    <w:rsid w:val="009F3E6E"/>
    <w:rsid w:val="009F416E"/>
    <w:rsid w:val="009F43EA"/>
    <w:rsid w:val="009F4547"/>
    <w:rsid w:val="009F45D0"/>
    <w:rsid w:val="009F4744"/>
    <w:rsid w:val="009F4970"/>
    <w:rsid w:val="009F4994"/>
    <w:rsid w:val="009F4ACC"/>
    <w:rsid w:val="009F4BC3"/>
    <w:rsid w:val="009F4F4A"/>
    <w:rsid w:val="009F5104"/>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2B1"/>
    <w:rsid w:val="009F632F"/>
    <w:rsid w:val="009F658D"/>
    <w:rsid w:val="009F666C"/>
    <w:rsid w:val="009F6813"/>
    <w:rsid w:val="009F6DB6"/>
    <w:rsid w:val="009F6E46"/>
    <w:rsid w:val="009F6EF0"/>
    <w:rsid w:val="009F7119"/>
    <w:rsid w:val="009F7422"/>
    <w:rsid w:val="009F7455"/>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106D"/>
    <w:rsid w:val="00A01421"/>
    <w:rsid w:val="00A016E3"/>
    <w:rsid w:val="00A017D6"/>
    <w:rsid w:val="00A018FD"/>
    <w:rsid w:val="00A01BBF"/>
    <w:rsid w:val="00A01D7E"/>
    <w:rsid w:val="00A01E1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459"/>
    <w:rsid w:val="00A077A5"/>
    <w:rsid w:val="00A07B9A"/>
    <w:rsid w:val="00A07EBF"/>
    <w:rsid w:val="00A10056"/>
    <w:rsid w:val="00A1024E"/>
    <w:rsid w:val="00A103EE"/>
    <w:rsid w:val="00A10652"/>
    <w:rsid w:val="00A109BE"/>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524A"/>
    <w:rsid w:val="00A15621"/>
    <w:rsid w:val="00A15955"/>
    <w:rsid w:val="00A15CA6"/>
    <w:rsid w:val="00A15F98"/>
    <w:rsid w:val="00A1618B"/>
    <w:rsid w:val="00A162FB"/>
    <w:rsid w:val="00A16408"/>
    <w:rsid w:val="00A16500"/>
    <w:rsid w:val="00A1691A"/>
    <w:rsid w:val="00A16B43"/>
    <w:rsid w:val="00A16F9F"/>
    <w:rsid w:val="00A1712B"/>
    <w:rsid w:val="00A17195"/>
    <w:rsid w:val="00A172AE"/>
    <w:rsid w:val="00A1746E"/>
    <w:rsid w:val="00A175C2"/>
    <w:rsid w:val="00A17702"/>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A7"/>
    <w:rsid w:val="00A25A4D"/>
    <w:rsid w:val="00A25D56"/>
    <w:rsid w:val="00A25F11"/>
    <w:rsid w:val="00A26082"/>
    <w:rsid w:val="00A2658C"/>
    <w:rsid w:val="00A26732"/>
    <w:rsid w:val="00A269E6"/>
    <w:rsid w:val="00A26BEE"/>
    <w:rsid w:val="00A26C79"/>
    <w:rsid w:val="00A26CE0"/>
    <w:rsid w:val="00A26DAF"/>
    <w:rsid w:val="00A273CE"/>
    <w:rsid w:val="00A275F7"/>
    <w:rsid w:val="00A27707"/>
    <w:rsid w:val="00A27795"/>
    <w:rsid w:val="00A27888"/>
    <w:rsid w:val="00A279D5"/>
    <w:rsid w:val="00A27D2A"/>
    <w:rsid w:val="00A27F62"/>
    <w:rsid w:val="00A30271"/>
    <w:rsid w:val="00A30290"/>
    <w:rsid w:val="00A30AA3"/>
    <w:rsid w:val="00A30C6D"/>
    <w:rsid w:val="00A30F6A"/>
    <w:rsid w:val="00A31DDA"/>
    <w:rsid w:val="00A31E7B"/>
    <w:rsid w:val="00A3211A"/>
    <w:rsid w:val="00A3214C"/>
    <w:rsid w:val="00A321CA"/>
    <w:rsid w:val="00A3224E"/>
    <w:rsid w:val="00A327A0"/>
    <w:rsid w:val="00A327FA"/>
    <w:rsid w:val="00A329DA"/>
    <w:rsid w:val="00A32B2B"/>
    <w:rsid w:val="00A32B88"/>
    <w:rsid w:val="00A32BD3"/>
    <w:rsid w:val="00A32D5A"/>
    <w:rsid w:val="00A32D6A"/>
    <w:rsid w:val="00A32F2E"/>
    <w:rsid w:val="00A33235"/>
    <w:rsid w:val="00A3368A"/>
    <w:rsid w:val="00A33712"/>
    <w:rsid w:val="00A3384F"/>
    <w:rsid w:val="00A33855"/>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78"/>
    <w:rsid w:val="00A45F29"/>
    <w:rsid w:val="00A45FA3"/>
    <w:rsid w:val="00A4601C"/>
    <w:rsid w:val="00A462BB"/>
    <w:rsid w:val="00A4639C"/>
    <w:rsid w:val="00A46467"/>
    <w:rsid w:val="00A46499"/>
    <w:rsid w:val="00A46A03"/>
    <w:rsid w:val="00A46BFE"/>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829"/>
    <w:rsid w:val="00A519A2"/>
    <w:rsid w:val="00A51A9D"/>
    <w:rsid w:val="00A51E97"/>
    <w:rsid w:val="00A52190"/>
    <w:rsid w:val="00A5252A"/>
    <w:rsid w:val="00A526AB"/>
    <w:rsid w:val="00A528FF"/>
    <w:rsid w:val="00A52989"/>
    <w:rsid w:val="00A53094"/>
    <w:rsid w:val="00A534B9"/>
    <w:rsid w:val="00A537EF"/>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3D"/>
    <w:rsid w:val="00A62864"/>
    <w:rsid w:val="00A628AD"/>
    <w:rsid w:val="00A62D34"/>
    <w:rsid w:val="00A63080"/>
    <w:rsid w:val="00A63294"/>
    <w:rsid w:val="00A633DB"/>
    <w:rsid w:val="00A63404"/>
    <w:rsid w:val="00A63450"/>
    <w:rsid w:val="00A637C1"/>
    <w:rsid w:val="00A64448"/>
    <w:rsid w:val="00A644A1"/>
    <w:rsid w:val="00A644B3"/>
    <w:rsid w:val="00A644D6"/>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EB"/>
    <w:rsid w:val="00A75468"/>
    <w:rsid w:val="00A75849"/>
    <w:rsid w:val="00A75871"/>
    <w:rsid w:val="00A75ADF"/>
    <w:rsid w:val="00A75F0A"/>
    <w:rsid w:val="00A76128"/>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63B"/>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5D"/>
    <w:rsid w:val="00A97472"/>
    <w:rsid w:val="00A974B2"/>
    <w:rsid w:val="00A9786B"/>
    <w:rsid w:val="00A97B5C"/>
    <w:rsid w:val="00A97CB7"/>
    <w:rsid w:val="00AA0028"/>
    <w:rsid w:val="00AA0775"/>
    <w:rsid w:val="00AA0803"/>
    <w:rsid w:val="00AA08C4"/>
    <w:rsid w:val="00AA09F7"/>
    <w:rsid w:val="00AA0DBC"/>
    <w:rsid w:val="00AA105D"/>
    <w:rsid w:val="00AA1426"/>
    <w:rsid w:val="00AA14F0"/>
    <w:rsid w:val="00AA186B"/>
    <w:rsid w:val="00AA19A4"/>
    <w:rsid w:val="00AA1AA7"/>
    <w:rsid w:val="00AA1AAF"/>
    <w:rsid w:val="00AA1D1A"/>
    <w:rsid w:val="00AA1ECE"/>
    <w:rsid w:val="00AA26A0"/>
    <w:rsid w:val="00AA27E5"/>
    <w:rsid w:val="00AA2937"/>
    <w:rsid w:val="00AA29E9"/>
    <w:rsid w:val="00AA2A54"/>
    <w:rsid w:val="00AA2E4C"/>
    <w:rsid w:val="00AA328F"/>
    <w:rsid w:val="00AA3314"/>
    <w:rsid w:val="00AA338D"/>
    <w:rsid w:val="00AA3873"/>
    <w:rsid w:val="00AA38CA"/>
    <w:rsid w:val="00AA3D2D"/>
    <w:rsid w:val="00AA4119"/>
    <w:rsid w:val="00AA4671"/>
    <w:rsid w:val="00AA4696"/>
    <w:rsid w:val="00AA4B34"/>
    <w:rsid w:val="00AA4B7C"/>
    <w:rsid w:val="00AA4BEC"/>
    <w:rsid w:val="00AA4E6E"/>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EBD"/>
    <w:rsid w:val="00AB00CA"/>
    <w:rsid w:val="00AB0157"/>
    <w:rsid w:val="00AB016D"/>
    <w:rsid w:val="00AB046F"/>
    <w:rsid w:val="00AB057C"/>
    <w:rsid w:val="00AB0580"/>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D13"/>
    <w:rsid w:val="00AB5E54"/>
    <w:rsid w:val="00AB5F4C"/>
    <w:rsid w:val="00AB615E"/>
    <w:rsid w:val="00AB6306"/>
    <w:rsid w:val="00AB648E"/>
    <w:rsid w:val="00AB6555"/>
    <w:rsid w:val="00AB66AF"/>
    <w:rsid w:val="00AB66DB"/>
    <w:rsid w:val="00AB68D9"/>
    <w:rsid w:val="00AB700F"/>
    <w:rsid w:val="00AB724C"/>
    <w:rsid w:val="00AB75DE"/>
    <w:rsid w:val="00AB7C3E"/>
    <w:rsid w:val="00AB7C52"/>
    <w:rsid w:val="00AB7C8B"/>
    <w:rsid w:val="00AB7D06"/>
    <w:rsid w:val="00AB7DDC"/>
    <w:rsid w:val="00AC0021"/>
    <w:rsid w:val="00AC0139"/>
    <w:rsid w:val="00AC022C"/>
    <w:rsid w:val="00AC0352"/>
    <w:rsid w:val="00AC03E9"/>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F6D"/>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FB"/>
    <w:rsid w:val="00AC6607"/>
    <w:rsid w:val="00AC7002"/>
    <w:rsid w:val="00AC7035"/>
    <w:rsid w:val="00AC706F"/>
    <w:rsid w:val="00AC7227"/>
    <w:rsid w:val="00AC74F2"/>
    <w:rsid w:val="00AC785C"/>
    <w:rsid w:val="00AC7916"/>
    <w:rsid w:val="00AC7AF0"/>
    <w:rsid w:val="00AD015E"/>
    <w:rsid w:val="00AD0207"/>
    <w:rsid w:val="00AD02E2"/>
    <w:rsid w:val="00AD04A6"/>
    <w:rsid w:val="00AD076E"/>
    <w:rsid w:val="00AD0A93"/>
    <w:rsid w:val="00AD0AFC"/>
    <w:rsid w:val="00AD0D7D"/>
    <w:rsid w:val="00AD0FD0"/>
    <w:rsid w:val="00AD0FF0"/>
    <w:rsid w:val="00AD1004"/>
    <w:rsid w:val="00AD1208"/>
    <w:rsid w:val="00AD1568"/>
    <w:rsid w:val="00AD16C3"/>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76D"/>
    <w:rsid w:val="00AF1818"/>
    <w:rsid w:val="00AF198F"/>
    <w:rsid w:val="00AF1B7F"/>
    <w:rsid w:val="00AF1EF9"/>
    <w:rsid w:val="00AF20BB"/>
    <w:rsid w:val="00AF20DF"/>
    <w:rsid w:val="00AF2226"/>
    <w:rsid w:val="00AF22AC"/>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B55"/>
    <w:rsid w:val="00AF6C2D"/>
    <w:rsid w:val="00AF702A"/>
    <w:rsid w:val="00AF70BD"/>
    <w:rsid w:val="00AF7142"/>
    <w:rsid w:val="00AF7480"/>
    <w:rsid w:val="00AF7613"/>
    <w:rsid w:val="00AF778E"/>
    <w:rsid w:val="00AF79D5"/>
    <w:rsid w:val="00AF79F0"/>
    <w:rsid w:val="00B0027B"/>
    <w:rsid w:val="00B0033F"/>
    <w:rsid w:val="00B0045B"/>
    <w:rsid w:val="00B00603"/>
    <w:rsid w:val="00B00A03"/>
    <w:rsid w:val="00B00B22"/>
    <w:rsid w:val="00B00D71"/>
    <w:rsid w:val="00B00EF9"/>
    <w:rsid w:val="00B013E1"/>
    <w:rsid w:val="00B016C5"/>
    <w:rsid w:val="00B016F4"/>
    <w:rsid w:val="00B01873"/>
    <w:rsid w:val="00B01ADF"/>
    <w:rsid w:val="00B01AF2"/>
    <w:rsid w:val="00B01D0B"/>
    <w:rsid w:val="00B01E36"/>
    <w:rsid w:val="00B022AC"/>
    <w:rsid w:val="00B025E9"/>
    <w:rsid w:val="00B0272A"/>
    <w:rsid w:val="00B02C45"/>
    <w:rsid w:val="00B02D9B"/>
    <w:rsid w:val="00B03006"/>
    <w:rsid w:val="00B03127"/>
    <w:rsid w:val="00B0336C"/>
    <w:rsid w:val="00B03509"/>
    <w:rsid w:val="00B0386B"/>
    <w:rsid w:val="00B038B6"/>
    <w:rsid w:val="00B03C4C"/>
    <w:rsid w:val="00B03EB0"/>
    <w:rsid w:val="00B041F9"/>
    <w:rsid w:val="00B043D6"/>
    <w:rsid w:val="00B047F0"/>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B32"/>
    <w:rsid w:val="00B11C7C"/>
    <w:rsid w:val="00B11C9A"/>
    <w:rsid w:val="00B11D79"/>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1128"/>
    <w:rsid w:val="00B2155B"/>
    <w:rsid w:val="00B21AB7"/>
    <w:rsid w:val="00B21DAA"/>
    <w:rsid w:val="00B21E04"/>
    <w:rsid w:val="00B224AE"/>
    <w:rsid w:val="00B2291B"/>
    <w:rsid w:val="00B22E3D"/>
    <w:rsid w:val="00B22E73"/>
    <w:rsid w:val="00B22FED"/>
    <w:rsid w:val="00B230B8"/>
    <w:rsid w:val="00B230F1"/>
    <w:rsid w:val="00B2354D"/>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889"/>
    <w:rsid w:val="00B25C5F"/>
    <w:rsid w:val="00B25D4B"/>
    <w:rsid w:val="00B25E68"/>
    <w:rsid w:val="00B25F10"/>
    <w:rsid w:val="00B25F25"/>
    <w:rsid w:val="00B260DA"/>
    <w:rsid w:val="00B261FA"/>
    <w:rsid w:val="00B2641F"/>
    <w:rsid w:val="00B2645F"/>
    <w:rsid w:val="00B26710"/>
    <w:rsid w:val="00B2674D"/>
    <w:rsid w:val="00B2683F"/>
    <w:rsid w:val="00B26D0D"/>
    <w:rsid w:val="00B270AF"/>
    <w:rsid w:val="00B271A2"/>
    <w:rsid w:val="00B2721C"/>
    <w:rsid w:val="00B2784C"/>
    <w:rsid w:val="00B27A00"/>
    <w:rsid w:val="00B27A10"/>
    <w:rsid w:val="00B27AD2"/>
    <w:rsid w:val="00B27E6F"/>
    <w:rsid w:val="00B27EF0"/>
    <w:rsid w:val="00B304CD"/>
    <w:rsid w:val="00B304D0"/>
    <w:rsid w:val="00B304E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8A"/>
    <w:rsid w:val="00B35879"/>
    <w:rsid w:val="00B35941"/>
    <w:rsid w:val="00B359B7"/>
    <w:rsid w:val="00B359F3"/>
    <w:rsid w:val="00B35EFB"/>
    <w:rsid w:val="00B36012"/>
    <w:rsid w:val="00B366C4"/>
    <w:rsid w:val="00B367D7"/>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B61"/>
    <w:rsid w:val="00B41CC7"/>
    <w:rsid w:val="00B41F66"/>
    <w:rsid w:val="00B426A0"/>
    <w:rsid w:val="00B42AC4"/>
    <w:rsid w:val="00B42D26"/>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D6"/>
    <w:rsid w:val="00B4653F"/>
    <w:rsid w:val="00B46617"/>
    <w:rsid w:val="00B4672C"/>
    <w:rsid w:val="00B469BF"/>
    <w:rsid w:val="00B46A62"/>
    <w:rsid w:val="00B46BAA"/>
    <w:rsid w:val="00B46DD5"/>
    <w:rsid w:val="00B46E09"/>
    <w:rsid w:val="00B46F56"/>
    <w:rsid w:val="00B4702F"/>
    <w:rsid w:val="00B47252"/>
    <w:rsid w:val="00B47470"/>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4335"/>
    <w:rsid w:val="00B6434B"/>
    <w:rsid w:val="00B644E4"/>
    <w:rsid w:val="00B644E7"/>
    <w:rsid w:val="00B645A9"/>
    <w:rsid w:val="00B6464B"/>
    <w:rsid w:val="00B64937"/>
    <w:rsid w:val="00B64B3E"/>
    <w:rsid w:val="00B64D51"/>
    <w:rsid w:val="00B652C0"/>
    <w:rsid w:val="00B6543C"/>
    <w:rsid w:val="00B65B5D"/>
    <w:rsid w:val="00B660E9"/>
    <w:rsid w:val="00B661DC"/>
    <w:rsid w:val="00B66326"/>
    <w:rsid w:val="00B6670B"/>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A2"/>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12"/>
    <w:rsid w:val="00B8596D"/>
    <w:rsid w:val="00B8597E"/>
    <w:rsid w:val="00B85A9E"/>
    <w:rsid w:val="00B85C10"/>
    <w:rsid w:val="00B86283"/>
    <w:rsid w:val="00B862C4"/>
    <w:rsid w:val="00B86332"/>
    <w:rsid w:val="00B86374"/>
    <w:rsid w:val="00B86480"/>
    <w:rsid w:val="00B86749"/>
    <w:rsid w:val="00B868DC"/>
    <w:rsid w:val="00B869C2"/>
    <w:rsid w:val="00B869D2"/>
    <w:rsid w:val="00B869F4"/>
    <w:rsid w:val="00B86A89"/>
    <w:rsid w:val="00B86E35"/>
    <w:rsid w:val="00B875A9"/>
    <w:rsid w:val="00B87620"/>
    <w:rsid w:val="00B878F6"/>
    <w:rsid w:val="00B87AE3"/>
    <w:rsid w:val="00B87B5E"/>
    <w:rsid w:val="00B87DC8"/>
    <w:rsid w:val="00B9097B"/>
    <w:rsid w:val="00B90A1A"/>
    <w:rsid w:val="00B90B54"/>
    <w:rsid w:val="00B90D8F"/>
    <w:rsid w:val="00B9106B"/>
    <w:rsid w:val="00B91294"/>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C84"/>
    <w:rsid w:val="00B9716B"/>
    <w:rsid w:val="00B974AA"/>
    <w:rsid w:val="00B9762A"/>
    <w:rsid w:val="00B976A4"/>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8BA"/>
    <w:rsid w:val="00BB1AF4"/>
    <w:rsid w:val="00BB1D30"/>
    <w:rsid w:val="00BB1D41"/>
    <w:rsid w:val="00BB1D84"/>
    <w:rsid w:val="00BB1F25"/>
    <w:rsid w:val="00BB2078"/>
    <w:rsid w:val="00BB20CE"/>
    <w:rsid w:val="00BB2F1C"/>
    <w:rsid w:val="00BB30C4"/>
    <w:rsid w:val="00BB36B8"/>
    <w:rsid w:val="00BB3A82"/>
    <w:rsid w:val="00BB3B5B"/>
    <w:rsid w:val="00BB3EBF"/>
    <w:rsid w:val="00BB3FB5"/>
    <w:rsid w:val="00BB4038"/>
    <w:rsid w:val="00BB425D"/>
    <w:rsid w:val="00BB429F"/>
    <w:rsid w:val="00BB4337"/>
    <w:rsid w:val="00BB469D"/>
    <w:rsid w:val="00BB4712"/>
    <w:rsid w:val="00BB4748"/>
    <w:rsid w:val="00BB4B43"/>
    <w:rsid w:val="00BB516E"/>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62F"/>
    <w:rsid w:val="00BB7685"/>
    <w:rsid w:val="00BB7724"/>
    <w:rsid w:val="00BB798B"/>
    <w:rsid w:val="00BB7A34"/>
    <w:rsid w:val="00BC0510"/>
    <w:rsid w:val="00BC0BD1"/>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B4D"/>
    <w:rsid w:val="00BC2C00"/>
    <w:rsid w:val="00BC2C81"/>
    <w:rsid w:val="00BC3488"/>
    <w:rsid w:val="00BC34AD"/>
    <w:rsid w:val="00BC34FA"/>
    <w:rsid w:val="00BC35F5"/>
    <w:rsid w:val="00BC3848"/>
    <w:rsid w:val="00BC3AB2"/>
    <w:rsid w:val="00BC3F4C"/>
    <w:rsid w:val="00BC4036"/>
    <w:rsid w:val="00BC4039"/>
    <w:rsid w:val="00BC4198"/>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C"/>
    <w:rsid w:val="00BD0F22"/>
    <w:rsid w:val="00BD10C8"/>
    <w:rsid w:val="00BD110C"/>
    <w:rsid w:val="00BD1370"/>
    <w:rsid w:val="00BD169F"/>
    <w:rsid w:val="00BD187E"/>
    <w:rsid w:val="00BD18E2"/>
    <w:rsid w:val="00BD1A39"/>
    <w:rsid w:val="00BD1DBA"/>
    <w:rsid w:val="00BD2127"/>
    <w:rsid w:val="00BD2188"/>
    <w:rsid w:val="00BD2332"/>
    <w:rsid w:val="00BD24F2"/>
    <w:rsid w:val="00BD2574"/>
    <w:rsid w:val="00BD278E"/>
    <w:rsid w:val="00BD28C6"/>
    <w:rsid w:val="00BD2AB8"/>
    <w:rsid w:val="00BD2B1B"/>
    <w:rsid w:val="00BD2CD0"/>
    <w:rsid w:val="00BD3187"/>
    <w:rsid w:val="00BD33B0"/>
    <w:rsid w:val="00BD3639"/>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FD6"/>
    <w:rsid w:val="00BD745B"/>
    <w:rsid w:val="00BD7989"/>
    <w:rsid w:val="00BD7A08"/>
    <w:rsid w:val="00BD7A5A"/>
    <w:rsid w:val="00BD7B18"/>
    <w:rsid w:val="00BD7DB2"/>
    <w:rsid w:val="00BE00B0"/>
    <w:rsid w:val="00BE034C"/>
    <w:rsid w:val="00BE0961"/>
    <w:rsid w:val="00BE0E1C"/>
    <w:rsid w:val="00BE0E73"/>
    <w:rsid w:val="00BE165C"/>
    <w:rsid w:val="00BE185C"/>
    <w:rsid w:val="00BE1905"/>
    <w:rsid w:val="00BE1F21"/>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B8E"/>
    <w:rsid w:val="00BE4C61"/>
    <w:rsid w:val="00BE4F53"/>
    <w:rsid w:val="00BE56F5"/>
    <w:rsid w:val="00BE57BC"/>
    <w:rsid w:val="00BE5975"/>
    <w:rsid w:val="00BE5EE5"/>
    <w:rsid w:val="00BE6294"/>
    <w:rsid w:val="00BE6339"/>
    <w:rsid w:val="00BE6536"/>
    <w:rsid w:val="00BE6584"/>
    <w:rsid w:val="00BE6599"/>
    <w:rsid w:val="00BE6676"/>
    <w:rsid w:val="00BE677C"/>
    <w:rsid w:val="00BE6AC0"/>
    <w:rsid w:val="00BE7182"/>
    <w:rsid w:val="00BE735D"/>
    <w:rsid w:val="00BE7A3C"/>
    <w:rsid w:val="00BF07CF"/>
    <w:rsid w:val="00BF0939"/>
    <w:rsid w:val="00BF0BE7"/>
    <w:rsid w:val="00BF0F6C"/>
    <w:rsid w:val="00BF1331"/>
    <w:rsid w:val="00BF15C5"/>
    <w:rsid w:val="00BF160E"/>
    <w:rsid w:val="00BF162F"/>
    <w:rsid w:val="00BF16B8"/>
    <w:rsid w:val="00BF1796"/>
    <w:rsid w:val="00BF17B0"/>
    <w:rsid w:val="00BF1913"/>
    <w:rsid w:val="00BF19A2"/>
    <w:rsid w:val="00BF1E1F"/>
    <w:rsid w:val="00BF247A"/>
    <w:rsid w:val="00BF24D8"/>
    <w:rsid w:val="00BF2520"/>
    <w:rsid w:val="00BF2C0D"/>
    <w:rsid w:val="00BF2C7C"/>
    <w:rsid w:val="00BF2CF2"/>
    <w:rsid w:val="00BF2ED3"/>
    <w:rsid w:val="00BF32FD"/>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E"/>
    <w:rsid w:val="00C056F0"/>
    <w:rsid w:val="00C0633E"/>
    <w:rsid w:val="00C06696"/>
    <w:rsid w:val="00C066E5"/>
    <w:rsid w:val="00C06833"/>
    <w:rsid w:val="00C06A9E"/>
    <w:rsid w:val="00C06AC5"/>
    <w:rsid w:val="00C06B99"/>
    <w:rsid w:val="00C06D43"/>
    <w:rsid w:val="00C07169"/>
    <w:rsid w:val="00C07257"/>
    <w:rsid w:val="00C07848"/>
    <w:rsid w:val="00C07A0E"/>
    <w:rsid w:val="00C07F12"/>
    <w:rsid w:val="00C07F1A"/>
    <w:rsid w:val="00C1017B"/>
    <w:rsid w:val="00C10231"/>
    <w:rsid w:val="00C1024D"/>
    <w:rsid w:val="00C10515"/>
    <w:rsid w:val="00C1065B"/>
    <w:rsid w:val="00C1074C"/>
    <w:rsid w:val="00C10866"/>
    <w:rsid w:val="00C10992"/>
    <w:rsid w:val="00C109DF"/>
    <w:rsid w:val="00C10B39"/>
    <w:rsid w:val="00C10C71"/>
    <w:rsid w:val="00C10C86"/>
    <w:rsid w:val="00C10D4E"/>
    <w:rsid w:val="00C10E01"/>
    <w:rsid w:val="00C11218"/>
    <w:rsid w:val="00C11901"/>
    <w:rsid w:val="00C119AA"/>
    <w:rsid w:val="00C11F94"/>
    <w:rsid w:val="00C12740"/>
    <w:rsid w:val="00C127ED"/>
    <w:rsid w:val="00C129CF"/>
    <w:rsid w:val="00C12B91"/>
    <w:rsid w:val="00C12C3B"/>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B3F"/>
    <w:rsid w:val="00C14EE2"/>
    <w:rsid w:val="00C14F1F"/>
    <w:rsid w:val="00C15026"/>
    <w:rsid w:val="00C150BC"/>
    <w:rsid w:val="00C15212"/>
    <w:rsid w:val="00C152B2"/>
    <w:rsid w:val="00C1548B"/>
    <w:rsid w:val="00C1568F"/>
    <w:rsid w:val="00C156A5"/>
    <w:rsid w:val="00C15952"/>
    <w:rsid w:val="00C1595D"/>
    <w:rsid w:val="00C15968"/>
    <w:rsid w:val="00C15C1E"/>
    <w:rsid w:val="00C160A8"/>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90C"/>
    <w:rsid w:val="00C1793F"/>
    <w:rsid w:val="00C17D90"/>
    <w:rsid w:val="00C20266"/>
    <w:rsid w:val="00C202B6"/>
    <w:rsid w:val="00C20423"/>
    <w:rsid w:val="00C205CF"/>
    <w:rsid w:val="00C207A7"/>
    <w:rsid w:val="00C20D65"/>
    <w:rsid w:val="00C20DA1"/>
    <w:rsid w:val="00C20FEE"/>
    <w:rsid w:val="00C21339"/>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E7"/>
    <w:rsid w:val="00C2742A"/>
    <w:rsid w:val="00C2751F"/>
    <w:rsid w:val="00C278C6"/>
    <w:rsid w:val="00C27962"/>
    <w:rsid w:val="00C27E74"/>
    <w:rsid w:val="00C301A8"/>
    <w:rsid w:val="00C302B6"/>
    <w:rsid w:val="00C30A64"/>
    <w:rsid w:val="00C30DDC"/>
    <w:rsid w:val="00C31086"/>
    <w:rsid w:val="00C317C1"/>
    <w:rsid w:val="00C31CA3"/>
    <w:rsid w:val="00C31D6E"/>
    <w:rsid w:val="00C31E9F"/>
    <w:rsid w:val="00C32802"/>
    <w:rsid w:val="00C3296D"/>
    <w:rsid w:val="00C329CC"/>
    <w:rsid w:val="00C32B96"/>
    <w:rsid w:val="00C32D93"/>
    <w:rsid w:val="00C330A2"/>
    <w:rsid w:val="00C330AC"/>
    <w:rsid w:val="00C335DD"/>
    <w:rsid w:val="00C33E55"/>
    <w:rsid w:val="00C33EAF"/>
    <w:rsid w:val="00C33F1E"/>
    <w:rsid w:val="00C33F78"/>
    <w:rsid w:val="00C34012"/>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B1F"/>
    <w:rsid w:val="00C41C4C"/>
    <w:rsid w:val="00C41D35"/>
    <w:rsid w:val="00C420A6"/>
    <w:rsid w:val="00C42274"/>
    <w:rsid w:val="00C423CF"/>
    <w:rsid w:val="00C426C9"/>
    <w:rsid w:val="00C427EC"/>
    <w:rsid w:val="00C42919"/>
    <w:rsid w:val="00C429A4"/>
    <w:rsid w:val="00C42ACC"/>
    <w:rsid w:val="00C42D1C"/>
    <w:rsid w:val="00C42F15"/>
    <w:rsid w:val="00C431A7"/>
    <w:rsid w:val="00C43460"/>
    <w:rsid w:val="00C43503"/>
    <w:rsid w:val="00C43546"/>
    <w:rsid w:val="00C4391C"/>
    <w:rsid w:val="00C43952"/>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F35"/>
    <w:rsid w:val="00C5508E"/>
    <w:rsid w:val="00C551AF"/>
    <w:rsid w:val="00C55905"/>
    <w:rsid w:val="00C55BB4"/>
    <w:rsid w:val="00C55C98"/>
    <w:rsid w:val="00C55E1A"/>
    <w:rsid w:val="00C5609B"/>
    <w:rsid w:val="00C5615A"/>
    <w:rsid w:val="00C56165"/>
    <w:rsid w:val="00C5619B"/>
    <w:rsid w:val="00C563D7"/>
    <w:rsid w:val="00C56965"/>
    <w:rsid w:val="00C569EA"/>
    <w:rsid w:val="00C56E12"/>
    <w:rsid w:val="00C571BC"/>
    <w:rsid w:val="00C57459"/>
    <w:rsid w:val="00C57623"/>
    <w:rsid w:val="00C57A05"/>
    <w:rsid w:val="00C57CB3"/>
    <w:rsid w:val="00C57CFA"/>
    <w:rsid w:val="00C57D8B"/>
    <w:rsid w:val="00C57E71"/>
    <w:rsid w:val="00C60176"/>
    <w:rsid w:val="00C603EE"/>
    <w:rsid w:val="00C6043C"/>
    <w:rsid w:val="00C605E5"/>
    <w:rsid w:val="00C60864"/>
    <w:rsid w:val="00C60869"/>
    <w:rsid w:val="00C60D98"/>
    <w:rsid w:val="00C60E57"/>
    <w:rsid w:val="00C61092"/>
    <w:rsid w:val="00C6153C"/>
    <w:rsid w:val="00C615E0"/>
    <w:rsid w:val="00C61804"/>
    <w:rsid w:val="00C6192F"/>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D88"/>
    <w:rsid w:val="00C72DA5"/>
    <w:rsid w:val="00C72F12"/>
    <w:rsid w:val="00C72F9C"/>
    <w:rsid w:val="00C73697"/>
    <w:rsid w:val="00C73C16"/>
    <w:rsid w:val="00C73F9E"/>
    <w:rsid w:val="00C74039"/>
    <w:rsid w:val="00C74147"/>
    <w:rsid w:val="00C7488F"/>
    <w:rsid w:val="00C748B6"/>
    <w:rsid w:val="00C74958"/>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E41"/>
    <w:rsid w:val="00C83F63"/>
    <w:rsid w:val="00C84363"/>
    <w:rsid w:val="00C844F5"/>
    <w:rsid w:val="00C84664"/>
    <w:rsid w:val="00C84838"/>
    <w:rsid w:val="00C84AB8"/>
    <w:rsid w:val="00C84ABD"/>
    <w:rsid w:val="00C84B78"/>
    <w:rsid w:val="00C84CB0"/>
    <w:rsid w:val="00C85246"/>
    <w:rsid w:val="00C857F6"/>
    <w:rsid w:val="00C85996"/>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4A"/>
    <w:rsid w:val="00CB5610"/>
    <w:rsid w:val="00CB567D"/>
    <w:rsid w:val="00CB57B0"/>
    <w:rsid w:val="00CB5AB8"/>
    <w:rsid w:val="00CB623E"/>
    <w:rsid w:val="00CB66A5"/>
    <w:rsid w:val="00CB686C"/>
    <w:rsid w:val="00CB6881"/>
    <w:rsid w:val="00CB6A7F"/>
    <w:rsid w:val="00CB6B83"/>
    <w:rsid w:val="00CB6EB4"/>
    <w:rsid w:val="00CB6EDA"/>
    <w:rsid w:val="00CB7112"/>
    <w:rsid w:val="00CB7250"/>
    <w:rsid w:val="00CB731A"/>
    <w:rsid w:val="00CB739C"/>
    <w:rsid w:val="00CB7746"/>
    <w:rsid w:val="00CB78CF"/>
    <w:rsid w:val="00CB793B"/>
    <w:rsid w:val="00CB7DE0"/>
    <w:rsid w:val="00CB7E4E"/>
    <w:rsid w:val="00CB7E82"/>
    <w:rsid w:val="00CC03FD"/>
    <w:rsid w:val="00CC094E"/>
    <w:rsid w:val="00CC09E5"/>
    <w:rsid w:val="00CC0A53"/>
    <w:rsid w:val="00CC0F16"/>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DA7"/>
    <w:rsid w:val="00CC7DB4"/>
    <w:rsid w:val="00CC7F23"/>
    <w:rsid w:val="00CD027B"/>
    <w:rsid w:val="00CD03DD"/>
    <w:rsid w:val="00CD0516"/>
    <w:rsid w:val="00CD08FB"/>
    <w:rsid w:val="00CD090F"/>
    <w:rsid w:val="00CD09AD"/>
    <w:rsid w:val="00CD0CC9"/>
    <w:rsid w:val="00CD12B4"/>
    <w:rsid w:val="00CD138B"/>
    <w:rsid w:val="00CD1470"/>
    <w:rsid w:val="00CD1F28"/>
    <w:rsid w:val="00CD2487"/>
    <w:rsid w:val="00CD27A1"/>
    <w:rsid w:val="00CD2A5C"/>
    <w:rsid w:val="00CD2FAD"/>
    <w:rsid w:val="00CD30CE"/>
    <w:rsid w:val="00CD31F3"/>
    <w:rsid w:val="00CD3200"/>
    <w:rsid w:val="00CD329E"/>
    <w:rsid w:val="00CD3349"/>
    <w:rsid w:val="00CD334F"/>
    <w:rsid w:val="00CD34EB"/>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A9"/>
    <w:rsid w:val="00CD57BE"/>
    <w:rsid w:val="00CD5805"/>
    <w:rsid w:val="00CD590D"/>
    <w:rsid w:val="00CD5ED0"/>
    <w:rsid w:val="00CD62A9"/>
    <w:rsid w:val="00CD6483"/>
    <w:rsid w:val="00CD6846"/>
    <w:rsid w:val="00CD6ADF"/>
    <w:rsid w:val="00CD6D6D"/>
    <w:rsid w:val="00CD71A7"/>
    <w:rsid w:val="00CD7286"/>
    <w:rsid w:val="00CD766F"/>
    <w:rsid w:val="00CD7698"/>
    <w:rsid w:val="00CD771F"/>
    <w:rsid w:val="00CD796C"/>
    <w:rsid w:val="00CD7CA1"/>
    <w:rsid w:val="00CD7D93"/>
    <w:rsid w:val="00CE004F"/>
    <w:rsid w:val="00CE00B1"/>
    <w:rsid w:val="00CE05AE"/>
    <w:rsid w:val="00CE07CA"/>
    <w:rsid w:val="00CE089B"/>
    <w:rsid w:val="00CE09B2"/>
    <w:rsid w:val="00CE0DE7"/>
    <w:rsid w:val="00CE0DF9"/>
    <w:rsid w:val="00CE1334"/>
    <w:rsid w:val="00CE1589"/>
    <w:rsid w:val="00CE15DE"/>
    <w:rsid w:val="00CE1912"/>
    <w:rsid w:val="00CE1ABA"/>
    <w:rsid w:val="00CE1B84"/>
    <w:rsid w:val="00CE1E3E"/>
    <w:rsid w:val="00CE2665"/>
    <w:rsid w:val="00CE2A39"/>
    <w:rsid w:val="00CE2BCE"/>
    <w:rsid w:val="00CE2CC2"/>
    <w:rsid w:val="00CE2F49"/>
    <w:rsid w:val="00CE3133"/>
    <w:rsid w:val="00CE3376"/>
    <w:rsid w:val="00CE33FC"/>
    <w:rsid w:val="00CE391A"/>
    <w:rsid w:val="00CE3ADE"/>
    <w:rsid w:val="00CE3C30"/>
    <w:rsid w:val="00CE41E1"/>
    <w:rsid w:val="00CE4315"/>
    <w:rsid w:val="00CE4635"/>
    <w:rsid w:val="00CE4857"/>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DE"/>
    <w:rsid w:val="00CE6F74"/>
    <w:rsid w:val="00CE7322"/>
    <w:rsid w:val="00CE73A5"/>
    <w:rsid w:val="00CE784F"/>
    <w:rsid w:val="00CE793E"/>
    <w:rsid w:val="00CE7A25"/>
    <w:rsid w:val="00CE7ACD"/>
    <w:rsid w:val="00CE7C3A"/>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AA8"/>
    <w:rsid w:val="00CF64A1"/>
    <w:rsid w:val="00CF67F7"/>
    <w:rsid w:val="00CF6AD5"/>
    <w:rsid w:val="00CF6BA7"/>
    <w:rsid w:val="00CF7451"/>
    <w:rsid w:val="00CF74AC"/>
    <w:rsid w:val="00CF74F6"/>
    <w:rsid w:val="00CF763C"/>
    <w:rsid w:val="00CF77CE"/>
    <w:rsid w:val="00CF7C47"/>
    <w:rsid w:val="00CF7C91"/>
    <w:rsid w:val="00CF7FC4"/>
    <w:rsid w:val="00D000F0"/>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4396"/>
    <w:rsid w:val="00D0439C"/>
    <w:rsid w:val="00D046F9"/>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84"/>
    <w:rsid w:val="00D05CFE"/>
    <w:rsid w:val="00D064AF"/>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D32"/>
    <w:rsid w:val="00D14EAF"/>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A65"/>
    <w:rsid w:val="00D23F4E"/>
    <w:rsid w:val="00D24399"/>
    <w:rsid w:val="00D24E4A"/>
    <w:rsid w:val="00D24F86"/>
    <w:rsid w:val="00D2506E"/>
    <w:rsid w:val="00D255D2"/>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62F"/>
    <w:rsid w:val="00D328E3"/>
    <w:rsid w:val="00D32C05"/>
    <w:rsid w:val="00D32C61"/>
    <w:rsid w:val="00D32EEA"/>
    <w:rsid w:val="00D32F26"/>
    <w:rsid w:val="00D33371"/>
    <w:rsid w:val="00D3358A"/>
    <w:rsid w:val="00D3367B"/>
    <w:rsid w:val="00D338BE"/>
    <w:rsid w:val="00D33984"/>
    <w:rsid w:val="00D33A4D"/>
    <w:rsid w:val="00D33BD5"/>
    <w:rsid w:val="00D33EB1"/>
    <w:rsid w:val="00D33ECC"/>
    <w:rsid w:val="00D34B93"/>
    <w:rsid w:val="00D34BC3"/>
    <w:rsid w:val="00D34DC5"/>
    <w:rsid w:val="00D34EE0"/>
    <w:rsid w:val="00D34F5E"/>
    <w:rsid w:val="00D35029"/>
    <w:rsid w:val="00D3505A"/>
    <w:rsid w:val="00D35074"/>
    <w:rsid w:val="00D353A6"/>
    <w:rsid w:val="00D35432"/>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344B"/>
    <w:rsid w:val="00D435ED"/>
    <w:rsid w:val="00D43C67"/>
    <w:rsid w:val="00D43DD6"/>
    <w:rsid w:val="00D43F9A"/>
    <w:rsid w:val="00D44042"/>
    <w:rsid w:val="00D4404C"/>
    <w:rsid w:val="00D440F5"/>
    <w:rsid w:val="00D44164"/>
    <w:rsid w:val="00D443FE"/>
    <w:rsid w:val="00D445B7"/>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F82"/>
    <w:rsid w:val="00D464E8"/>
    <w:rsid w:val="00D4650E"/>
    <w:rsid w:val="00D46552"/>
    <w:rsid w:val="00D46778"/>
    <w:rsid w:val="00D4678E"/>
    <w:rsid w:val="00D468C8"/>
    <w:rsid w:val="00D46B17"/>
    <w:rsid w:val="00D46E84"/>
    <w:rsid w:val="00D46EF7"/>
    <w:rsid w:val="00D46F20"/>
    <w:rsid w:val="00D470FF"/>
    <w:rsid w:val="00D47172"/>
    <w:rsid w:val="00D47212"/>
    <w:rsid w:val="00D47271"/>
    <w:rsid w:val="00D472E6"/>
    <w:rsid w:val="00D472EA"/>
    <w:rsid w:val="00D472F3"/>
    <w:rsid w:val="00D47CB9"/>
    <w:rsid w:val="00D500DF"/>
    <w:rsid w:val="00D5025C"/>
    <w:rsid w:val="00D507E0"/>
    <w:rsid w:val="00D5093E"/>
    <w:rsid w:val="00D50A9E"/>
    <w:rsid w:val="00D50D52"/>
    <w:rsid w:val="00D50DC6"/>
    <w:rsid w:val="00D50DF1"/>
    <w:rsid w:val="00D50FE1"/>
    <w:rsid w:val="00D51809"/>
    <w:rsid w:val="00D51A04"/>
    <w:rsid w:val="00D51B30"/>
    <w:rsid w:val="00D51E32"/>
    <w:rsid w:val="00D523B8"/>
    <w:rsid w:val="00D525FD"/>
    <w:rsid w:val="00D526FE"/>
    <w:rsid w:val="00D528D8"/>
    <w:rsid w:val="00D52D15"/>
    <w:rsid w:val="00D52EB0"/>
    <w:rsid w:val="00D52FE0"/>
    <w:rsid w:val="00D531FC"/>
    <w:rsid w:val="00D532EF"/>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CB"/>
    <w:rsid w:val="00D60533"/>
    <w:rsid w:val="00D60A7B"/>
    <w:rsid w:val="00D60D74"/>
    <w:rsid w:val="00D60E24"/>
    <w:rsid w:val="00D60F5B"/>
    <w:rsid w:val="00D60FBF"/>
    <w:rsid w:val="00D610F4"/>
    <w:rsid w:val="00D61299"/>
    <w:rsid w:val="00D6147F"/>
    <w:rsid w:val="00D616E3"/>
    <w:rsid w:val="00D617ED"/>
    <w:rsid w:val="00D61A3E"/>
    <w:rsid w:val="00D61BE7"/>
    <w:rsid w:val="00D61E7A"/>
    <w:rsid w:val="00D61FE6"/>
    <w:rsid w:val="00D62057"/>
    <w:rsid w:val="00D62113"/>
    <w:rsid w:val="00D6246F"/>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E5C"/>
    <w:rsid w:val="00D71EA7"/>
    <w:rsid w:val="00D720AE"/>
    <w:rsid w:val="00D725FE"/>
    <w:rsid w:val="00D72C1D"/>
    <w:rsid w:val="00D72D24"/>
    <w:rsid w:val="00D72ECC"/>
    <w:rsid w:val="00D7304F"/>
    <w:rsid w:val="00D73327"/>
    <w:rsid w:val="00D7339F"/>
    <w:rsid w:val="00D7347E"/>
    <w:rsid w:val="00D7366B"/>
    <w:rsid w:val="00D736DA"/>
    <w:rsid w:val="00D73744"/>
    <w:rsid w:val="00D7376D"/>
    <w:rsid w:val="00D73845"/>
    <w:rsid w:val="00D73898"/>
    <w:rsid w:val="00D73A63"/>
    <w:rsid w:val="00D73B83"/>
    <w:rsid w:val="00D73DB9"/>
    <w:rsid w:val="00D73E60"/>
    <w:rsid w:val="00D74345"/>
    <w:rsid w:val="00D7446E"/>
    <w:rsid w:val="00D74500"/>
    <w:rsid w:val="00D746F5"/>
    <w:rsid w:val="00D74DFA"/>
    <w:rsid w:val="00D74EC9"/>
    <w:rsid w:val="00D75020"/>
    <w:rsid w:val="00D7517F"/>
    <w:rsid w:val="00D75234"/>
    <w:rsid w:val="00D753D3"/>
    <w:rsid w:val="00D75A20"/>
    <w:rsid w:val="00D75AAA"/>
    <w:rsid w:val="00D75C18"/>
    <w:rsid w:val="00D75DCD"/>
    <w:rsid w:val="00D75E3E"/>
    <w:rsid w:val="00D760F4"/>
    <w:rsid w:val="00D76370"/>
    <w:rsid w:val="00D7637D"/>
    <w:rsid w:val="00D76391"/>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379"/>
    <w:rsid w:val="00D82600"/>
    <w:rsid w:val="00D82690"/>
    <w:rsid w:val="00D82B1A"/>
    <w:rsid w:val="00D82BDA"/>
    <w:rsid w:val="00D82CE0"/>
    <w:rsid w:val="00D82EA9"/>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1AB"/>
    <w:rsid w:val="00D8722C"/>
    <w:rsid w:val="00D87403"/>
    <w:rsid w:val="00D87A91"/>
    <w:rsid w:val="00D87B50"/>
    <w:rsid w:val="00D87DB0"/>
    <w:rsid w:val="00D901C7"/>
    <w:rsid w:val="00D90AD0"/>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DB4"/>
    <w:rsid w:val="00D95DCD"/>
    <w:rsid w:val="00D96044"/>
    <w:rsid w:val="00D96240"/>
    <w:rsid w:val="00D96493"/>
    <w:rsid w:val="00D964B0"/>
    <w:rsid w:val="00D96519"/>
    <w:rsid w:val="00D96769"/>
    <w:rsid w:val="00D96C76"/>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E22"/>
    <w:rsid w:val="00DA1E41"/>
    <w:rsid w:val="00DA1F0F"/>
    <w:rsid w:val="00DA2204"/>
    <w:rsid w:val="00DA2269"/>
    <w:rsid w:val="00DA22EB"/>
    <w:rsid w:val="00DA23AE"/>
    <w:rsid w:val="00DA240F"/>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DD"/>
    <w:rsid w:val="00DA78ED"/>
    <w:rsid w:val="00DA7A3F"/>
    <w:rsid w:val="00DA7DFC"/>
    <w:rsid w:val="00DB0087"/>
    <w:rsid w:val="00DB0609"/>
    <w:rsid w:val="00DB08B1"/>
    <w:rsid w:val="00DB0984"/>
    <w:rsid w:val="00DB098C"/>
    <w:rsid w:val="00DB0C91"/>
    <w:rsid w:val="00DB0F17"/>
    <w:rsid w:val="00DB1166"/>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EC"/>
    <w:rsid w:val="00DB4AB3"/>
    <w:rsid w:val="00DB4BFD"/>
    <w:rsid w:val="00DB4D5D"/>
    <w:rsid w:val="00DB4F74"/>
    <w:rsid w:val="00DB5280"/>
    <w:rsid w:val="00DB52CD"/>
    <w:rsid w:val="00DB5529"/>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FAB"/>
    <w:rsid w:val="00DD51C7"/>
    <w:rsid w:val="00DD525B"/>
    <w:rsid w:val="00DD54BA"/>
    <w:rsid w:val="00DD5B27"/>
    <w:rsid w:val="00DD5F59"/>
    <w:rsid w:val="00DD6A5D"/>
    <w:rsid w:val="00DD6BA3"/>
    <w:rsid w:val="00DD6C13"/>
    <w:rsid w:val="00DD6D9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F3F"/>
    <w:rsid w:val="00DE1205"/>
    <w:rsid w:val="00DE121A"/>
    <w:rsid w:val="00DE125E"/>
    <w:rsid w:val="00DE1353"/>
    <w:rsid w:val="00DE144F"/>
    <w:rsid w:val="00DE1828"/>
    <w:rsid w:val="00DE18F8"/>
    <w:rsid w:val="00DE19E2"/>
    <w:rsid w:val="00DE1E35"/>
    <w:rsid w:val="00DE1E79"/>
    <w:rsid w:val="00DE1F1A"/>
    <w:rsid w:val="00DE21DB"/>
    <w:rsid w:val="00DE25BD"/>
    <w:rsid w:val="00DE25F0"/>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30B"/>
    <w:rsid w:val="00DE747D"/>
    <w:rsid w:val="00DE7674"/>
    <w:rsid w:val="00DE7756"/>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2C2"/>
    <w:rsid w:val="00DF6438"/>
    <w:rsid w:val="00DF643E"/>
    <w:rsid w:val="00DF64FB"/>
    <w:rsid w:val="00DF6860"/>
    <w:rsid w:val="00DF69A6"/>
    <w:rsid w:val="00DF6B30"/>
    <w:rsid w:val="00DF6D30"/>
    <w:rsid w:val="00DF6D5B"/>
    <w:rsid w:val="00DF713C"/>
    <w:rsid w:val="00DF71B5"/>
    <w:rsid w:val="00DF7216"/>
    <w:rsid w:val="00DF75B2"/>
    <w:rsid w:val="00DF764D"/>
    <w:rsid w:val="00DF7708"/>
    <w:rsid w:val="00DF7717"/>
    <w:rsid w:val="00DF7778"/>
    <w:rsid w:val="00DF77AA"/>
    <w:rsid w:val="00DF796C"/>
    <w:rsid w:val="00DF7973"/>
    <w:rsid w:val="00DF7DB2"/>
    <w:rsid w:val="00DF7E39"/>
    <w:rsid w:val="00E00516"/>
    <w:rsid w:val="00E0065F"/>
    <w:rsid w:val="00E00761"/>
    <w:rsid w:val="00E009D4"/>
    <w:rsid w:val="00E00C02"/>
    <w:rsid w:val="00E00F51"/>
    <w:rsid w:val="00E00FA4"/>
    <w:rsid w:val="00E0175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53A"/>
    <w:rsid w:val="00E056C5"/>
    <w:rsid w:val="00E056D7"/>
    <w:rsid w:val="00E058C4"/>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56B"/>
    <w:rsid w:val="00E14B16"/>
    <w:rsid w:val="00E14E7E"/>
    <w:rsid w:val="00E150DB"/>
    <w:rsid w:val="00E1513F"/>
    <w:rsid w:val="00E15193"/>
    <w:rsid w:val="00E151C4"/>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4023"/>
    <w:rsid w:val="00E24159"/>
    <w:rsid w:val="00E2429F"/>
    <w:rsid w:val="00E242FA"/>
    <w:rsid w:val="00E2432C"/>
    <w:rsid w:val="00E2435D"/>
    <w:rsid w:val="00E2467A"/>
    <w:rsid w:val="00E24693"/>
    <w:rsid w:val="00E248C1"/>
    <w:rsid w:val="00E24C9E"/>
    <w:rsid w:val="00E24E9E"/>
    <w:rsid w:val="00E24ED4"/>
    <w:rsid w:val="00E24F8E"/>
    <w:rsid w:val="00E25112"/>
    <w:rsid w:val="00E25416"/>
    <w:rsid w:val="00E256DD"/>
    <w:rsid w:val="00E2571D"/>
    <w:rsid w:val="00E257A8"/>
    <w:rsid w:val="00E25DA8"/>
    <w:rsid w:val="00E26517"/>
    <w:rsid w:val="00E26A69"/>
    <w:rsid w:val="00E26BD0"/>
    <w:rsid w:val="00E26CAD"/>
    <w:rsid w:val="00E26D6D"/>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A84"/>
    <w:rsid w:val="00E30E23"/>
    <w:rsid w:val="00E313AF"/>
    <w:rsid w:val="00E317BB"/>
    <w:rsid w:val="00E3187A"/>
    <w:rsid w:val="00E318C6"/>
    <w:rsid w:val="00E31CE6"/>
    <w:rsid w:val="00E31D6A"/>
    <w:rsid w:val="00E31E59"/>
    <w:rsid w:val="00E32404"/>
    <w:rsid w:val="00E32665"/>
    <w:rsid w:val="00E3275E"/>
    <w:rsid w:val="00E327EF"/>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61D9"/>
    <w:rsid w:val="00E46333"/>
    <w:rsid w:val="00E46995"/>
    <w:rsid w:val="00E46CD3"/>
    <w:rsid w:val="00E46F9A"/>
    <w:rsid w:val="00E47550"/>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481"/>
    <w:rsid w:val="00E55916"/>
    <w:rsid w:val="00E55F63"/>
    <w:rsid w:val="00E56179"/>
    <w:rsid w:val="00E5619A"/>
    <w:rsid w:val="00E562B5"/>
    <w:rsid w:val="00E562EE"/>
    <w:rsid w:val="00E5631D"/>
    <w:rsid w:val="00E5637D"/>
    <w:rsid w:val="00E565B6"/>
    <w:rsid w:val="00E565F0"/>
    <w:rsid w:val="00E56714"/>
    <w:rsid w:val="00E567D4"/>
    <w:rsid w:val="00E568D0"/>
    <w:rsid w:val="00E568E8"/>
    <w:rsid w:val="00E56CE9"/>
    <w:rsid w:val="00E56F5C"/>
    <w:rsid w:val="00E57128"/>
    <w:rsid w:val="00E571B2"/>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222"/>
    <w:rsid w:val="00E6242B"/>
    <w:rsid w:val="00E6268D"/>
    <w:rsid w:val="00E62745"/>
    <w:rsid w:val="00E629A1"/>
    <w:rsid w:val="00E62A51"/>
    <w:rsid w:val="00E630EE"/>
    <w:rsid w:val="00E631DD"/>
    <w:rsid w:val="00E6323A"/>
    <w:rsid w:val="00E63338"/>
    <w:rsid w:val="00E63435"/>
    <w:rsid w:val="00E6347D"/>
    <w:rsid w:val="00E634B4"/>
    <w:rsid w:val="00E6358D"/>
    <w:rsid w:val="00E6385E"/>
    <w:rsid w:val="00E63C32"/>
    <w:rsid w:val="00E64659"/>
    <w:rsid w:val="00E6484D"/>
    <w:rsid w:val="00E64BD8"/>
    <w:rsid w:val="00E64E18"/>
    <w:rsid w:val="00E64E85"/>
    <w:rsid w:val="00E64F6B"/>
    <w:rsid w:val="00E65F9A"/>
    <w:rsid w:val="00E665A1"/>
    <w:rsid w:val="00E66B50"/>
    <w:rsid w:val="00E66B5B"/>
    <w:rsid w:val="00E66D26"/>
    <w:rsid w:val="00E66DC4"/>
    <w:rsid w:val="00E67247"/>
    <w:rsid w:val="00E6726D"/>
    <w:rsid w:val="00E6736F"/>
    <w:rsid w:val="00E6770D"/>
    <w:rsid w:val="00E67758"/>
    <w:rsid w:val="00E67881"/>
    <w:rsid w:val="00E67900"/>
    <w:rsid w:val="00E67B29"/>
    <w:rsid w:val="00E67BCD"/>
    <w:rsid w:val="00E7008D"/>
    <w:rsid w:val="00E707B1"/>
    <w:rsid w:val="00E70805"/>
    <w:rsid w:val="00E70916"/>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71"/>
    <w:rsid w:val="00E734C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BF"/>
    <w:rsid w:val="00E7735B"/>
    <w:rsid w:val="00E77955"/>
    <w:rsid w:val="00E77D9E"/>
    <w:rsid w:val="00E77E6C"/>
    <w:rsid w:val="00E77E74"/>
    <w:rsid w:val="00E77EC2"/>
    <w:rsid w:val="00E8009E"/>
    <w:rsid w:val="00E801FF"/>
    <w:rsid w:val="00E802B3"/>
    <w:rsid w:val="00E80340"/>
    <w:rsid w:val="00E80384"/>
    <w:rsid w:val="00E80531"/>
    <w:rsid w:val="00E806B3"/>
    <w:rsid w:val="00E8094B"/>
    <w:rsid w:val="00E809FD"/>
    <w:rsid w:val="00E80A04"/>
    <w:rsid w:val="00E80B95"/>
    <w:rsid w:val="00E80C6E"/>
    <w:rsid w:val="00E80C8A"/>
    <w:rsid w:val="00E80D65"/>
    <w:rsid w:val="00E812D9"/>
    <w:rsid w:val="00E812FB"/>
    <w:rsid w:val="00E81432"/>
    <w:rsid w:val="00E8146A"/>
    <w:rsid w:val="00E816DD"/>
    <w:rsid w:val="00E81763"/>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D92"/>
    <w:rsid w:val="00E8434A"/>
    <w:rsid w:val="00E845EB"/>
    <w:rsid w:val="00E84624"/>
    <w:rsid w:val="00E8481B"/>
    <w:rsid w:val="00E849A7"/>
    <w:rsid w:val="00E84B23"/>
    <w:rsid w:val="00E84BBA"/>
    <w:rsid w:val="00E84C2A"/>
    <w:rsid w:val="00E84EAD"/>
    <w:rsid w:val="00E85236"/>
    <w:rsid w:val="00E853D2"/>
    <w:rsid w:val="00E853D9"/>
    <w:rsid w:val="00E854F3"/>
    <w:rsid w:val="00E85669"/>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11D"/>
    <w:rsid w:val="00EA552D"/>
    <w:rsid w:val="00EA55CC"/>
    <w:rsid w:val="00EA5654"/>
    <w:rsid w:val="00EA56A9"/>
    <w:rsid w:val="00EA59B1"/>
    <w:rsid w:val="00EA5ECD"/>
    <w:rsid w:val="00EA6049"/>
    <w:rsid w:val="00EA628C"/>
    <w:rsid w:val="00EA63F6"/>
    <w:rsid w:val="00EA64A5"/>
    <w:rsid w:val="00EA656E"/>
    <w:rsid w:val="00EA66E5"/>
    <w:rsid w:val="00EA6DF1"/>
    <w:rsid w:val="00EA7064"/>
    <w:rsid w:val="00EA72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59C"/>
    <w:rsid w:val="00EB1610"/>
    <w:rsid w:val="00EB16E7"/>
    <w:rsid w:val="00EB172F"/>
    <w:rsid w:val="00EB199F"/>
    <w:rsid w:val="00EB19C5"/>
    <w:rsid w:val="00EB1A24"/>
    <w:rsid w:val="00EB1B8D"/>
    <w:rsid w:val="00EB1C86"/>
    <w:rsid w:val="00EB23B5"/>
    <w:rsid w:val="00EB2664"/>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F65"/>
    <w:rsid w:val="00EB523A"/>
    <w:rsid w:val="00EB5393"/>
    <w:rsid w:val="00EB5534"/>
    <w:rsid w:val="00EB56F7"/>
    <w:rsid w:val="00EB580D"/>
    <w:rsid w:val="00EB5870"/>
    <w:rsid w:val="00EB5E66"/>
    <w:rsid w:val="00EB6034"/>
    <w:rsid w:val="00EB617E"/>
    <w:rsid w:val="00EB621D"/>
    <w:rsid w:val="00EB6225"/>
    <w:rsid w:val="00EB6617"/>
    <w:rsid w:val="00EB67B6"/>
    <w:rsid w:val="00EB684C"/>
    <w:rsid w:val="00EB6B9C"/>
    <w:rsid w:val="00EB6CC4"/>
    <w:rsid w:val="00EB6CC6"/>
    <w:rsid w:val="00EB7156"/>
    <w:rsid w:val="00EB7229"/>
    <w:rsid w:val="00EB750D"/>
    <w:rsid w:val="00EB75DF"/>
    <w:rsid w:val="00EB76C7"/>
    <w:rsid w:val="00EB7DD5"/>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630"/>
    <w:rsid w:val="00EC5B75"/>
    <w:rsid w:val="00EC5BE2"/>
    <w:rsid w:val="00EC5E27"/>
    <w:rsid w:val="00EC5E7B"/>
    <w:rsid w:val="00EC60FA"/>
    <w:rsid w:val="00EC61EB"/>
    <w:rsid w:val="00EC6615"/>
    <w:rsid w:val="00EC6717"/>
    <w:rsid w:val="00EC68E9"/>
    <w:rsid w:val="00EC68F3"/>
    <w:rsid w:val="00EC6A6A"/>
    <w:rsid w:val="00EC6C4A"/>
    <w:rsid w:val="00EC6D9A"/>
    <w:rsid w:val="00EC6DED"/>
    <w:rsid w:val="00EC6E39"/>
    <w:rsid w:val="00EC76BB"/>
    <w:rsid w:val="00EC7832"/>
    <w:rsid w:val="00EC7B23"/>
    <w:rsid w:val="00EC7BF9"/>
    <w:rsid w:val="00EC7C5D"/>
    <w:rsid w:val="00EC7C95"/>
    <w:rsid w:val="00ED060C"/>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998"/>
    <w:rsid w:val="00ED4E8C"/>
    <w:rsid w:val="00ED5149"/>
    <w:rsid w:val="00ED52A3"/>
    <w:rsid w:val="00ED5590"/>
    <w:rsid w:val="00ED573E"/>
    <w:rsid w:val="00ED5895"/>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F47"/>
    <w:rsid w:val="00EE4396"/>
    <w:rsid w:val="00EE43FD"/>
    <w:rsid w:val="00EE4443"/>
    <w:rsid w:val="00EE48B5"/>
    <w:rsid w:val="00EE48C5"/>
    <w:rsid w:val="00EE495B"/>
    <w:rsid w:val="00EE4B47"/>
    <w:rsid w:val="00EE4B70"/>
    <w:rsid w:val="00EE4C18"/>
    <w:rsid w:val="00EE4CC9"/>
    <w:rsid w:val="00EE4DFF"/>
    <w:rsid w:val="00EE52F8"/>
    <w:rsid w:val="00EE5376"/>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42E"/>
    <w:rsid w:val="00EF34A4"/>
    <w:rsid w:val="00EF3919"/>
    <w:rsid w:val="00EF3BCC"/>
    <w:rsid w:val="00EF3BE9"/>
    <w:rsid w:val="00EF3D85"/>
    <w:rsid w:val="00EF3E84"/>
    <w:rsid w:val="00EF435A"/>
    <w:rsid w:val="00EF485D"/>
    <w:rsid w:val="00EF4A32"/>
    <w:rsid w:val="00EF4B1C"/>
    <w:rsid w:val="00EF5671"/>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B1"/>
    <w:rsid w:val="00F02322"/>
    <w:rsid w:val="00F0285B"/>
    <w:rsid w:val="00F028CA"/>
    <w:rsid w:val="00F02A16"/>
    <w:rsid w:val="00F02D58"/>
    <w:rsid w:val="00F03182"/>
    <w:rsid w:val="00F03273"/>
    <w:rsid w:val="00F03348"/>
    <w:rsid w:val="00F03355"/>
    <w:rsid w:val="00F03488"/>
    <w:rsid w:val="00F036ED"/>
    <w:rsid w:val="00F03A23"/>
    <w:rsid w:val="00F03A80"/>
    <w:rsid w:val="00F03CF1"/>
    <w:rsid w:val="00F03D0B"/>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E8"/>
    <w:rsid w:val="00F07229"/>
    <w:rsid w:val="00F0741A"/>
    <w:rsid w:val="00F074C0"/>
    <w:rsid w:val="00F07657"/>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34C"/>
    <w:rsid w:val="00F14568"/>
    <w:rsid w:val="00F1465A"/>
    <w:rsid w:val="00F14673"/>
    <w:rsid w:val="00F1467B"/>
    <w:rsid w:val="00F14812"/>
    <w:rsid w:val="00F14A77"/>
    <w:rsid w:val="00F14DAE"/>
    <w:rsid w:val="00F14FE9"/>
    <w:rsid w:val="00F15664"/>
    <w:rsid w:val="00F1572D"/>
    <w:rsid w:val="00F15776"/>
    <w:rsid w:val="00F1586C"/>
    <w:rsid w:val="00F1595C"/>
    <w:rsid w:val="00F15A6B"/>
    <w:rsid w:val="00F15BCE"/>
    <w:rsid w:val="00F16192"/>
    <w:rsid w:val="00F16A73"/>
    <w:rsid w:val="00F16C38"/>
    <w:rsid w:val="00F16D2C"/>
    <w:rsid w:val="00F16FA0"/>
    <w:rsid w:val="00F16FAD"/>
    <w:rsid w:val="00F1706C"/>
    <w:rsid w:val="00F17322"/>
    <w:rsid w:val="00F17A0F"/>
    <w:rsid w:val="00F17CFF"/>
    <w:rsid w:val="00F17D1F"/>
    <w:rsid w:val="00F17D3B"/>
    <w:rsid w:val="00F17E59"/>
    <w:rsid w:val="00F17ECE"/>
    <w:rsid w:val="00F17F6B"/>
    <w:rsid w:val="00F17F7F"/>
    <w:rsid w:val="00F2011B"/>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B3F"/>
    <w:rsid w:val="00F26BE9"/>
    <w:rsid w:val="00F26D77"/>
    <w:rsid w:val="00F26EA0"/>
    <w:rsid w:val="00F26FE1"/>
    <w:rsid w:val="00F27225"/>
    <w:rsid w:val="00F2733C"/>
    <w:rsid w:val="00F2747B"/>
    <w:rsid w:val="00F27501"/>
    <w:rsid w:val="00F27598"/>
    <w:rsid w:val="00F276E3"/>
    <w:rsid w:val="00F27BD1"/>
    <w:rsid w:val="00F27DED"/>
    <w:rsid w:val="00F27F09"/>
    <w:rsid w:val="00F27FC5"/>
    <w:rsid w:val="00F300C6"/>
    <w:rsid w:val="00F30700"/>
    <w:rsid w:val="00F307E9"/>
    <w:rsid w:val="00F3089C"/>
    <w:rsid w:val="00F31029"/>
    <w:rsid w:val="00F314D1"/>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F1E"/>
    <w:rsid w:val="00F37F9D"/>
    <w:rsid w:val="00F40825"/>
    <w:rsid w:val="00F408B9"/>
    <w:rsid w:val="00F409E8"/>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B4"/>
    <w:rsid w:val="00F6223D"/>
    <w:rsid w:val="00F62308"/>
    <w:rsid w:val="00F62437"/>
    <w:rsid w:val="00F62623"/>
    <w:rsid w:val="00F62806"/>
    <w:rsid w:val="00F6285A"/>
    <w:rsid w:val="00F62F6B"/>
    <w:rsid w:val="00F630A4"/>
    <w:rsid w:val="00F632FB"/>
    <w:rsid w:val="00F63869"/>
    <w:rsid w:val="00F63E69"/>
    <w:rsid w:val="00F63ECB"/>
    <w:rsid w:val="00F640EC"/>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707A"/>
    <w:rsid w:val="00F8725C"/>
    <w:rsid w:val="00F87325"/>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636"/>
    <w:rsid w:val="00F94642"/>
    <w:rsid w:val="00F95053"/>
    <w:rsid w:val="00F95095"/>
    <w:rsid w:val="00F95489"/>
    <w:rsid w:val="00F954C0"/>
    <w:rsid w:val="00F95884"/>
    <w:rsid w:val="00F95A74"/>
    <w:rsid w:val="00F95AEA"/>
    <w:rsid w:val="00F95E6E"/>
    <w:rsid w:val="00F95EA6"/>
    <w:rsid w:val="00F96573"/>
    <w:rsid w:val="00F9659B"/>
    <w:rsid w:val="00F9660C"/>
    <w:rsid w:val="00F9689D"/>
    <w:rsid w:val="00F969B5"/>
    <w:rsid w:val="00F96B9D"/>
    <w:rsid w:val="00F96C95"/>
    <w:rsid w:val="00F96D29"/>
    <w:rsid w:val="00F971F0"/>
    <w:rsid w:val="00FA025D"/>
    <w:rsid w:val="00FA098C"/>
    <w:rsid w:val="00FA0B41"/>
    <w:rsid w:val="00FA0F6F"/>
    <w:rsid w:val="00FA1034"/>
    <w:rsid w:val="00FA1890"/>
    <w:rsid w:val="00FA19D5"/>
    <w:rsid w:val="00FA1D97"/>
    <w:rsid w:val="00FA215C"/>
    <w:rsid w:val="00FA2319"/>
    <w:rsid w:val="00FA240B"/>
    <w:rsid w:val="00FA2AFE"/>
    <w:rsid w:val="00FA2BA5"/>
    <w:rsid w:val="00FA2C60"/>
    <w:rsid w:val="00FA2F87"/>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946"/>
    <w:rsid w:val="00FB1057"/>
    <w:rsid w:val="00FB1061"/>
    <w:rsid w:val="00FB10A5"/>
    <w:rsid w:val="00FB1128"/>
    <w:rsid w:val="00FB116F"/>
    <w:rsid w:val="00FB1193"/>
    <w:rsid w:val="00FB14EC"/>
    <w:rsid w:val="00FB1557"/>
    <w:rsid w:val="00FB1743"/>
    <w:rsid w:val="00FB18F8"/>
    <w:rsid w:val="00FB19DE"/>
    <w:rsid w:val="00FB1B8C"/>
    <w:rsid w:val="00FB1C85"/>
    <w:rsid w:val="00FB238E"/>
    <w:rsid w:val="00FB246F"/>
    <w:rsid w:val="00FB24F5"/>
    <w:rsid w:val="00FB2580"/>
    <w:rsid w:val="00FB2DAA"/>
    <w:rsid w:val="00FB2DE7"/>
    <w:rsid w:val="00FB302D"/>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55E2"/>
    <w:rsid w:val="00FB59E5"/>
    <w:rsid w:val="00FB5B00"/>
    <w:rsid w:val="00FB5C2E"/>
    <w:rsid w:val="00FB5D7E"/>
    <w:rsid w:val="00FB6053"/>
    <w:rsid w:val="00FB60F7"/>
    <w:rsid w:val="00FB612F"/>
    <w:rsid w:val="00FB61B0"/>
    <w:rsid w:val="00FB63E2"/>
    <w:rsid w:val="00FB659D"/>
    <w:rsid w:val="00FB6636"/>
    <w:rsid w:val="00FB66B2"/>
    <w:rsid w:val="00FB693A"/>
    <w:rsid w:val="00FB7060"/>
    <w:rsid w:val="00FB76DC"/>
    <w:rsid w:val="00FB7788"/>
    <w:rsid w:val="00FB7D6B"/>
    <w:rsid w:val="00FB7E39"/>
    <w:rsid w:val="00FB7EE9"/>
    <w:rsid w:val="00FC021B"/>
    <w:rsid w:val="00FC05C1"/>
    <w:rsid w:val="00FC05C6"/>
    <w:rsid w:val="00FC066E"/>
    <w:rsid w:val="00FC074C"/>
    <w:rsid w:val="00FC0E3A"/>
    <w:rsid w:val="00FC112B"/>
    <w:rsid w:val="00FC12C4"/>
    <w:rsid w:val="00FC13B5"/>
    <w:rsid w:val="00FC13EF"/>
    <w:rsid w:val="00FC1528"/>
    <w:rsid w:val="00FC1866"/>
    <w:rsid w:val="00FC1C01"/>
    <w:rsid w:val="00FC1D19"/>
    <w:rsid w:val="00FC2208"/>
    <w:rsid w:val="00FC2368"/>
    <w:rsid w:val="00FC23C7"/>
    <w:rsid w:val="00FC23DF"/>
    <w:rsid w:val="00FC241A"/>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A"/>
    <w:rsid w:val="00FE1F7D"/>
    <w:rsid w:val="00FE21E7"/>
    <w:rsid w:val="00FE248C"/>
    <w:rsid w:val="00FE2510"/>
    <w:rsid w:val="00FE2707"/>
    <w:rsid w:val="00FE2ECE"/>
    <w:rsid w:val="00FE328A"/>
    <w:rsid w:val="00FE34DF"/>
    <w:rsid w:val="00FE34F0"/>
    <w:rsid w:val="00FE3650"/>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BE5"/>
    <w:rsid w:val="00FE5D11"/>
    <w:rsid w:val="00FE64C3"/>
    <w:rsid w:val="00FE6793"/>
    <w:rsid w:val="00FE69E3"/>
    <w:rsid w:val="00FE6C15"/>
    <w:rsid w:val="00FE7000"/>
    <w:rsid w:val="00FE70F1"/>
    <w:rsid w:val="00FE7888"/>
    <w:rsid w:val="00FE7AFE"/>
    <w:rsid w:val="00FE7C9A"/>
    <w:rsid w:val="00FE7D87"/>
    <w:rsid w:val="00FF0126"/>
    <w:rsid w:val="00FF021C"/>
    <w:rsid w:val="00FF042C"/>
    <w:rsid w:val="00FF055D"/>
    <w:rsid w:val="00FF0570"/>
    <w:rsid w:val="00FF072F"/>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6512"/>
    <w:rsid w:val="00FF653D"/>
    <w:rsid w:val="00FF6542"/>
    <w:rsid w:val="00FF65DA"/>
    <w:rsid w:val="00FF6685"/>
    <w:rsid w:val="00FF6AF3"/>
    <w:rsid w:val="00FF6B86"/>
    <w:rsid w:val="00FF6FDE"/>
    <w:rsid w:val="00FF6FE9"/>
    <w:rsid w:val="00FF719F"/>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5A429F31-A4F7-44A9-8871-99B18F4C54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Textoennegrita">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elperuano.pe/NormasElperuano/2021/09/06/1988935-2/1988935-2.htm" TargetMode="External"/><Relationship Id="rId18" Type="http://schemas.openxmlformats.org/officeDocument/2006/relationships/header" Target="header1.xml"/><Relationship Id="rId26" Type="http://schemas.openxmlformats.org/officeDocument/2006/relationships/image" Target="media/image8.png"/><Relationship Id="rId39" Type="http://schemas.openxmlformats.org/officeDocument/2006/relationships/footer" Target="footer4.xml"/><Relationship Id="rId21" Type="http://schemas.openxmlformats.org/officeDocument/2006/relationships/footer" Target="footer2.xml"/><Relationship Id="rId34" Type="http://schemas.openxmlformats.org/officeDocument/2006/relationships/image" Target="media/image16.gi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elperuano.pe/NormasElperuano/2021/09/06/1988935-2/1988935-2.htm" TargetMode="External"/><Relationship Id="rId20" Type="http://schemas.openxmlformats.org/officeDocument/2006/relationships/header" Target="header2.xml"/><Relationship Id="rId29" Type="http://schemas.openxmlformats.org/officeDocument/2006/relationships/image" Target="media/image11.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14.gif"/><Relationship Id="rId37" Type="http://schemas.openxmlformats.org/officeDocument/2006/relationships/hyperlink" Target="https://www.osinergmin.gob.pe/seccion/centro_documental/gart/precios_referencia_banda_precios/PreciosReferencia/Informe-Tecnico-479-2021-GRT.pdf" TargetMode="External"/><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hyperlink" Target="https://elperuano.pe/NormasElperuano/2021/09/06/1988935-2/1988935-2.htm" TargetMode="External"/><Relationship Id="rId23" Type="http://schemas.openxmlformats.org/officeDocument/2006/relationships/footer" Target="footer3.xml"/><Relationship Id="rId28" Type="http://schemas.openxmlformats.org/officeDocument/2006/relationships/image" Target="media/image10.emf"/><Relationship Id="rId36"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footer" Target="footer1.xml"/><Relationship Id="rId31" Type="http://schemas.openxmlformats.org/officeDocument/2006/relationships/image" Target="media/image13.gi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www.peruweek.pe/tag/glp/" TargetMode="External"/><Relationship Id="rId22" Type="http://schemas.openxmlformats.org/officeDocument/2006/relationships/image" Target="media/image5.emf"/><Relationship Id="rId27" Type="http://schemas.openxmlformats.org/officeDocument/2006/relationships/image" Target="media/image9.emf"/><Relationship Id="rId30" Type="http://schemas.openxmlformats.org/officeDocument/2006/relationships/image" Target="media/image12.emf"/><Relationship Id="rId35" Type="http://schemas.openxmlformats.org/officeDocument/2006/relationships/image" Target="media/image17.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3.png"/><Relationship Id="rId25" Type="http://schemas.openxmlformats.org/officeDocument/2006/relationships/image" Target="media/image7.emf"/><Relationship Id="rId33" Type="http://schemas.openxmlformats.org/officeDocument/2006/relationships/image" Target="media/image15.gif"/><Relationship Id="rId38" Type="http://schemas.openxmlformats.org/officeDocument/2006/relationships/header" Target="header4.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customXml/itemProps3.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4.xml><?xml version="1.0" encoding="utf-8"?>
<ds:datastoreItem xmlns:ds="http://schemas.openxmlformats.org/officeDocument/2006/customXml" ds:itemID="{B6AF86B4-4A6D-450E-AD5D-A61EEDEC71F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18</Pages>
  <Words>3904</Words>
  <Characters>21472</Characters>
  <Application>Microsoft Office Word</Application>
  <DocSecurity>0</DocSecurity>
  <Lines>178</Lines>
  <Paragraphs>50</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25326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3</cp:revision>
  <cp:lastPrinted>2024-06-05T18:48:00Z</cp:lastPrinted>
  <dcterms:created xsi:type="dcterms:W3CDTF">2024-06-05T18:47:00Z</dcterms:created>
  <dcterms:modified xsi:type="dcterms:W3CDTF">2024-06-05T18:51:00Z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