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B9876" w14:textId="74CE39F4" w:rsidR="00C80F8A" w:rsidRPr="00352B3A" w:rsidRDefault="00C80F8A" w:rsidP="006106D5">
      <w:pPr>
        <w:pStyle w:val="Ttulo10"/>
        <w:rPr>
          <w:rFonts w:asciiTheme="minorHAnsi" w:hAnsiTheme="minorHAnsi" w:cstheme="minorHAnsi"/>
          <w:sz w:val="32"/>
          <w:szCs w:val="28"/>
          <w:u w:val="single"/>
          <w:lang w:val="it-IT"/>
        </w:rPr>
      </w:pPr>
      <w:r w:rsidRPr="00352B3A">
        <w:rPr>
          <w:rFonts w:asciiTheme="minorHAnsi" w:hAnsiTheme="minorHAnsi" w:cstheme="minorHAnsi"/>
          <w:sz w:val="32"/>
          <w:szCs w:val="28"/>
          <w:u w:val="single"/>
          <w:lang w:val="it-IT"/>
        </w:rPr>
        <w:t xml:space="preserve">INFORME N° PR </w:t>
      </w:r>
      <w:r w:rsidR="002A50E6">
        <w:rPr>
          <w:rFonts w:asciiTheme="minorHAnsi" w:hAnsiTheme="minorHAnsi" w:cstheme="minorHAnsi"/>
          <w:sz w:val="32"/>
          <w:szCs w:val="28"/>
          <w:u w:val="single"/>
          <w:lang w:val="it-IT"/>
        </w:rPr>
        <w:t>-</w:t>
      </w:r>
      <w:r w:rsidRPr="00352B3A">
        <w:rPr>
          <w:rFonts w:asciiTheme="minorHAnsi" w:hAnsiTheme="minorHAnsi" w:cstheme="minorHAnsi"/>
          <w:sz w:val="32"/>
          <w:szCs w:val="28"/>
          <w:u w:val="single"/>
          <w:lang w:val="it-IT"/>
        </w:rPr>
        <w:t xml:space="preserve"> 0</w:t>
      </w:r>
      <w:r w:rsidR="00973DE9">
        <w:rPr>
          <w:rFonts w:asciiTheme="minorHAnsi" w:hAnsiTheme="minorHAnsi" w:cstheme="minorHAnsi"/>
          <w:sz w:val="32"/>
          <w:szCs w:val="28"/>
          <w:u w:val="single"/>
          <w:lang w:val="it-IT"/>
        </w:rPr>
        <w:t>2</w:t>
      </w:r>
      <w:r w:rsidRPr="00352B3A">
        <w:rPr>
          <w:rFonts w:asciiTheme="minorHAnsi" w:hAnsiTheme="minorHAnsi" w:cstheme="minorHAnsi"/>
          <w:sz w:val="32"/>
          <w:szCs w:val="28"/>
          <w:u w:val="single"/>
          <w:lang w:val="it-IT"/>
        </w:rPr>
        <w:t>-2023-DGN/GRT</w:t>
      </w:r>
    </w:p>
    <w:p w14:paraId="05C31DA7" w14:textId="0E3F0B92"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1C8CFAB8"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973DE9">
        <w:rPr>
          <w:rFonts w:asciiTheme="minorHAnsi" w:hAnsiTheme="minorHAnsi" w:cstheme="minorHAnsi"/>
          <w:b/>
          <w:bCs/>
          <w:sz w:val="28"/>
          <w:szCs w:val="28"/>
        </w:rPr>
        <w:t>9</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981FBB">
        <w:rPr>
          <w:rFonts w:asciiTheme="minorHAnsi" w:hAnsiTheme="minorHAnsi" w:cstheme="minorHAnsi"/>
          <w:b/>
          <w:bCs/>
          <w:sz w:val="28"/>
          <w:szCs w:val="28"/>
        </w:rPr>
        <w:t>3</w:t>
      </w:r>
    </w:p>
    <w:p w14:paraId="4828A6AA" w14:textId="77777777" w:rsidR="00613813" w:rsidRPr="00FB18F8" w:rsidRDefault="00613813" w:rsidP="00027D8A">
      <w:pPr>
        <w:jc w:val="center"/>
        <w:rPr>
          <w:rFonts w:asciiTheme="minorHAnsi" w:hAnsiTheme="minorHAnsi" w:cstheme="minorHAnsi"/>
          <w:b/>
          <w:bCs/>
          <w:sz w:val="28"/>
          <w:szCs w:val="28"/>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23ECC3C8" w:rsidR="00E53D92" w:rsidRPr="002B3648" w:rsidRDefault="00973DE9"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3C67AE">
        <w:rPr>
          <w:noProof/>
          <w:lang w:val="es-PE" w:eastAsia="es-PE"/>
        </w:rPr>
        <w:drawing>
          <wp:inline distT="0" distB="0" distL="0" distR="0" wp14:anchorId="4D1F8322" wp14:editId="4CF68106">
            <wp:extent cx="5334000" cy="3360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34000" cy="336042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352B3A">
      <w:pPr>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5F46842"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lastRenderedPageBreak/>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 cambiaron, respecto al mes de julio 2021; debido principalmente al impacto de la variante Delta del Coronavirus, que retrasó, a nivel global,</w:t>
      </w:r>
      <w:r w:rsidRPr="00470CF5">
        <w:rPr>
          <w:rFonts w:asciiTheme="minorHAnsi" w:hAnsiTheme="minorHAnsi" w:cstheme="minorHAnsi"/>
          <w:sz w:val="22"/>
          <w:szCs w:val="22"/>
        </w:rPr>
        <w:t xml:space="preserve"> la reactivación que habían experimentado los precios del petróleo </w:t>
      </w:r>
      <w:r>
        <w:rPr>
          <w:rFonts w:asciiTheme="minorHAnsi" w:hAnsiTheme="minorHAnsi" w:cstheme="minorHAnsi"/>
          <w:sz w:val="22"/>
          <w:szCs w:val="22"/>
        </w:rPr>
        <w:t>y combustibles a lo largo de</w:t>
      </w:r>
      <w:r w:rsidRPr="00470CF5">
        <w:rPr>
          <w:rFonts w:asciiTheme="minorHAnsi" w:hAnsiTheme="minorHAnsi" w:cstheme="minorHAnsi"/>
          <w:sz w:val="22"/>
          <w:szCs w:val="22"/>
        </w:rPr>
        <w:t xml:space="preserve"> la pandemia.</w:t>
      </w:r>
    </w:p>
    <w:p w14:paraId="6C50A32F"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 xml:space="preserve">  </w:t>
      </w:r>
    </w:p>
    <w:p w14:paraId="6C9141E6" w14:textId="77777777" w:rsidR="00973DE9" w:rsidRDefault="00973DE9" w:rsidP="00973DE9">
      <w:pPr>
        <w:jc w:val="both"/>
        <w:rPr>
          <w:rFonts w:asciiTheme="minorHAnsi" w:hAnsiTheme="minorHAnsi" w:cstheme="minorHAnsi"/>
          <w:sz w:val="22"/>
          <w:szCs w:val="22"/>
        </w:rPr>
      </w:pPr>
      <w:r>
        <w:rPr>
          <w:rFonts w:asciiTheme="minorHAnsi" w:hAnsiTheme="minorHAnsi" w:cstheme="minorHAnsi"/>
          <w:sz w:val="22"/>
          <w:szCs w:val="22"/>
        </w:rPr>
        <w:t>Durante el primer semestre del año 2022, los precios del petróleo crudo y productos mostraron una tendencia alcista, en medio de la alta volatilidad registrada; mientras que a partir del segundo semestre los precios se movieron dentro de una banda de menor amplitud, con una tendencia a la baja, en el caso del petróleo crudo WTI, el GLP y el Residual 3%. Asimismo, al cierre de la última semana del periodo de evaluación</w:t>
      </w:r>
      <w:r>
        <w:rPr>
          <w:rStyle w:val="Refdenotaalpie"/>
          <w:rFonts w:asciiTheme="minorHAnsi" w:hAnsiTheme="minorHAnsi" w:cstheme="minorHAnsi"/>
          <w:sz w:val="22"/>
          <w:szCs w:val="22"/>
        </w:rPr>
        <w:footnoteReference w:id="2"/>
      </w:r>
      <w:r>
        <w:rPr>
          <w:rFonts w:asciiTheme="minorHAnsi" w:hAnsiTheme="minorHAnsi" w:cstheme="minorHAnsi"/>
          <w:sz w:val="22"/>
          <w:szCs w:val="22"/>
        </w:rPr>
        <w:t>, el precio del crudo WTI se ubicó en</w:t>
      </w:r>
      <w:r w:rsidRPr="00CC0F16">
        <w:rPr>
          <w:rFonts w:asciiTheme="minorHAnsi" w:hAnsiTheme="minorHAnsi" w:cstheme="minorHAnsi"/>
          <w:sz w:val="22"/>
          <w:szCs w:val="22"/>
        </w:rPr>
        <w:t xml:space="preserve"> </w:t>
      </w:r>
      <w:r>
        <w:rPr>
          <w:rFonts w:asciiTheme="minorHAnsi" w:hAnsiTheme="minorHAnsi" w:cstheme="minorHAnsi"/>
          <w:sz w:val="22"/>
          <w:szCs w:val="22"/>
        </w:rPr>
        <w:t xml:space="preserve">74.36 </w:t>
      </w:r>
      <w:r w:rsidRPr="00CC0F16">
        <w:rPr>
          <w:rFonts w:asciiTheme="minorHAnsi" w:hAnsiTheme="minorHAnsi" w:cstheme="minorHAnsi"/>
          <w:sz w:val="22"/>
          <w:szCs w:val="22"/>
        </w:rPr>
        <w:t>US$/</w:t>
      </w:r>
      <w:proofErr w:type="spellStart"/>
      <w:r w:rsidRPr="00CC0F16">
        <w:rPr>
          <w:rFonts w:asciiTheme="minorHAnsi" w:hAnsiTheme="minorHAnsi" w:cstheme="minorHAnsi"/>
          <w:sz w:val="22"/>
          <w:szCs w:val="22"/>
        </w:rPr>
        <w:t>Bl</w:t>
      </w:r>
      <w:proofErr w:type="spellEnd"/>
      <w:r w:rsidRPr="00CC0F16">
        <w:rPr>
          <w:rFonts w:asciiTheme="minorHAnsi" w:hAnsiTheme="minorHAnsi" w:cstheme="minorHAnsi"/>
          <w:sz w:val="22"/>
          <w:szCs w:val="22"/>
        </w:rPr>
        <w:t>, las gasolinas</w:t>
      </w:r>
      <w:r>
        <w:rPr>
          <w:rFonts w:asciiTheme="minorHAnsi" w:hAnsiTheme="minorHAnsi" w:cstheme="minorHAnsi"/>
          <w:sz w:val="22"/>
          <w:szCs w:val="22"/>
        </w:rPr>
        <w:t xml:space="preserve"> registraron un precio superior a 90 US$/</w:t>
      </w:r>
      <w:proofErr w:type="spellStart"/>
      <w:r>
        <w:rPr>
          <w:rFonts w:asciiTheme="minorHAnsi" w:hAnsiTheme="minorHAnsi" w:cstheme="minorHAnsi"/>
          <w:sz w:val="22"/>
          <w:szCs w:val="22"/>
        </w:rPr>
        <w:t>Bl</w:t>
      </w:r>
      <w:proofErr w:type="spellEnd"/>
      <w:r w:rsidRPr="00CC0F16">
        <w:rPr>
          <w:rFonts w:asciiTheme="minorHAnsi" w:hAnsiTheme="minorHAnsi" w:cstheme="minorHAnsi"/>
          <w:sz w:val="22"/>
          <w:szCs w:val="22"/>
        </w:rPr>
        <w:t xml:space="preserve"> </w:t>
      </w:r>
      <w:r>
        <w:rPr>
          <w:rFonts w:asciiTheme="minorHAnsi" w:hAnsiTheme="minorHAnsi" w:cstheme="minorHAnsi"/>
          <w:sz w:val="22"/>
          <w:szCs w:val="22"/>
        </w:rPr>
        <w:t>y los destilados medios registraron</w:t>
      </w:r>
      <w:r w:rsidRPr="00CC0F16">
        <w:rPr>
          <w:rFonts w:asciiTheme="minorHAnsi" w:hAnsiTheme="minorHAnsi" w:cstheme="minorHAnsi"/>
          <w:sz w:val="22"/>
          <w:szCs w:val="22"/>
        </w:rPr>
        <w:t xml:space="preserve"> niveles </w:t>
      </w:r>
      <w:r>
        <w:rPr>
          <w:rFonts w:asciiTheme="minorHAnsi" w:hAnsiTheme="minorHAnsi" w:cstheme="minorHAnsi"/>
          <w:sz w:val="22"/>
          <w:szCs w:val="22"/>
        </w:rPr>
        <w:t>por encima de</w:t>
      </w:r>
      <w:r w:rsidRPr="00CC0F16">
        <w:rPr>
          <w:rFonts w:asciiTheme="minorHAnsi" w:hAnsiTheme="minorHAnsi" w:cstheme="minorHAnsi"/>
          <w:sz w:val="22"/>
          <w:szCs w:val="22"/>
        </w:rPr>
        <w:t xml:space="preserve"> los </w:t>
      </w:r>
      <w:r>
        <w:rPr>
          <w:rFonts w:asciiTheme="minorHAnsi" w:hAnsiTheme="minorHAnsi" w:cstheme="minorHAnsi"/>
          <w:sz w:val="22"/>
          <w:szCs w:val="22"/>
        </w:rPr>
        <w:t>125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 Para el mismo periodo, el precio del GLP cerró la semana en 34.31 US$/</w:t>
      </w:r>
      <w:proofErr w:type="spellStart"/>
      <w:r>
        <w:rPr>
          <w:rFonts w:asciiTheme="minorHAnsi" w:hAnsiTheme="minorHAnsi" w:cstheme="minorHAnsi"/>
          <w:sz w:val="22"/>
          <w:szCs w:val="22"/>
        </w:rPr>
        <w:t>Bl</w:t>
      </w:r>
      <w:proofErr w:type="spellEnd"/>
      <w:r>
        <w:rPr>
          <w:rFonts w:asciiTheme="minorHAnsi" w:hAnsiTheme="minorHAnsi" w:cstheme="minorHAnsi"/>
          <w:sz w:val="22"/>
          <w:szCs w:val="22"/>
        </w:rPr>
        <w:t>.</w:t>
      </w:r>
    </w:p>
    <w:p w14:paraId="1B9A1044" w14:textId="77777777" w:rsidR="00973DE9" w:rsidRDefault="00973DE9" w:rsidP="00973DE9">
      <w:pPr>
        <w:ind w:left="284"/>
        <w:jc w:val="both"/>
        <w:rPr>
          <w:rFonts w:asciiTheme="minorHAnsi" w:hAnsiTheme="minorHAnsi" w:cstheme="minorHAnsi"/>
          <w:sz w:val="22"/>
          <w:szCs w:val="22"/>
        </w:rPr>
      </w:pPr>
    </w:p>
    <w:p w14:paraId="006EAFFD" w14:textId="77777777" w:rsidR="00973DE9" w:rsidRDefault="00973DE9" w:rsidP="00973DE9">
      <w:pPr>
        <w:jc w:val="both"/>
        <w:rPr>
          <w:rFonts w:asciiTheme="minorHAnsi" w:hAnsiTheme="minorHAnsi" w:cstheme="minorHAnsi"/>
          <w:bCs/>
          <w:sz w:val="22"/>
          <w:szCs w:val="22"/>
        </w:rPr>
      </w:pPr>
      <w:r w:rsidRPr="008C61D2">
        <w:rPr>
          <w:rFonts w:asciiTheme="minorHAnsi" w:hAnsiTheme="minorHAnsi" w:cstheme="minorHAnsi"/>
          <w:sz w:val="22"/>
          <w:szCs w:val="22"/>
        </w:rPr>
        <w:t xml:space="preserve">En las semanas del </w:t>
      </w:r>
      <w:r>
        <w:rPr>
          <w:rFonts w:asciiTheme="minorHAnsi" w:hAnsiTheme="minorHAnsi" w:cstheme="minorHAnsi"/>
          <w:sz w:val="22"/>
          <w:szCs w:val="22"/>
        </w:rPr>
        <w:t>22</w:t>
      </w:r>
      <w:r w:rsidRPr="008C61D2">
        <w:rPr>
          <w:rFonts w:asciiTheme="minorHAnsi" w:hAnsiTheme="minorHAnsi" w:cstheme="minorHAnsi"/>
          <w:sz w:val="22"/>
          <w:szCs w:val="22"/>
        </w:rPr>
        <w:t>.</w:t>
      </w:r>
      <w:r>
        <w:rPr>
          <w:rFonts w:asciiTheme="minorHAnsi" w:hAnsiTheme="minorHAnsi" w:cstheme="minorHAnsi"/>
          <w:sz w:val="22"/>
          <w:szCs w:val="22"/>
        </w:rPr>
        <w:t>12</w:t>
      </w:r>
      <w:r w:rsidRPr="008C61D2">
        <w:rPr>
          <w:rFonts w:asciiTheme="minorHAnsi" w:hAnsiTheme="minorHAnsi" w:cstheme="minorHAnsi"/>
          <w:sz w:val="22"/>
          <w:szCs w:val="22"/>
        </w:rPr>
        <w:t xml:space="preserve">.2022 al </w:t>
      </w:r>
      <w:r>
        <w:rPr>
          <w:rFonts w:asciiTheme="minorHAnsi" w:hAnsiTheme="minorHAnsi" w:cstheme="minorHAnsi"/>
          <w:sz w:val="22"/>
          <w:szCs w:val="22"/>
        </w:rPr>
        <w:t>06</w:t>
      </w:r>
      <w:r w:rsidRPr="008C61D2">
        <w:rPr>
          <w:rFonts w:asciiTheme="minorHAnsi" w:hAnsiTheme="minorHAnsi" w:cstheme="minorHAnsi"/>
          <w:sz w:val="22"/>
          <w:szCs w:val="22"/>
        </w:rPr>
        <w:t>.</w:t>
      </w:r>
      <w:r>
        <w:rPr>
          <w:rFonts w:asciiTheme="minorHAnsi" w:hAnsiTheme="minorHAnsi" w:cstheme="minorHAnsi"/>
          <w:sz w:val="22"/>
          <w:szCs w:val="22"/>
        </w:rPr>
        <w:t>01</w:t>
      </w:r>
      <w:r w:rsidRPr="008C61D2">
        <w:rPr>
          <w:rFonts w:asciiTheme="minorHAnsi" w:hAnsiTheme="minorHAnsi" w:cstheme="minorHAnsi"/>
          <w:sz w:val="22"/>
          <w:szCs w:val="22"/>
        </w:rPr>
        <w:t>.2022</w:t>
      </w:r>
      <w:r>
        <w:rPr>
          <w:rFonts w:asciiTheme="minorHAnsi" w:hAnsiTheme="minorHAnsi" w:cstheme="minorHAnsi"/>
          <w:sz w:val="22"/>
          <w:szCs w:val="22"/>
        </w:rPr>
        <w:t xml:space="preserve">, </w:t>
      </w:r>
      <w:r>
        <w:rPr>
          <w:rFonts w:asciiTheme="minorHAnsi" w:hAnsiTheme="minorHAnsi" w:cstheme="minorHAnsi"/>
          <w:bCs/>
          <w:sz w:val="22"/>
          <w:szCs w:val="22"/>
        </w:rPr>
        <w:t>l</w:t>
      </w:r>
      <w:r w:rsidRPr="002B3648">
        <w:rPr>
          <w:rFonts w:asciiTheme="minorHAnsi" w:hAnsiTheme="minorHAnsi" w:cstheme="minorHAnsi"/>
          <w:bCs/>
          <w:sz w:val="22"/>
          <w:szCs w:val="22"/>
        </w:rPr>
        <w:t xml:space="preserve">os principales factores que incidieron </w:t>
      </w:r>
      <w:r>
        <w:rPr>
          <w:rFonts w:asciiTheme="minorHAnsi" w:hAnsiTheme="minorHAnsi" w:cstheme="minorHAnsi"/>
          <w:bCs/>
          <w:sz w:val="22"/>
          <w:szCs w:val="22"/>
        </w:rPr>
        <w:t xml:space="preserve">en la variación </w:t>
      </w:r>
      <w:r w:rsidRPr="002B3648">
        <w:rPr>
          <w:rFonts w:asciiTheme="minorHAnsi" w:hAnsiTheme="minorHAnsi" w:cstheme="minorHAnsi"/>
          <w:bCs/>
          <w:sz w:val="22"/>
          <w:szCs w:val="22"/>
        </w:rPr>
        <w:t>de los precios de</w:t>
      </w:r>
      <w:r>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316221A0" w14:textId="77777777" w:rsidR="00973DE9" w:rsidRPr="004A4F55" w:rsidRDefault="00973DE9" w:rsidP="00973DE9">
      <w:pPr>
        <w:ind w:left="709"/>
        <w:rPr>
          <w:rFonts w:asciiTheme="minorHAnsi" w:hAnsiTheme="minorHAnsi" w:cstheme="minorHAnsi"/>
          <w:bCs/>
          <w:sz w:val="22"/>
          <w:szCs w:val="22"/>
        </w:rPr>
      </w:pPr>
    </w:p>
    <w:p w14:paraId="1CB0D11E"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b/>
          <w:sz w:val="22"/>
          <w:szCs w:val="22"/>
        </w:rPr>
      </w:pPr>
      <w:r w:rsidRPr="00293AFA">
        <w:rPr>
          <w:rFonts w:asciiTheme="minorHAnsi" w:hAnsiTheme="minorHAnsi" w:cstheme="minorHAnsi"/>
          <w:b/>
          <w:sz w:val="22"/>
          <w:szCs w:val="22"/>
        </w:rPr>
        <w:t>El aumento de los inventarios de crudo; así como la reducción de las existencias de propano, gasolinas y destilados, al 30 de diciembre del 2022.</w:t>
      </w:r>
    </w:p>
    <w:p w14:paraId="465330A5" w14:textId="77777777" w:rsidR="00973DE9" w:rsidRPr="00293AFA" w:rsidRDefault="00973DE9" w:rsidP="00973DE9">
      <w:pPr>
        <w:pStyle w:val="Prrafodelista"/>
        <w:ind w:left="426"/>
        <w:jc w:val="both"/>
        <w:rPr>
          <w:rFonts w:asciiTheme="minorHAnsi" w:hAnsiTheme="minorHAnsi" w:cstheme="minorHAnsi"/>
          <w:sz w:val="22"/>
          <w:szCs w:val="22"/>
        </w:rPr>
      </w:pPr>
    </w:p>
    <w:p w14:paraId="007E09BE"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Los inventarios de petróleo subieron 1,7 millones de barriles, registrando un total de 420,6 millones de barriles, un 4% por debajo de la media de los últimos 5 años en esta época del año.</w:t>
      </w:r>
    </w:p>
    <w:p w14:paraId="7E486715" w14:textId="77777777" w:rsidR="00973DE9" w:rsidRPr="00293AFA" w:rsidRDefault="00973DE9" w:rsidP="00973DE9">
      <w:pPr>
        <w:pStyle w:val="Prrafodelista"/>
        <w:ind w:left="426"/>
        <w:jc w:val="both"/>
        <w:rPr>
          <w:rFonts w:asciiTheme="minorHAnsi" w:hAnsiTheme="minorHAnsi" w:cstheme="minorHAnsi"/>
          <w:sz w:val="22"/>
          <w:szCs w:val="22"/>
        </w:rPr>
      </w:pPr>
    </w:p>
    <w:p w14:paraId="3AA77F26"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Las existencias de gasolina bajaron 0,3 millones de barriles, reportando un total de 222,7 millones de barriles; mientras los inventarios de destilados, que incluyen al diésel y al combustible para calefacción, disminuyeron 1,4 millones de barriles, con un total de 118,8 millones de barriles. Finalmente, las existencias de propano se redujeron 3,75 millones de barriles, ubicándose en los 80,681 millones de barriles.</w:t>
      </w:r>
    </w:p>
    <w:p w14:paraId="46C5B72F" w14:textId="77777777" w:rsidR="00973DE9" w:rsidRPr="00293AFA" w:rsidRDefault="00973DE9" w:rsidP="00973DE9">
      <w:pPr>
        <w:pStyle w:val="Prrafodelista"/>
        <w:ind w:left="426"/>
        <w:jc w:val="both"/>
        <w:rPr>
          <w:rFonts w:asciiTheme="minorHAnsi" w:hAnsiTheme="minorHAnsi" w:cstheme="minorHAnsi"/>
          <w:sz w:val="22"/>
          <w:szCs w:val="22"/>
        </w:rPr>
      </w:pPr>
    </w:p>
    <w:p w14:paraId="2A1172DF"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b/>
          <w:sz w:val="22"/>
          <w:szCs w:val="22"/>
        </w:rPr>
      </w:pPr>
      <w:r w:rsidRPr="00293AFA">
        <w:rPr>
          <w:rFonts w:asciiTheme="minorHAnsi" w:hAnsiTheme="minorHAnsi" w:cstheme="minorHAnsi"/>
          <w:b/>
          <w:sz w:val="22"/>
          <w:szCs w:val="22"/>
        </w:rPr>
        <w:t xml:space="preserve">El aumento de los casos de COVID en China, que continúa debilitando la demanda de petróleo crudo y productos en dicho país. </w:t>
      </w:r>
    </w:p>
    <w:p w14:paraId="7A70A4F5" w14:textId="77777777" w:rsidR="00973DE9" w:rsidRPr="00293AFA" w:rsidRDefault="00973DE9" w:rsidP="00973DE9">
      <w:pPr>
        <w:jc w:val="both"/>
        <w:rPr>
          <w:rFonts w:asciiTheme="minorHAnsi" w:hAnsiTheme="minorHAnsi" w:cstheme="minorHAnsi"/>
          <w:b/>
          <w:sz w:val="22"/>
          <w:szCs w:val="22"/>
        </w:rPr>
      </w:pPr>
    </w:p>
    <w:p w14:paraId="4E7543F0"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El Gobierno chino elevó las cuotas de exportación de productos de petróleo refinados en la primera etapa del año 2023. Los operadores atribuyeron el aumento a las expectativas de una escasa demanda interna, debido a que el país sigue luchando contra las oleadas de infecciones por COVID-19.</w:t>
      </w:r>
    </w:p>
    <w:p w14:paraId="03BC2EA0" w14:textId="77777777" w:rsidR="00973DE9" w:rsidRPr="00293AFA" w:rsidRDefault="00973DE9" w:rsidP="00973DE9">
      <w:pPr>
        <w:ind w:left="426"/>
        <w:jc w:val="both"/>
        <w:rPr>
          <w:rFonts w:asciiTheme="minorHAnsi" w:hAnsiTheme="minorHAnsi" w:cstheme="minorHAnsi"/>
          <w:sz w:val="22"/>
          <w:szCs w:val="22"/>
        </w:rPr>
      </w:pPr>
    </w:p>
    <w:p w14:paraId="65555AD5"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Por otra parte, la actividad de las fábricas chinas se contrajo en diciembre 2022, como consecuencia de las crecientes infecciones por COVID-19, que perturbaron la producción y redujeron la demanda después de que Pekín eliminó en gran medida las restricciones contra el virus.</w:t>
      </w:r>
    </w:p>
    <w:p w14:paraId="168A8BC0" w14:textId="77777777" w:rsidR="00973DE9" w:rsidRPr="00293AFA" w:rsidRDefault="00973DE9" w:rsidP="00973DE9">
      <w:pPr>
        <w:pStyle w:val="Prrafodelista"/>
        <w:ind w:left="426"/>
        <w:jc w:val="both"/>
        <w:rPr>
          <w:rFonts w:asciiTheme="minorHAnsi" w:hAnsiTheme="minorHAnsi" w:cstheme="minorHAnsi"/>
          <w:sz w:val="22"/>
          <w:szCs w:val="22"/>
        </w:rPr>
      </w:pPr>
    </w:p>
    <w:p w14:paraId="5C200D94" w14:textId="77777777" w:rsidR="00973DE9" w:rsidRPr="00293AFA" w:rsidRDefault="00973DE9" w:rsidP="00973DE9">
      <w:pPr>
        <w:pStyle w:val="Prrafodelista"/>
        <w:ind w:left="426"/>
        <w:jc w:val="both"/>
        <w:rPr>
          <w:rFonts w:asciiTheme="minorHAnsi" w:hAnsiTheme="minorHAnsi" w:cstheme="minorHAnsi"/>
          <w:sz w:val="22"/>
          <w:szCs w:val="22"/>
        </w:rPr>
      </w:pPr>
    </w:p>
    <w:p w14:paraId="54B5D5E2"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b/>
          <w:sz w:val="22"/>
          <w:szCs w:val="22"/>
        </w:rPr>
      </w:pPr>
      <w:r w:rsidRPr="00293AFA">
        <w:rPr>
          <w:rFonts w:asciiTheme="minorHAnsi" w:hAnsiTheme="minorHAnsi" w:cstheme="minorHAnsi"/>
          <w:b/>
          <w:sz w:val="22"/>
          <w:szCs w:val="22"/>
        </w:rPr>
        <w:t>Las preocupaciones por las débiles perspectivas económicas en China, Europa y Estados Unidos</w:t>
      </w:r>
      <w:r>
        <w:rPr>
          <w:rFonts w:asciiTheme="minorHAnsi" w:hAnsiTheme="minorHAnsi" w:cstheme="minorHAnsi"/>
          <w:b/>
          <w:sz w:val="22"/>
          <w:szCs w:val="22"/>
        </w:rPr>
        <w:t>.</w:t>
      </w:r>
    </w:p>
    <w:p w14:paraId="5EDB2740" w14:textId="77777777" w:rsidR="00973DE9" w:rsidRPr="00293AFA" w:rsidRDefault="00973DE9" w:rsidP="00973DE9">
      <w:pPr>
        <w:jc w:val="both"/>
        <w:rPr>
          <w:rFonts w:asciiTheme="minorHAnsi" w:hAnsiTheme="minorHAnsi" w:cstheme="minorHAnsi"/>
          <w:b/>
          <w:sz w:val="22"/>
          <w:szCs w:val="22"/>
        </w:rPr>
      </w:pPr>
    </w:p>
    <w:p w14:paraId="187DAE86"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La directora del FMI advirtió que gran parte de la economía mundial tendrá un año difícil en 2023, debido a que los principales motores del crecimiento mundial (Estados Unidos, Europa y China) experimentarán un debilitamiento de sus actividades económicas.</w:t>
      </w:r>
    </w:p>
    <w:p w14:paraId="289D1037" w14:textId="77777777" w:rsidR="00973DE9" w:rsidRPr="00293AFA" w:rsidRDefault="00973DE9" w:rsidP="00973DE9">
      <w:pPr>
        <w:pStyle w:val="Prrafodelista"/>
        <w:ind w:left="426"/>
        <w:jc w:val="both"/>
        <w:rPr>
          <w:rFonts w:asciiTheme="minorHAnsi" w:hAnsiTheme="minorHAnsi" w:cstheme="minorHAnsi"/>
          <w:b/>
          <w:sz w:val="22"/>
          <w:szCs w:val="22"/>
        </w:rPr>
      </w:pPr>
    </w:p>
    <w:p w14:paraId="2C83D709"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El miércoles 14 de diciembre, la Reserva Federal de Estados Unidos indicó que seguirá subiendo las tasas de interés el 2023, incluso mientras la economía se dirige hacia una posible recesión.</w:t>
      </w:r>
      <w:r w:rsidRPr="00293AFA">
        <w:rPr>
          <w:rFonts w:asciiTheme="minorHAnsi" w:hAnsiTheme="minorHAnsi" w:cstheme="minorHAnsi"/>
          <w:sz w:val="22"/>
          <w:szCs w:val="22"/>
        </w:rPr>
        <w:br/>
        <w:t>El jueves 15 de diciembre, el Banco de Inglaterra y el Banco Central Europeo subieron las tasas de interés para luchar contra la inflación.</w:t>
      </w:r>
    </w:p>
    <w:p w14:paraId="58DD51EE" w14:textId="77777777" w:rsidR="00973DE9" w:rsidRPr="00293AFA" w:rsidRDefault="00973DE9" w:rsidP="00973DE9">
      <w:pPr>
        <w:ind w:left="426"/>
        <w:jc w:val="both"/>
        <w:rPr>
          <w:rFonts w:asciiTheme="minorHAnsi" w:hAnsiTheme="minorHAnsi" w:cstheme="minorHAnsi"/>
          <w:sz w:val="22"/>
          <w:szCs w:val="22"/>
        </w:rPr>
      </w:pPr>
    </w:p>
    <w:p w14:paraId="3D9CF340"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 xml:space="preserve">El mercado continúa preocupado por la demanda ante la posibilidad de nuevas subidas de las tasas de interés de parte de los bancos centrales mundiales. Según los economistas de Reuters, la economía estadounidense se encamina hacia una recesión breve y poco profunda durante el año 2023. </w:t>
      </w:r>
    </w:p>
    <w:p w14:paraId="492CA548" w14:textId="77777777" w:rsidR="00973DE9" w:rsidRPr="00293AFA" w:rsidRDefault="00973DE9" w:rsidP="00973DE9">
      <w:pPr>
        <w:pStyle w:val="Prrafodelista"/>
        <w:ind w:left="426"/>
        <w:jc w:val="both"/>
        <w:rPr>
          <w:rFonts w:asciiTheme="minorHAnsi" w:hAnsiTheme="minorHAnsi" w:cstheme="minorHAnsi"/>
          <w:color w:val="333333"/>
          <w:sz w:val="22"/>
          <w:szCs w:val="22"/>
          <w:shd w:val="clear" w:color="auto" w:fill="FFFFFF"/>
        </w:rPr>
      </w:pPr>
    </w:p>
    <w:p w14:paraId="50CD9C7D"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color w:val="333333"/>
          <w:sz w:val="22"/>
          <w:szCs w:val="22"/>
          <w:shd w:val="clear" w:color="auto" w:fill="FFFFFF"/>
        </w:rPr>
      </w:pPr>
      <w:r w:rsidRPr="00293AFA">
        <w:rPr>
          <w:rFonts w:asciiTheme="minorHAnsi" w:hAnsiTheme="minorHAnsi" w:cstheme="minorHAnsi"/>
          <w:b/>
          <w:sz w:val="22"/>
          <w:szCs w:val="22"/>
        </w:rPr>
        <w:t xml:space="preserve">El cierre de varias refinerías estadounidenses por el paso de la tormenta invernal </w:t>
      </w:r>
      <w:proofErr w:type="spellStart"/>
      <w:r w:rsidRPr="00293AFA">
        <w:rPr>
          <w:rFonts w:asciiTheme="minorHAnsi" w:hAnsiTheme="minorHAnsi" w:cstheme="minorHAnsi"/>
          <w:b/>
          <w:sz w:val="22"/>
          <w:szCs w:val="22"/>
        </w:rPr>
        <w:t>Elliot</w:t>
      </w:r>
      <w:proofErr w:type="spellEnd"/>
      <w:r w:rsidRPr="00293AFA">
        <w:rPr>
          <w:rFonts w:asciiTheme="minorHAnsi" w:hAnsiTheme="minorHAnsi" w:cstheme="minorHAnsi"/>
          <w:b/>
          <w:sz w:val="22"/>
          <w:szCs w:val="22"/>
        </w:rPr>
        <w:t>,</w:t>
      </w:r>
      <w:r w:rsidRPr="00293AFA">
        <w:rPr>
          <w:rFonts w:asciiTheme="minorHAnsi" w:hAnsiTheme="minorHAnsi" w:cstheme="minorHAnsi"/>
          <w:color w:val="333333"/>
          <w:sz w:val="22"/>
          <w:szCs w:val="22"/>
          <w:shd w:val="clear" w:color="auto" w:fill="FFFFFF"/>
        </w:rPr>
        <w:t xml:space="preserve"> </w:t>
      </w:r>
      <w:r w:rsidRPr="00293AFA">
        <w:rPr>
          <w:rFonts w:asciiTheme="minorHAnsi" w:hAnsiTheme="minorHAnsi" w:cstheme="minorHAnsi"/>
          <w:b/>
          <w:sz w:val="22"/>
          <w:szCs w:val="22"/>
        </w:rPr>
        <w:t>con vientos bajo cero en el sur de Texas y temperaturas mínimas récord en Florida y los estados del este de USA.</w:t>
      </w:r>
    </w:p>
    <w:p w14:paraId="7AF93F5F" w14:textId="77777777" w:rsidR="00973DE9" w:rsidRPr="00293AFA" w:rsidRDefault="00973DE9" w:rsidP="00973DE9">
      <w:pPr>
        <w:pStyle w:val="Prrafodelista"/>
        <w:ind w:left="426"/>
        <w:jc w:val="both"/>
        <w:rPr>
          <w:rFonts w:asciiTheme="minorHAnsi" w:hAnsiTheme="minorHAnsi" w:cstheme="minorHAnsi"/>
          <w:color w:val="333333"/>
          <w:sz w:val="22"/>
          <w:szCs w:val="22"/>
          <w:shd w:val="clear" w:color="auto" w:fill="FFFFFF"/>
        </w:rPr>
      </w:pPr>
    </w:p>
    <w:p w14:paraId="47012928"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Al 23 de diciembre, más de 4.400 vuelos estadounidenses fueron cancelados en un periodo de dos días debido a la tormenta invernal, coincidiendo con una temporada de viajes navideños. Este suceso, redujo el consumo de gasolina; y a la vez, impulsó la demanda de gasóleo para calefacción.</w:t>
      </w:r>
    </w:p>
    <w:p w14:paraId="1294B0EF"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La tormenta ha ocasionado, la muerte de al menos, 60 personas, a causa de las temperaturas extremadamente bajas, las intensas nevadas, fuertes vientos y lluvias en casi todo el territorio.</w:t>
      </w:r>
    </w:p>
    <w:p w14:paraId="6D548CA6" w14:textId="77777777" w:rsidR="00973DE9" w:rsidRPr="00293AFA" w:rsidRDefault="00973DE9" w:rsidP="00973DE9">
      <w:pPr>
        <w:pStyle w:val="Prrafodelista"/>
        <w:ind w:left="426"/>
        <w:jc w:val="both"/>
        <w:rPr>
          <w:rFonts w:asciiTheme="minorHAnsi" w:hAnsiTheme="minorHAnsi" w:cstheme="minorHAnsi"/>
          <w:sz w:val="22"/>
          <w:szCs w:val="22"/>
        </w:rPr>
      </w:pPr>
    </w:p>
    <w:p w14:paraId="5FA4B59D"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b/>
          <w:sz w:val="22"/>
          <w:szCs w:val="22"/>
        </w:rPr>
      </w:pPr>
      <w:r w:rsidRPr="00293AFA">
        <w:rPr>
          <w:rFonts w:asciiTheme="minorHAnsi" w:hAnsiTheme="minorHAnsi" w:cstheme="minorHAnsi"/>
          <w:b/>
          <w:sz w:val="22"/>
          <w:szCs w:val="22"/>
        </w:rPr>
        <w:t>Las expectativas de una caída de las exportaciones rusas de petróleo, en un 20%, en diciembre 2022, respecto al mes anterior; ante la limitación de precios y la puesta en marcha del embargo de la Unión Europea al petróleo ruso, desde el 5 de diciembre.</w:t>
      </w:r>
    </w:p>
    <w:p w14:paraId="4CD824DF" w14:textId="77777777" w:rsidR="00973DE9" w:rsidRPr="00293AFA" w:rsidRDefault="00973DE9" w:rsidP="00973DE9">
      <w:pPr>
        <w:jc w:val="both"/>
        <w:rPr>
          <w:rFonts w:asciiTheme="minorHAnsi" w:hAnsiTheme="minorHAnsi" w:cstheme="minorHAnsi"/>
          <w:b/>
          <w:sz w:val="22"/>
          <w:szCs w:val="22"/>
        </w:rPr>
      </w:pPr>
    </w:p>
    <w:p w14:paraId="1B0B5AE0"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La Unión Europea y los países del G7 impusieron sanciones y un límite de precios de 60 US$/</w:t>
      </w:r>
      <w:proofErr w:type="spellStart"/>
      <w:r w:rsidRPr="00293AFA">
        <w:rPr>
          <w:rFonts w:asciiTheme="minorHAnsi" w:hAnsiTheme="minorHAnsi" w:cstheme="minorHAnsi"/>
          <w:sz w:val="22"/>
          <w:szCs w:val="22"/>
        </w:rPr>
        <w:t>Bl</w:t>
      </w:r>
      <w:proofErr w:type="spellEnd"/>
      <w:r w:rsidRPr="00293AFA">
        <w:rPr>
          <w:rFonts w:asciiTheme="minorHAnsi" w:hAnsiTheme="minorHAnsi" w:cstheme="minorHAnsi"/>
          <w:sz w:val="22"/>
          <w:szCs w:val="22"/>
        </w:rPr>
        <w:t xml:space="preserve"> al crudo ruso transportado por mar, a partir del 5 de diciembre 2022.  El petróleo procedente de Rusia por vía marítima se encuentra prohibido en la Unión Europea. El embargo afectará al 90% del petróleo que Moscú ha estado vendiendo antes de la guerra a los países comunitarios.   </w:t>
      </w:r>
    </w:p>
    <w:p w14:paraId="1DAA1161" w14:textId="77777777" w:rsidR="00973DE9" w:rsidRPr="00293AFA" w:rsidRDefault="00973DE9" w:rsidP="00973DE9">
      <w:pPr>
        <w:ind w:left="426"/>
        <w:jc w:val="both"/>
        <w:rPr>
          <w:rFonts w:asciiTheme="minorHAnsi" w:hAnsiTheme="minorHAnsi" w:cstheme="minorHAnsi"/>
          <w:sz w:val="22"/>
          <w:szCs w:val="22"/>
        </w:rPr>
      </w:pPr>
    </w:p>
    <w:p w14:paraId="20696D17"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A este hecho, se sumó el anuncio de Rusia de que prohibirá a partir del 1 de febrero de 2023 y durante cinco meses, exportar petróleo a aquellos países que apliquen un tope a los precios del crudo ruso.</w:t>
      </w:r>
    </w:p>
    <w:p w14:paraId="078ABD56" w14:textId="77777777" w:rsidR="00973DE9" w:rsidRPr="00293AFA" w:rsidRDefault="00973DE9" w:rsidP="00973DE9">
      <w:pPr>
        <w:ind w:left="426"/>
        <w:jc w:val="both"/>
        <w:rPr>
          <w:rFonts w:asciiTheme="minorHAnsi" w:hAnsiTheme="minorHAnsi" w:cstheme="minorHAnsi"/>
          <w:sz w:val="22"/>
          <w:szCs w:val="22"/>
        </w:rPr>
      </w:pPr>
    </w:p>
    <w:p w14:paraId="708E45A2" w14:textId="77777777" w:rsidR="00973DE9" w:rsidRPr="00293AFA" w:rsidRDefault="00973DE9" w:rsidP="00973DE9">
      <w:pPr>
        <w:pStyle w:val="Prrafodelista"/>
        <w:ind w:left="426"/>
        <w:jc w:val="both"/>
        <w:rPr>
          <w:rFonts w:asciiTheme="minorHAnsi" w:hAnsiTheme="minorHAnsi" w:cstheme="minorHAnsi"/>
          <w:sz w:val="22"/>
          <w:szCs w:val="22"/>
        </w:rPr>
      </w:pPr>
      <w:r w:rsidRPr="00293AFA">
        <w:rPr>
          <w:rFonts w:asciiTheme="minorHAnsi" w:hAnsiTheme="minorHAnsi" w:cstheme="minorHAnsi"/>
          <w:sz w:val="22"/>
          <w:szCs w:val="22"/>
        </w:rPr>
        <w:t>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1D125D4D" w14:textId="77777777" w:rsidR="00973DE9" w:rsidRPr="00293AFA" w:rsidRDefault="00973DE9" w:rsidP="00973DE9">
      <w:pPr>
        <w:pStyle w:val="Prrafodelista"/>
        <w:ind w:left="426"/>
        <w:jc w:val="both"/>
        <w:rPr>
          <w:rFonts w:asciiTheme="minorHAnsi" w:hAnsiTheme="minorHAnsi" w:cstheme="minorHAnsi"/>
          <w:sz w:val="22"/>
          <w:szCs w:val="22"/>
        </w:rPr>
      </w:pPr>
    </w:p>
    <w:p w14:paraId="649219C7" w14:textId="77777777" w:rsidR="00973DE9" w:rsidRPr="00293AFA" w:rsidRDefault="00973DE9" w:rsidP="00973DE9">
      <w:pPr>
        <w:pStyle w:val="Prrafodelista"/>
        <w:numPr>
          <w:ilvl w:val="0"/>
          <w:numId w:val="13"/>
        </w:numPr>
        <w:ind w:left="426"/>
        <w:contextualSpacing/>
        <w:jc w:val="both"/>
        <w:rPr>
          <w:rFonts w:asciiTheme="minorHAnsi" w:hAnsiTheme="minorHAnsi" w:cstheme="minorHAnsi"/>
          <w:b/>
          <w:sz w:val="22"/>
          <w:szCs w:val="22"/>
        </w:rPr>
      </w:pPr>
      <w:r w:rsidRPr="00293AFA">
        <w:rPr>
          <w:rFonts w:asciiTheme="minorHAnsi" w:hAnsiTheme="minorHAnsi" w:cstheme="minorHAnsi"/>
          <w:b/>
          <w:sz w:val="22"/>
          <w:szCs w:val="22"/>
        </w:rPr>
        <w:lastRenderedPageBreak/>
        <w:t>La decisión de la OPEP de mantener el compromiso de reducir su objetivo de producción en 2 millones de barriles diarios, a partir de noviembre 2022 hasta finales de 2023 (según lo acordado en su reunión del 5 de octubre, en Viena)</w:t>
      </w:r>
    </w:p>
    <w:p w14:paraId="53F3DA15" w14:textId="77777777" w:rsidR="00973DE9" w:rsidRPr="00293AFA" w:rsidRDefault="00973DE9" w:rsidP="00973DE9">
      <w:pPr>
        <w:pStyle w:val="Prrafodelista"/>
        <w:ind w:left="426"/>
        <w:jc w:val="both"/>
        <w:rPr>
          <w:rFonts w:asciiTheme="minorHAnsi" w:hAnsiTheme="minorHAnsi" w:cstheme="minorHAnsi"/>
          <w:b/>
          <w:sz w:val="22"/>
          <w:szCs w:val="22"/>
        </w:rPr>
      </w:pPr>
      <w:r w:rsidRPr="00293AFA">
        <w:rPr>
          <w:rFonts w:asciiTheme="minorHAnsi" w:hAnsiTheme="minorHAnsi" w:cstheme="minorHAnsi"/>
          <w:b/>
          <w:sz w:val="22"/>
          <w:szCs w:val="22"/>
        </w:rPr>
        <w:t xml:space="preserve"> </w:t>
      </w:r>
    </w:p>
    <w:p w14:paraId="4D023BF5"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w:t>
      </w:r>
    </w:p>
    <w:p w14:paraId="69C30828" w14:textId="77777777" w:rsidR="00973DE9" w:rsidRPr="00293AFA" w:rsidRDefault="00973DE9" w:rsidP="00973DE9">
      <w:pPr>
        <w:ind w:left="426"/>
        <w:jc w:val="both"/>
        <w:rPr>
          <w:rFonts w:asciiTheme="minorHAnsi" w:hAnsiTheme="minorHAnsi" w:cstheme="minorHAnsi"/>
          <w:sz w:val="22"/>
          <w:szCs w:val="22"/>
        </w:rPr>
      </w:pPr>
    </w:p>
    <w:p w14:paraId="7A1CE4C8" w14:textId="77777777" w:rsidR="00973DE9" w:rsidRPr="00293AFA"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El próximo año, la OPEP podría revisar la producción en función de los nuevos datos sobre las tendencias de la demanda china, el cumplimiento de los límites de precios de la producción de crudo de Rusia y el flujo de los petroleros. Según un estudio de Reuters, la producción de la OPEP cayó en octubre 2022, registrando un nivel de 29,71 millones de barriles por día (bpd), lo que representa un descenso de 20 mil bpd respecto a setiembre, que fue la mayor producción desde abril de 2020. La OPEP produjo 1,36 millones de bpd por debajo de los objetivos para octubre.</w:t>
      </w:r>
    </w:p>
    <w:p w14:paraId="4181CF55" w14:textId="77777777" w:rsidR="00973DE9" w:rsidRPr="00293AFA" w:rsidRDefault="00973DE9" w:rsidP="00973DE9">
      <w:pPr>
        <w:ind w:left="426"/>
        <w:jc w:val="both"/>
        <w:rPr>
          <w:rFonts w:asciiTheme="minorHAnsi" w:hAnsiTheme="minorHAnsi" w:cstheme="minorHAnsi"/>
          <w:sz w:val="22"/>
          <w:szCs w:val="22"/>
        </w:rPr>
      </w:pPr>
    </w:p>
    <w:p w14:paraId="121A24BF" w14:textId="3273E6CA" w:rsidR="00AD6299" w:rsidRDefault="00973DE9" w:rsidP="00973DE9">
      <w:pPr>
        <w:ind w:left="426"/>
        <w:jc w:val="both"/>
        <w:rPr>
          <w:rFonts w:asciiTheme="minorHAnsi" w:hAnsiTheme="minorHAnsi" w:cstheme="minorHAnsi"/>
          <w:sz w:val="22"/>
          <w:szCs w:val="22"/>
        </w:rPr>
      </w:pPr>
      <w:r w:rsidRPr="00293AFA">
        <w:rPr>
          <w:rFonts w:asciiTheme="minorHAnsi" w:hAnsiTheme="minorHAnsi" w:cstheme="minorHAnsi"/>
          <w:sz w:val="22"/>
          <w:szCs w:val="22"/>
        </w:rPr>
        <w:t>Los principales ministros de la OPEP se reunirán el 1 de febrero del 2023 en un comité de seguimiento, mientras que la reunión plenaria está prevista para los días 3 y 4 de junio 2023.</w:t>
      </w:r>
    </w:p>
    <w:p w14:paraId="2369B158" w14:textId="77777777" w:rsidR="00973DE9" w:rsidRPr="00AD6299" w:rsidRDefault="00973DE9" w:rsidP="00973DE9">
      <w:pPr>
        <w:ind w:left="426"/>
        <w:jc w:val="both"/>
        <w:rPr>
          <w:rFonts w:asciiTheme="minorHAnsi" w:hAnsiTheme="minorHAnsi" w:cstheme="minorHAnsi"/>
          <w:sz w:val="22"/>
          <w:szCs w:val="22"/>
        </w:rPr>
      </w:pPr>
    </w:p>
    <w:p w14:paraId="0B18F734" w14:textId="7A0F3A7D" w:rsidR="007F6458" w:rsidRPr="007F6458" w:rsidRDefault="007F6458" w:rsidP="007F6458">
      <w:pPr>
        <w:ind w:left="426"/>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r w:rsidR="00FD6B4B" w:rsidRPr="00FD6B4B">
        <w:rPr>
          <w:rFonts w:asciiTheme="minorHAnsi" w:hAnsiTheme="minorHAnsi" w:cstheme="minorHAnsi"/>
          <w:sz w:val="22"/>
          <w:szCs w:val="22"/>
        </w:rPr>
        <w:t xml:space="preserve">Diesel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lastRenderedPageBreak/>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7D9F64E8" w14:textId="7FDA62E6" w:rsidR="009B7FF3" w:rsidRDefault="009F0937"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9C0925">
        <w:rPr>
          <w:rFonts w:asciiTheme="minorHAnsi" w:hAnsiTheme="minorHAnsi" w:cstheme="minorHAnsi"/>
          <w:sz w:val="22"/>
          <w:szCs w:val="22"/>
        </w:rPr>
        <w:t>Mediante Resolución N° 074-2022-OS/GRT, se fijaron la</w:t>
      </w:r>
      <w:r w:rsidR="00952F32">
        <w:rPr>
          <w:rFonts w:asciiTheme="minorHAnsi" w:hAnsiTheme="minorHAnsi" w:cstheme="minorHAnsi"/>
          <w:sz w:val="22"/>
          <w:szCs w:val="22"/>
        </w:rPr>
        <w:t>s</w:t>
      </w:r>
      <w:r w:rsidRPr="009C0925">
        <w:rPr>
          <w:rFonts w:asciiTheme="minorHAnsi" w:hAnsiTheme="minorHAnsi" w:cstheme="minorHAnsi"/>
          <w:sz w:val="22"/>
          <w:szCs w:val="22"/>
        </w:rPr>
        <w:t xml:space="preserve"> Bandas de Precios y los Márgenes Comerciales para</w:t>
      </w:r>
      <w:r w:rsidR="0079038D" w:rsidRPr="009C0925">
        <w:rPr>
          <w:rFonts w:asciiTheme="minorHAnsi" w:hAnsiTheme="minorHAnsi" w:cstheme="minorHAnsi"/>
          <w:sz w:val="22"/>
          <w:szCs w:val="22"/>
        </w:rPr>
        <w:t xml:space="preserve"> el Diésel B5 destinado al uso vehicular</w:t>
      </w:r>
      <w:r w:rsidR="00A526AB">
        <w:rPr>
          <w:rFonts w:asciiTheme="minorHAnsi" w:hAnsiTheme="minorHAnsi" w:cstheme="minorHAnsi"/>
          <w:sz w:val="22"/>
          <w:szCs w:val="22"/>
        </w:rPr>
        <w:t xml:space="preserve"> y</w:t>
      </w:r>
      <w:r w:rsidRPr="009C0925">
        <w:rPr>
          <w:rFonts w:asciiTheme="minorHAnsi" w:hAnsiTheme="minorHAnsi" w:cstheme="minorHAnsi"/>
          <w:sz w:val="22"/>
          <w:szCs w:val="22"/>
        </w:rPr>
        <w:t xml:space="preserve"> el Gas Licuado de Petróleo destinado para envasado (GLP-E)</w:t>
      </w:r>
      <w:r w:rsidR="009C0925" w:rsidRPr="009C0925">
        <w:rPr>
          <w:rFonts w:asciiTheme="minorHAnsi" w:hAnsiTheme="minorHAnsi" w:cstheme="minorHAnsi"/>
          <w:sz w:val="22"/>
          <w:szCs w:val="22"/>
        </w:rPr>
        <w:t xml:space="preserve"> con vigencia desde el 30 de diciembre hasta el jueves 26 de enero de 2023. De igual modo, se fijaron las Bandas de Precios y los Márgenes Comerciales del </w:t>
      </w:r>
      <w:r w:rsidR="009B7FF3">
        <w:rPr>
          <w:rFonts w:asciiTheme="minorHAnsi" w:hAnsiTheme="minorHAnsi" w:cstheme="minorHAnsi"/>
          <w:sz w:val="22"/>
          <w:szCs w:val="22"/>
        </w:rPr>
        <w:t>Petróleo Industrial N°6 utilizado en actividades de generación eléctrica en sistemas eléctricos Aislados, con vigencia a partir del 30 de diciembre de 2022 hasta el 23 de febrero de 2023.</w:t>
      </w:r>
    </w:p>
    <w:p w14:paraId="78111B58" w14:textId="77777777" w:rsidR="009B7FF3" w:rsidRDefault="009B7FF3" w:rsidP="009B7FF3">
      <w:pPr>
        <w:pStyle w:val="Textonotapie"/>
        <w:tabs>
          <w:tab w:val="left" w:pos="709"/>
        </w:tabs>
        <w:spacing w:before="0" w:after="0"/>
        <w:ind w:left="568"/>
        <w:rPr>
          <w:rFonts w:asciiTheme="minorHAnsi" w:hAnsiTheme="minorHAnsi" w:cstheme="minorHAnsi"/>
          <w:sz w:val="22"/>
          <w:szCs w:val="22"/>
        </w:rPr>
      </w:pPr>
    </w:p>
    <w:p w14:paraId="1C07F695" w14:textId="0549FD21" w:rsidR="009F0937" w:rsidRDefault="009B7FF3" w:rsidP="001659ED">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Mediante Resolución N”074-2022-OS/GRT, se fijaron también las Bandas de Precios y los Márgenes Comerciales para el </w:t>
      </w:r>
      <w:r w:rsidR="009F0937" w:rsidRPr="009C0925">
        <w:rPr>
          <w:rFonts w:asciiTheme="minorHAnsi" w:hAnsiTheme="minorHAnsi" w:cstheme="minorHAnsi"/>
          <w:sz w:val="22"/>
          <w:szCs w:val="22"/>
        </w:rPr>
        <w:t xml:space="preserve">Gasohol de 84 octanos y Gasolinas de 84 y 90 octanos, con vigencia </w:t>
      </w:r>
      <w:r w:rsidR="00581797">
        <w:rPr>
          <w:rFonts w:asciiTheme="minorHAnsi" w:hAnsiTheme="minorHAnsi" w:cstheme="minorHAnsi"/>
          <w:sz w:val="22"/>
          <w:szCs w:val="22"/>
        </w:rPr>
        <w:t>a partir d</w:t>
      </w:r>
      <w:r w:rsidR="009F0937" w:rsidRPr="009C0925">
        <w:rPr>
          <w:rFonts w:asciiTheme="minorHAnsi" w:hAnsiTheme="minorHAnsi" w:cstheme="minorHAnsi"/>
          <w:sz w:val="22"/>
          <w:szCs w:val="22"/>
        </w:rPr>
        <w:t xml:space="preserve">el 30 de diciembre hasta el </w:t>
      </w:r>
      <w:r w:rsidR="00973DE9">
        <w:rPr>
          <w:rFonts w:asciiTheme="minorHAnsi" w:hAnsiTheme="minorHAnsi" w:cstheme="minorHAnsi"/>
          <w:sz w:val="22"/>
          <w:szCs w:val="22"/>
        </w:rPr>
        <w:t>26</w:t>
      </w:r>
      <w:r w:rsidR="00DF0A5C" w:rsidRPr="009C0925">
        <w:rPr>
          <w:rFonts w:asciiTheme="minorHAnsi" w:hAnsiTheme="minorHAnsi" w:cstheme="minorHAnsi"/>
          <w:sz w:val="22"/>
          <w:szCs w:val="22"/>
        </w:rPr>
        <w:t xml:space="preserve"> </w:t>
      </w:r>
      <w:r w:rsidR="00973DE9">
        <w:rPr>
          <w:rFonts w:asciiTheme="minorHAnsi" w:hAnsiTheme="minorHAnsi" w:cstheme="minorHAnsi"/>
          <w:sz w:val="22"/>
          <w:szCs w:val="22"/>
        </w:rPr>
        <w:t>enero</w:t>
      </w:r>
      <w:r w:rsidR="00A526AB">
        <w:rPr>
          <w:rFonts w:asciiTheme="minorHAnsi" w:hAnsiTheme="minorHAnsi" w:cstheme="minorHAnsi"/>
          <w:sz w:val="22"/>
          <w:szCs w:val="22"/>
        </w:rPr>
        <w:t xml:space="preserve"> </w:t>
      </w:r>
      <w:r w:rsidR="009F0937" w:rsidRPr="009C0925">
        <w:rPr>
          <w:rFonts w:asciiTheme="minorHAnsi" w:hAnsiTheme="minorHAnsi" w:cstheme="minorHAnsi"/>
          <w:sz w:val="22"/>
          <w:szCs w:val="22"/>
        </w:rPr>
        <w:t>de 202</w:t>
      </w:r>
      <w:r w:rsidR="00973DE9">
        <w:rPr>
          <w:rFonts w:asciiTheme="minorHAnsi" w:hAnsiTheme="minorHAnsi" w:cstheme="minorHAnsi"/>
          <w:sz w:val="22"/>
          <w:szCs w:val="22"/>
        </w:rPr>
        <w:t>3</w:t>
      </w:r>
      <w:r w:rsidR="009F0937" w:rsidRPr="009C0925">
        <w:rPr>
          <w:rFonts w:asciiTheme="minorHAnsi" w:hAnsiTheme="minorHAnsi" w:cstheme="minorHAnsi"/>
          <w:sz w:val="22"/>
          <w:szCs w:val="22"/>
        </w:rPr>
        <w:t xml:space="preserve">. </w:t>
      </w:r>
      <w:r>
        <w:rPr>
          <w:rFonts w:asciiTheme="minorHAnsi" w:hAnsiTheme="minorHAnsi" w:cstheme="minorHAnsi"/>
          <w:sz w:val="22"/>
          <w:szCs w:val="22"/>
        </w:rPr>
        <w:t xml:space="preserve">De igual manera, se fijaron la Banda de Precios y el Margen Comercial para el </w:t>
      </w:r>
      <w:r w:rsidRPr="009C0925">
        <w:rPr>
          <w:rFonts w:asciiTheme="minorHAnsi" w:hAnsiTheme="minorHAnsi" w:cstheme="minorHAnsi"/>
          <w:sz w:val="22"/>
          <w:szCs w:val="22"/>
        </w:rPr>
        <w:t>Gas Licuado de Petr</w:t>
      </w:r>
      <w:r>
        <w:rPr>
          <w:rFonts w:asciiTheme="minorHAnsi" w:hAnsiTheme="minorHAnsi" w:cstheme="minorHAnsi"/>
          <w:sz w:val="22"/>
          <w:szCs w:val="22"/>
        </w:rPr>
        <w:t>óleo destinado a granel (GLP-G), vigentes a partir del 30 hasta el 31 de diciembre de 2022.</w:t>
      </w:r>
    </w:p>
    <w:p w14:paraId="17A7766C" w14:textId="77777777" w:rsidR="009B7FF3" w:rsidRDefault="009B7FF3" w:rsidP="009B7FF3">
      <w:pPr>
        <w:pStyle w:val="Prrafodelista"/>
        <w:rPr>
          <w:rFonts w:asciiTheme="minorHAnsi" w:hAnsiTheme="minorHAnsi" w:cstheme="minorHAnsi"/>
          <w:sz w:val="22"/>
          <w:szCs w:val="22"/>
        </w:rPr>
      </w:pPr>
    </w:p>
    <w:p w14:paraId="68FDC5B0" w14:textId="2DD851EF" w:rsidR="009B7FF3" w:rsidRPr="00562D12" w:rsidRDefault="009B7FF3" w:rsidP="009B7FF3">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w:t>
      </w:r>
      <w:r>
        <w:rPr>
          <w:rFonts w:asciiTheme="minorHAnsi" w:hAnsiTheme="minorHAnsi" w:cstheme="minorHAnsi"/>
          <w:sz w:val="22"/>
          <w:szCs w:val="22"/>
        </w:rPr>
        <w:t>7</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29</w:t>
      </w:r>
      <w:r w:rsidRPr="0020425C">
        <w:rPr>
          <w:rFonts w:asciiTheme="minorHAnsi" w:hAnsiTheme="minorHAnsi" w:cstheme="minorHAnsi"/>
          <w:sz w:val="22"/>
          <w:szCs w:val="22"/>
        </w:rPr>
        <w:t xml:space="preserve"> de </w:t>
      </w:r>
      <w:r>
        <w:rPr>
          <w:rFonts w:asciiTheme="minorHAnsi" w:hAnsiTheme="minorHAnsi" w:cstheme="minorHAnsi"/>
          <w:sz w:val="22"/>
          <w:szCs w:val="22"/>
        </w:rPr>
        <w:t>diciembre</w:t>
      </w:r>
      <w:r w:rsidRPr="0020425C">
        <w:rPr>
          <w:rFonts w:asciiTheme="minorHAnsi" w:hAnsiTheme="minorHAnsi" w:cstheme="minorHAnsi"/>
          <w:sz w:val="22"/>
          <w:szCs w:val="22"/>
        </w:rPr>
        <w:t xml:space="preserve"> de 2022, se modificó el numeral 1.1 del artículo 1 del Decreto 002 </w:t>
      </w:r>
      <w:r>
        <w:rPr>
          <w:rFonts w:asciiTheme="minorHAnsi" w:hAnsiTheme="minorHAnsi" w:cstheme="minorHAnsi"/>
          <w:sz w:val="22"/>
          <w:szCs w:val="22"/>
        </w:rPr>
        <w:t xml:space="preserve">extendiendo la inclusión del </w:t>
      </w:r>
      <w:r w:rsidRPr="0020425C">
        <w:rPr>
          <w:rFonts w:asciiTheme="minorHAnsi" w:hAnsiTheme="minorHAnsi" w:cstheme="minorHAnsi"/>
          <w:sz w:val="22"/>
          <w:szCs w:val="22"/>
        </w:rPr>
        <w:t>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marzo</w:t>
      </w:r>
      <w:r w:rsidRPr="0020425C">
        <w:rPr>
          <w:rFonts w:asciiTheme="minorHAnsi" w:hAnsiTheme="minorHAnsi" w:cstheme="minorHAnsi"/>
          <w:sz w:val="22"/>
          <w:szCs w:val="22"/>
        </w:rPr>
        <w:t xml:space="preserve"> de 202</w:t>
      </w:r>
      <w:r>
        <w:rPr>
          <w:rFonts w:asciiTheme="minorHAnsi" w:hAnsiTheme="minorHAnsi" w:cstheme="minorHAnsi"/>
          <w:sz w:val="22"/>
          <w:szCs w:val="22"/>
        </w:rPr>
        <w:t>3</w:t>
      </w:r>
      <w:r>
        <w:rPr>
          <w:rFonts w:asciiTheme="minorHAnsi" w:hAnsiTheme="minorHAnsi" w:cstheme="minorHAnsi"/>
          <w:sz w:val="22"/>
          <w:szCs w:val="22"/>
        </w:rPr>
        <w:t>.</w:t>
      </w:r>
    </w:p>
    <w:p w14:paraId="01AC6900" w14:textId="77777777" w:rsidR="009B7FF3" w:rsidRDefault="009B7FF3" w:rsidP="009B7FF3">
      <w:pPr>
        <w:pStyle w:val="Prrafodelista"/>
        <w:rPr>
          <w:rFonts w:asciiTheme="minorHAnsi" w:hAnsiTheme="minorHAnsi" w:cstheme="minorHAnsi"/>
          <w:sz w:val="22"/>
          <w:szCs w:val="22"/>
        </w:rPr>
      </w:pPr>
    </w:p>
    <w:p w14:paraId="4FCB7D8B" w14:textId="508198AC" w:rsidR="009B7FF3" w:rsidRPr="00D16D5A" w:rsidRDefault="009B7FF3" w:rsidP="00A86A30">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D16D5A">
        <w:rPr>
          <w:rFonts w:asciiTheme="minorHAnsi" w:hAnsiTheme="minorHAnsi" w:cstheme="minorHAnsi"/>
          <w:sz w:val="22"/>
          <w:szCs w:val="22"/>
        </w:rPr>
        <w:t>Mediante Resolución N”0</w:t>
      </w:r>
      <w:r w:rsidRPr="00D16D5A">
        <w:rPr>
          <w:rFonts w:asciiTheme="minorHAnsi" w:hAnsiTheme="minorHAnsi" w:cstheme="minorHAnsi"/>
          <w:sz w:val="22"/>
          <w:szCs w:val="22"/>
        </w:rPr>
        <w:t>01</w:t>
      </w:r>
      <w:r w:rsidRPr="00D16D5A">
        <w:rPr>
          <w:rFonts w:asciiTheme="minorHAnsi" w:hAnsiTheme="minorHAnsi" w:cstheme="minorHAnsi"/>
          <w:sz w:val="22"/>
          <w:szCs w:val="22"/>
        </w:rPr>
        <w:t>-202</w:t>
      </w:r>
      <w:r w:rsidRPr="00D16D5A">
        <w:rPr>
          <w:rFonts w:asciiTheme="minorHAnsi" w:hAnsiTheme="minorHAnsi" w:cstheme="minorHAnsi"/>
          <w:sz w:val="22"/>
          <w:szCs w:val="22"/>
        </w:rPr>
        <w:t>3</w:t>
      </w:r>
      <w:r w:rsidRPr="00D16D5A">
        <w:rPr>
          <w:rFonts w:asciiTheme="minorHAnsi" w:hAnsiTheme="minorHAnsi" w:cstheme="minorHAnsi"/>
          <w:sz w:val="22"/>
          <w:szCs w:val="22"/>
        </w:rPr>
        <w:t xml:space="preserve">-OS/GRT, se </w:t>
      </w:r>
      <w:r w:rsidRPr="00D16D5A">
        <w:rPr>
          <w:rFonts w:asciiTheme="minorHAnsi" w:hAnsiTheme="minorHAnsi" w:cstheme="minorHAnsi"/>
          <w:sz w:val="22"/>
          <w:szCs w:val="22"/>
        </w:rPr>
        <w:t xml:space="preserve">precisó </w:t>
      </w:r>
      <w:r w:rsidR="00D16D5A" w:rsidRPr="00D16D5A">
        <w:rPr>
          <w:rFonts w:asciiTheme="minorHAnsi" w:hAnsiTheme="minorHAnsi" w:cstheme="minorHAnsi"/>
          <w:sz w:val="22"/>
          <w:szCs w:val="22"/>
        </w:rPr>
        <w:t>que la vigencia de la Banda de Precios</w:t>
      </w:r>
      <w:r w:rsidR="00D16D5A">
        <w:rPr>
          <w:rFonts w:asciiTheme="minorHAnsi" w:hAnsiTheme="minorHAnsi" w:cstheme="minorHAnsi"/>
          <w:sz w:val="22"/>
          <w:szCs w:val="22"/>
        </w:rPr>
        <w:t xml:space="preserve"> y el Margen Comercial </w:t>
      </w:r>
      <w:r w:rsidR="00D16D5A" w:rsidRPr="00D16D5A">
        <w:rPr>
          <w:rFonts w:asciiTheme="minorHAnsi" w:hAnsiTheme="minorHAnsi" w:cstheme="minorHAnsi"/>
          <w:sz w:val="22"/>
          <w:szCs w:val="22"/>
        </w:rPr>
        <w:t xml:space="preserve">para el Gas Licuado de Petróleo destinado a granel (GLP-G) aprobada con </w:t>
      </w:r>
      <w:r w:rsidR="00D16D5A" w:rsidRPr="00D16D5A">
        <w:rPr>
          <w:rFonts w:asciiTheme="minorHAnsi" w:hAnsiTheme="minorHAnsi" w:cstheme="minorHAnsi"/>
          <w:sz w:val="22"/>
          <w:szCs w:val="22"/>
        </w:rPr>
        <w:t>Resolución N”074-2022-OS/GRT</w:t>
      </w:r>
      <w:r w:rsidR="00D16D5A" w:rsidRPr="00D16D5A">
        <w:rPr>
          <w:rFonts w:asciiTheme="minorHAnsi" w:hAnsiTheme="minorHAnsi" w:cstheme="minorHAnsi"/>
          <w:sz w:val="22"/>
          <w:szCs w:val="22"/>
        </w:rPr>
        <w:t>, se encuentra vigente desde el 30 de diciembre de 2022 hasta el jueves 26 de enero de 2023.</w:t>
      </w:r>
    </w:p>
    <w:p w14:paraId="394E0522" w14:textId="77777777" w:rsidR="00162126" w:rsidRDefault="00162126" w:rsidP="00162126">
      <w:pPr>
        <w:pStyle w:val="Prrafodelista"/>
        <w:rPr>
          <w:rFonts w:asciiTheme="minorHAnsi" w:hAnsiTheme="minorHAnsi" w:cstheme="minorHAnsi"/>
          <w:sz w:val="22"/>
          <w:szCs w:val="22"/>
        </w:rPr>
      </w:pPr>
    </w:p>
    <w:p w14:paraId="338DB08E" w14:textId="0C2AD3D4"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 Resoluci</w:t>
      </w:r>
      <w:r w:rsidR="00DE6DC9">
        <w:rPr>
          <w:rFonts w:asciiTheme="minorHAnsi" w:hAnsiTheme="minorHAnsi" w:cstheme="minorHAnsi"/>
          <w:sz w:val="22"/>
          <w:szCs w:val="22"/>
        </w:rPr>
        <w:t xml:space="preserve">ón </w:t>
      </w:r>
      <w:r w:rsidRPr="00300844">
        <w:rPr>
          <w:rFonts w:asciiTheme="minorHAnsi" w:hAnsiTheme="minorHAnsi" w:cstheme="minorHAnsi"/>
          <w:sz w:val="22"/>
          <w:szCs w:val="22"/>
        </w:rPr>
        <w:t>de la Gerencia de Regulación Tarifaria Osinergmin N° 0</w:t>
      </w:r>
      <w:r w:rsidR="00C26397">
        <w:rPr>
          <w:rFonts w:asciiTheme="minorHAnsi" w:hAnsiTheme="minorHAnsi" w:cstheme="minorHAnsi"/>
          <w:sz w:val="22"/>
          <w:szCs w:val="22"/>
        </w:rPr>
        <w:t>7</w:t>
      </w:r>
      <w:r w:rsidR="00607284">
        <w:rPr>
          <w:rFonts w:asciiTheme="minorHAnsi" w:hAnsiTheme="minorHAnsi" w:cstheme="minorHAnsi"/>
          <w:sz w:val="22"/>
          <w:szCs w:val="22"/>
        </w:rPr>
        <w:t>4</w:t>
      </w:r>
      <w:r w:rsidRPr="00300844">
        <w:rPr>
          <w:rFonts w:asciiTheme="minorHAnsi" w:hAnsiTheme="minorHAnsi" w:cstheme="minorHAnsi"/>
          <w:sz w:val="22"/>
          <w:szCs w:val="22"/>
        </w:rPr>
        <w:t xml:space="preserve">-2022-OS/GRT, el MINEM publicó los Factores de Aportación y/o Compensación vigentes desde el </w:t>
      </w:r>
      <w:r w:rsidR="00D16D5A">
        <w:rPr>
          <w:rFonts w:asciiTheme="minorHAnsi" w:hAnsiTheme="minorHAnsi" w:cstheme="minorHAnsi"/>
          <w:sz w:val="22"/>
          <w:szCs w:val="22"/>
        </w:rPr>
        <w:t>martes</w:t>
      </w:r>
      <w:r w:rsidRPr="00300844">
        <w:rPr>
          <w:rFonts w:asciiTheme="minorHAnsi" w:hAnsiTheme="minorHAnsi" w:cstheme="minorHAnsi"/>
          <w:sz w:val="22"/>
          <w:szCs w:val="22"/>
        </w:rPr>
        <w:t xml:space="preserve"> </w:t>
      </w:r>
      <w:r w:rsidR="00C26397">
        <w:rPr>
          <w:rFonts w:asciiTheme="minorHAnsi" w:hAnsiTheme="minorHAnsi" w:cstheme="minorHAnsi"/>
          <w:sz w:val="22"/>
          <w:szCs w:val="22"/>
        </w:rPr>
        <w:t>3</w:t>
      </w:r>
      <w:r w:rsidR="00D16D5A">
        <w:rPr>
          <w:rFonts w:asciiTheme="minorHAnsi" w:hAnsiTheme="minorHAnsi" w:cstheme="minorHAnsi"/>
          <w:sz w:val="22"/>
          <w:szCs w:val="22"/>
        </w:rPr>
        <w:t xml:space="preserve"> </w:t>
      </w:r>
      <w:r w:rsidRPr="00300844">
        <w:rPr>
          <w:rFonts w:asciiTheme="minorHAnsi" w:hAnsiTheme="minorHAnsi" w:cstheme="minorHAnsi"/>
          <w:sz w:val="22"/>
          <w:szCs w:val="22"/>
        </w:rPr>
        <w:t xml:space="preserve">al </w:t>
      </w:r>
      <w:r w:rsidR="00D16D5A">
        <w:rPr>
          <w:rFonts w:asciiTheme="minorHAnsi" w:hAnsiTheme="minorHAnsi" w:cstheme="minorHAnsi"/>
          <w:sz w:val="22"/>
          <w:szCs w:val="22"/>
        </w:rPr>
        <w:t>lunes</w:t>
      </w:r>
      <w:r w:rsidR="00C26397">
        <w:rPr>
          <w:rFonts w:asciiTheme="minorHAnsi" w:hAnsiTheme="minorHAnsi" w:cstheme="minorHAnsi"/>
          <w:sz w:val="22"/>
          <w:szCs w:val="22"/>
        </w:rPr>
        <w:t xml:space="preserve"> </w:t>
      </w:r>
      <w:r w:rsidR="00D16D5A">
        <w:rPr>
          <w:rFonts w:asciiTheme="minorHAnsi" w:hAnsiTheme="minorHAnsi" w:cstheme="minorHAnsi"/>
          <w:sz w:val="22"/>
          <w:szCs w:val="22"/>
        </w:rPr>
        <w:t xml:space="preserve">9 </w:t>
      </w:r>
      <w:r w:rsidRPr="00300844">
        <w:rPr>
          <w:rFonts w:asciiTheme="minorHAnsi" w:hAnsiTheme="minorHAnsi" w:cstheme="minorHAnsi"/>
          <w:sz w:val="22"/>
          <w:szCs w:val="22"/>
        </w:rPr>
        <w:t xml:space="preserve">de </w:t>
      </w:r>
      <w:r w:rsidR="00D16D5A">
        <w:rPr>
          <w:rFonts w:asciiTheme="minorHAnsi" w:hAnsiTheme="minorHAnsi" w:cstheme="minorHAnsi"/>
          <w:sz w:val="22"/>
          <w:szCs w:val="22"/>
        </w:rPr>
        <w:t xml:space="preserve">enero </w:t>
      </w:r>
      <w:r w:rsidRPr="00300844">
        <w:rPr>
          <w:rFonts w:asciiTheme="minorHAnsi" w:hAnsiTheme="minorHAnsi" w:cstheme="minorHAnsi"/>
          <w:sz w:val="22"/>
          <w:szCs w:val="22"/>
        </w:rPr>
        <w:t>de 202</w:t>
      </w:r>
      <w:r w:rsidR="00D16D5A">
        <w:rPr>
          <w:rFonts w:asciiTheme="minorHAnsi" w:hAnsiTheme="minorHAnsi" w:cstheme="minorHAnsi"/>
          <w:sz w:val="22"/>
          <w:szCs w:val="22"/>
        </w:rPr>
        <w:t>3</w:t>
      </w:r>
      <w:r w:rsidRPr="00300844">
        <w:rPr>
          <w:rFonts w:asciiTheme="minorHAnsi" w:hAnsiTheme="minorHAnsi" w:cstheme="minorHAnsi"/>
          <w:sz w:val="22"/>
          <w:szCs w:val="22"/>
        </w:rPr>
        <w:t>.</w:t>
      </w:r>
    </w:p>
    <w:p w14:paraId="77B43F27" w14:textId="77777777" w:rsidR="00300844" w:rsidRDefault="00300844" w:rsidP="00300844">
      <w:pPr>
        <w:pStyle w:val="Prrafodelista"/>
        <w:rPr>
          <w:rFonts w:asciiTheme="minorHAnsi" w:hAnsiTheme="minorHAnsi" w:cstheme="minorHAnsi"/>
          <w:sz w:val="22"/>
          <w:szCs w:val="22"/>
        </w:rPr>
      </w:pPr>
    </w:p>
    <w:p w14:paraId="54E8C854" w14:textId="2A75F366" w:rsidR="00D16D5A" w:rsidRPr="00232A32" w:rsidRDefault="00D16D5A" w:rsidP="00D16D5A">
      <w:pPr>
        <w:pStyle w:val="Sangradetextonormal"/>
        <w:numPr>
          <w:ilvl w:val="0"/>
          <w:numId w:val="16"/>
        </w:numPr>
        <w:ind w:left="568" w:hanging="426"/>
        <w:rPr>
          <w:rFonts w:asciiTheme="minorHAnsi" w:hAnsiTheme="minorHAnsi" w:cstheme="minorHAnsi"/>
          <w:sz w:val="22"/>
          <w:szCs w:val="22"/>
        </w:rPr>
      </w:pPr>
      <w:r w:rsidRPr="00232A32">
        <w:rPr>
          <w:rFonts w:asciiTheme="minorHAnsi" w:hAnsiTheme="minorHAnsi" w:cstheme="minorHAnsi"/>
          <w:sz w:val="22"/>
          <w:szCs w:val="22"/>
        </w:rPr>
        <w:t xml:space="preserve">El día </w:t>
      </w:r>
      <w:r>
        <w:rPr>
          <w:rFonts w:asciiTheme="minorHAnsi" w:hAnsiTheme="minorHAnsi" w:cstheme="minorHAnsi"/>
          <w:sz w:val="22"/>
          <w:szCs w:val="22"/>
        </w:rPr>
        <w:t>05</w:t>
      </w:r>
      <w:r w:rsidRPr="00232A32">
        <w:rPr>
          <w:rFonts w:asciiTheme="minorHAnsi" w:hAnsiTheme="minorHAnsi" w:cstheme="minorHAnsi"/>
          <w:sz w:val="22"/>
          <w:szCs w:val="22"/>
        </w:rPr>
        <w:t>.</w:t>
      </w:r>
      <w:r>
        <w:rPr>
          <w:rFonts w:asciiTheme="minorHAnsi" w:hAnsiTheme="minorHAnsi" w:cstheme="minorHAnsi"/>
          <w:sz w:val="22"/>
          <w:szCs w:val="22"/>
        </w:rPr>
        <w:t>01</w:t>
      </w:r>
      <w:r w:rsidRPr="00232A32">
        <w:rPr>
          <w:rFonts w:asciiTheme="minorHAnsi" w:hAnsiTheme="minorHAnsi" w:cstheme="minorHAnsi"/>
          <w:sz w:val="22"/>
          <w:szCs w:val="22"/>
        </w:rPr>
        <w:t>.202</w:t>
      </w:r>
      <w:r>
        <w:rPr>
          <w:rFonts w:asciiTheme="minorHAnsi" w:hAnsiTheme="minorHAnsi" w:cstheme="minorHAnsi"/>
          <w:sz w:val="22"/>
          <w:szCs w:val="22"/>
        </w:rPr>
        <w:t>3</w:t>
      </w:r>
      <w:r w:rsidRPr="00232A32">
        <w:rPr>
          <w:rFonts w:asciiTheme="minorHAnsi" w:hAnsiTheme="minorHAnsi" w:cstheme="minorHAnsi"/>
          <w:sz w:val="22"/>
          <w:szCs w:val="22"/>
        </w:rPr>
        <w:t>, PETROPERÚ publicó su lista de precios de venta de combustibles. Se registraron variaciones en los precios de las gasolinas de 97 (+0.</w:t>
      </w:r>
      <w:r>
        <w:rPr>
          <w:rFonts w:asciiTheme="minorHAnsi" w:hAnsiTheme="minorHAnsi" w:cstheme="minorHAnsi"/>
          <w:sz w:val="22"/>
          <w:szCs w:val="22"/>
        </w:rPr>
        <w:t>21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 (+0.</w:t>
      </w:r>
      <w:r>
        <w:rPr>
          <w:rFonts w:asciiTheme="minorHAnsi" w:hAnsiTheme="minorHAnsi" w:cstheme="minorHAnsi"/>
          <w:sz w:val="22"/>
          <w:szCs w:val="22"/>
        </w:rPr>
        <w:t>19</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23</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octanos, los gasoholes de 97 (+0.</w:t>
      </w:r>
      <w:r>
        <w:rPr>
          <w:rFonts w:asciiTheme="minorHAnsi" w:hAnsiTheme="minorHAnsi" w:cstheme="minorHAnsi"/>
          <w:sz w:val="22"/>
          <w:szCs w:val="22"/>
        </w:rPr>
        <w:t>20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95(+0.</w:t>
      </w:r>
      <w:r>
        <w:rPr>
          <w:rFonts w:asciiTheme="minorHAnsi" w:hAnsiTheme="minorHAnsi" w:cstheme="minorHAnsi"/>
          <w:sz w:val="22"/>
          <w:szCs w:val="22"/>
        </w:rPr>
        <w:t>20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90(+0.</w:t>
      </w:r>
      <w:r>
        <w:rPr>
          <w:rFonts w:asciiTheme="minorHAnsi" w:hAnsiTheme="minorHAnsi" w:cstheme="minorHAnsi"/>
          <w:sz w:val="22"/>
          <w:szCs w:val="22"/>
        </w:rPr>
        <w:t>20</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84 (</w:t>
      </w:r>
      <w:r>
        <w:rPr>
          <w:rFonts w:asciiTheme="minorHAnsi" w:hAnsiTheme="minorHAnsi" w:cstheme="minorHAnsi"/>
          <w:sz w:val="22"/>
          <w:szCs w:val="22"/>
        </w:rPr>
        <w:t>+</w:t>
      </w:r>
      <w:r w:rsidRPr="00232A32">
        <w:rPr>
          <w:rFonts w:asciiTheme="minorHAnsi" w:hAnsiTheme="minorHAnsi" w:cstheme="minorHAnsi"/>
          <w:sz w:val="22"/>
          <w:szCs w:val="22"/>
        </w:rPr>
        <w:t>0.</w:t>
      </w:r>
      <w:r>
        <w:rPr>
          <w:rFonts w:asciiTheme="minorHAnsi" w:hAnsiTheme="minorHAnsi" w:cstheme="minorHAnsi"/>
          <w:sz w:val="22"/>
          <w:szCs w:val="22"/>
        </w:rPr>
        <w:t>22</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octanos, así como en el </w:t>
      </w:r>
      <w:proofErr w:type="spellStart"/>
      <w:r w:rsidRPr="00232A32">
        <w:rPr>
          <w:rFonts w:asciiTheme="minorHAnsi" w:hAnsiTheme="minorHAnsi" w:cstheme="minorHAnsi"/>
          <w:sz w:val="22"/>
          <w:szCs w:val="22"/>
        </w:rPr>
        <w:t>Diesel</w:t>
      </w:r>
      <w:proofErr w:type="spellEnd"/>
      <w:r w:rsidRPr="00232A32">
        <w:rPr>
          <w:rFonts w:asciiTheme="minorHAnsi" w:hAnsiTheme="minorHAnsi" w:cstheme="minorHAnsi"/>
          <w:sz w:val="22"/>
          <w:szCs w:val="22"/>
        </w:rPr>
        <w:t xml:space="preserve"> B5(+0.2</w:t>
      </w:r>
      <w:r>
        <w:rPr>
          <w:rFonts w:asciiTheme="minorHAnsi" w:hAnsiTheme="minorHAnsi" w:cstheme="minorHAnsi"/>
          <w:sz w:val="22"/>
          <w:szCs w:val="22"/>
        </w:rPr>
        <w:t>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los residuales R6(+0.</w:t>
      </w:r>
      <w:r>
        <w:rPr>
          <w:rFonts w:asciiTheme="minorHAnsi" w:hAnsiTheme="minorHAnsi" w:cstheme="minorHAnsi"/>
          <w:sz w:val="22"/>
          <w:szCs w:val="22"/>
        </w:rPr>
        <w:t>11</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y R500(+0.0</w:t>
      </w:r>
      <w:r>
        <w:rPr>
          <w:rFonts w:asciiTheme="minorHAnsi" w:hAnsiTheme="minorHAnsi" w:cstheme="minorHAnsi"/>
          <w:sz w:val="22"/>
          <w:szCs w:val="22"/>
        </w:rPr>
        <w:t>8</w:t>
      </w:r>
      <w:r w:rsidRPr="00232A32">
        <w:rPr>
          <w:rFonts w:asciiTheme="minorHAnsi" w:hAnsiTheme="minorHAnsi" w:cstheme="minorHAnsi"/>
          <w:sz w:val="22"/>
          <w:szCs w:val="22"/>
        </w:rPr>
        <w:t xml:space="preserve"> S/</w:t>
      </w:r>
      <w:proofErr w:type="spellStart"/>
      <w:r w:rsidRPr="00232A32">
        <w:rPr>
          <w:rFonts w:asciiTheme="minorHAnsi" w:hAnsiTheme="minorHAnsi" w:cstheme="minorHAnsi"/>
          <w:sz w:val="22"/>
          <w:szCs w:val="22"/>
        </w:rPr>
        <w:t>Gln</w:t>
      </w:r>
      <w:proofErr w:type="spellEnd"/>
      <w:r w:rsidRPr="00232A32">
        <w:rPr>
          <w:rFonts w:asciiTheme="minorHAnsi" w:hAnsiTheme="minorHAnsi" w:cstheme="minorHAnsi"/>
          <w:sz w:val="22"/>
          <w:szCs w:val="22"/>
        </w:rPr>
        <w:t xml:space="preserve">). </w:t>
      </w:r>
    </w:p>
    <w:p w14:paraId="157D0B3E" w14:textId="77777777" w:rsidR="00352B3A" w:rsidRDefault="00352B3A" w:rsidP="00352B3A">
      <w:pPr>
        <w:pStyle w:val="Prrafodelista"/>
        <w:rPr>
          <w:rFonts w:asciiTheme="minorHAnsi" w:hAnsiTheme="minorHAnsi" w:cstheme="minorHAnsi"/>
          <w:sz w:val="22"/>
          <w:szCs w:val="22"/>
        </w:rPr>
      </w:pPr>
    </w:p>
    <w:p w14:paraId="2C4AC7AC" w14:textId="75DAD3FE" w:rsidR="009D32AB" w:rsidRPr="00232A32" w:rsidRDefault="00300844" w:rsidP="00352B3A">
      <w:pPr>
        <w:pStyle w:val="Sangradetextonormal"/>
        <w:rPr>
          <w:rFonts w:asciiTheme="minorHAnsi" w:hAnsiTheme="minorHAnsi" w:cstheme="minorHAnsi"/>
          <w:sz w:val="22"/>
          <w:szCs w:val="22"/>
        </w:rPr>
      </w:pPr>
      <w:r w:rsidRPr="00232A32">
        <w:rPr>
          <w:rFonts w:asciiTheme="minorHAnsi" w:hAnsiTheme="minorHAnsi" w:cstheme="minorHAnsi"/>
          <w:sz w:val="22"/>
          <w:szCs w:val="22"/>
        </w:rPr>
        <w:br w:type="page"/>
      </w: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lastRenderedPageBreak/>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5312B21B" w14:textId="77777777" w:rsidR="00352B3A" w:rsidRDefault="00352B3A">
      <w:pPr>
        <w:rPr>
          <w:rFonts w:asciiTheme="minorHAnsi" w:hAnsiTheme="minorHAnsi" w:cstheme="minorHAnsi"/>
          <w:sz w:val="22"/>
          <w:szCs w:val="22"/>
        </w:rPr>
      </w:pPr>
    </w:p>
    <w:p w14:paraId="2516A28A" w14:textId="67CA32FB"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6DA4864A"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 el 22</w:t>
      </w:r>
      <w:r w:rsidRPr="00E61EC2">
        <w:rPr>
          <w:rFonts w:asciiTheme="minorHAnsi" w:hAnsiTheme="minorHAnsi" w:cstheme="minorHAnsi"/>
          <w:sz w:val="22"/>
          <w:szCs w:val="22"/>
        </w:rPr>
        <w:t>/</w:t>
      </w:r>
      <w:r>
        <w:rPr>
          <w:rFonts w:asciiTheme="minorHAnsi" w:hAnsiTheme="minorHAnsi" w:cstheme="minorHAnsi"/>
          <w:sz w:val="22"/>
          <w:szCs w:val="22"/>
        </w:rPr>
        <w:t>12</w:t>
      </w:r>
      <w:r w:rsidRPr="00E61EC2">
        <w:rPr>
          <w:rFonts w:asciiTheme="minorHAnsi" w:hAnsiTheme="minorHAnsi" w:cstheme="minorHAnsi"/>
          <w:sz w:val="22"/>
          <w:szCs w:val="22"/>
        </w:rPr>
        <w:t>/202</w:t>
      </w:r>
      <w:r>
        <w:rPr>
          <w:rFonts w:asciiTheme="minorHAnsi" w:hAnsiTheme="minorHAnsi" w:cstheme="minorHAnsi"/>
          <w:sz w:val="22"/>
          <w:szCs w:val="22"/>
        </w:rPr>
        <w:t>2</w:t>
      </w:r>
      <w:r w:rsidRPr="00E61EC2">
        <w:rPr>
          <w:rFonts w:asciiTheme="minorHAnsi" w:hAnsiTheme="minorHAnsi" w:cstheme="minorHAnsi"/>
          <w:sz w:val="22"/>
          <w:szCs w:val="22"/>
        </w:rPr>
        <w:t xml:space="preserve"> y el </w:t>
      </w:r>
      <w:r>
        <w:rPr>
          <w:rFonts w:asciiTheme="minorHAnsi" w:hAnsiTheme="minorHAnsi" w:cstheme="minorHAnsi"/>
          <w:sz w:val="22"/>
          <w:szCs w:val="22"/>
        </w:rPr>
        <w:t>06</w:t>
      </w:r>
      <w:r w:rsidRPr="00E61EC2">
        <w:rPr>
          <w:rFonts w:asciiTheme="minorHAnsi" w:hAnsiTheme="minorHAnsi" w:cstheme="minorHAnsi"/>
          <w:sz w:val="22"/>
          <w:szCs w:val="22"/>
        </w:rPr>
        <w:t>/</w:t>
      </w:r>
      <w:r>
        <w:rPr>
          <w:rFonts w:asciiTheme="minorHAnsi" w:hAnsiTheme="minorHAnsi" w:cstheme="minorHAnsi"/>
          <w:sz w:val="22"/>
          <w:szCs w:val="22"/>
        </w:rPr>
        <w:t>01</w:t>
      </w:r>
      <w:r w:rsidRPr="00E61EC2">
        <w:rPr>
          <w:rFonts w:asciiTheme="minorHAnsi" w:hAnsiTheme="minorHAnsi" w:cstheme="minorHAnsi"/>
          <w:sz w:val="22"/>
          <w:szCs w:val="22"/>
        </w:rPr>
        <w:t>/202</w:t>
      </w:r>
      <w:r>
        <w:rPr>
          <w:rFonts w:asciiTheme="minorHAnsi" w:hAnsiTheme="minorHAnsi" w:cstheme="minorHAnsi"/>
          <w:sz w:val="22"/>
          <w:szCs w:val="22"/>
        </w:rPr>
        <w:t>3</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Pr>
          <w:rFonts w:asciiTheme="minorHAnsi" w:hAnsiTheme="minorHAnsi" w:cstheme="minorHAnsi"/>
          <w:sz w:val="22"/>
          <w:szCs w:val="22"/>
        </w:rPr>
        <w:t>áfica N°2</w:t>
      </w:r>
      <w:r w:rsidRPr="00E14E7E">
        <w:rPr>
          <w:rFonts w:asciiTheme="minorHAnsi" w:hAnsiTheme="minorHAnsi" w:cstheme="minorHAnsi"/>
          <w:sz w:val="22"/>
          <w:szCs w:val="22"/>
        </w:rPr>
        <w:t>.</w:t>
      </w:r>
    </w:p>
    <w:p w14:paraId="5BC0A457"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 </w:t>
      </w:r>
    </w:p>
    <w:p w14:paraId="086D8755" w14:textId="77777777" w:rsidR="00A86191" w:rsidRPr="00884871" w:rsidRDefault="00A86191" w:rsidP="00A86191">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Pr="00884871">
        <w:rPr>
          <w:rFonts w:ascii="Calibri" w:hAnsi="Calibri" w:cs="Arial"/>
          <w:b/>
          <w:bCs/>
          <w:i/>
          <w:sz w:val="22"/>
          <w:szCs w:val="22"/>
          <w:lang w:eastAsia="es-PE"/>
        </w:rPr>
        <w:t>Composición del Precio de Referencia</w:t>
      </w:r>
      <w:r>
        <w:rPr>
          <w:rFonts w:ascii="Calibri" w:hAnsi="Calibri" w:cs="Arial"/>
          <w:b/>
          <w:bCs/>
          <w:i/>
          <w:sz w:val="22"/>
          <w:szCs w:val="22"/>
          <w:lang w:eastAsia="es-PE"/>
        </w:rPr>
        <w:t xml:space="preserve"> </w:t>
      </w:r>
      <w:r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06-01-23</w:t>
      </w:r>
      <w:r w:rsidRPr="00884871">
        <w:rPr>
          <w:rFonts w:ascii="Calibri" w:hAnsi="Calibri" w:cs="Arial"/>
          <w:b/>
          <w:bCs/>
          <w:i/>
          <w:sz w:val="22"/>
          <w:szCs w:val="22"/>
          <w:lang w:eastAsia="es-PE"/>
        </w:rPr>
        <w:t>, en %</w:t>
      </w:r>
    </w:p>
    <w:p w14:paraId="6CED86AB" w14:textId="77777777" w:rsidR="00A86191" w:rsidRPr="00CC2A8A" w:rsidRDefault="00A86191" w:rsidP="00A86191">
      <w:pPr>
        <w:pBdr>
          <w:top w:val="single" w:sz="4" w:space="1" w:color="auto"/>
          <w:bottom w:val="single" w:sz="4" w:space="1" w:color="auto"/>
        </w:pBdr>
        <w:rPr>
          <w:rFonts w:ascii="Calibri" w:hAnsi="Calibri" w:cs="Arial"/>
          <w:bCs/>
          <w:sz w:val="32"/>
          <w:szCs w:val="32"/>
        </w:rPr>
      </w:pPr>
      <w:r w:rsidRPr="006A55F7">
        <w:rPr>
          <w:noProof/>
          <w:lang w:val="es-PE" w:eastAsia="es-PE"/>
        </w:rPr>
        <w:drawing>
          <wp:inline distT="0" distB="0" distL="0" distR="0" wp14:anchorId="5963AF30" wp14:editId="6044AC70">
            <wp:extent cx="5490845" cy="29159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F543033" w14:textId="77777777" w:rsidR="00A86191" w:rsidRPr="001A4F79" w:rsidRDefault="00A86191" w:rsidP="00A86191">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Elaboración: Propia</w:t>
      </w:r>
    </w:p>
    <w:p w14:paraId="0BCA0BE4" w14:textId="77777777" w:rsidR="00A86191" w:rsidRPr="001A4F79" w:rsidRDefault="00A86191" w:rsidP="00A86191">
      <w:pPr>
        <w:spacing w:line="276" w:lineRule="auto"/>
        <w:rPr>
          <w:rFonts w:ascii="Calibri" w:eastAsia="Calibri" w:hAnsi="Calibri"/>
          <w:sz w:val="22"/>
          <w:szCs w:val="22"/>
        </w:rPr>
      </w:pPr>
    </w:p>
    <w:p w14:paraId="6136EAF0" w14:textId="7777777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El mercado relevante para la determinación de los precios de referencia de las gasolinas, diésel, turbo, petróleos industriales y etanol es la Costa del Golfo de Estados Unidos; y Mont Belvieu para el GLP. </w:t>
      </w:r>
      <w:r w:rsidRPr="00E14E7E">
        <w:rPr>
          <w:rFonts w:asciiTheme="minorHAnsi" w:hAnsiTheme="minorHAnsi" w:cstheme="minorHAnsi"/>
          <w:sz w:val="22"/>
          <w:szCs w:val="22"/>
        </w:rPr>
        <w:t>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 xml:space="preserve">y </w:t>
      </w:r>
      <w:r>
        <w:rPr>
          <w:rFonts w:asciiTheme="minorHAnsi" w:hAnsiTheme="minorHAnsi" w:cstheme="minorHAnsi"/>
          <w:sz w:val="22"/>
          <w:szCs w:val="22"/>
        </w:rPr>
        <w:t>el Flete desde el mercado relevante al Callao, son los componentes que tienen</w:t>
      </w:r>
      <w:r w:rsidRPr="00E14E7E">
        <w:rPr>
          <w:rFonts w:asciiTheme="minorHAnsi" w:hAnsiTheme="minorHAnsi" w:cstheme="minorHAnsi"/>
          <w:sz w:val="22"/>
          <w:szCs w:val="22"/>
        </w:rPr>
        <w:t xml:space="preserve"> un mayor impacto en el comportamiento de los precios de referencia de </w:t>
      </w:r>
      <w:r>
        <w:rPr>
          <w:rFonts w:asciiTheme="minorHAnsi" w:hAnsiTheme="minorHAnsi" w:cstheme="minorHAnsi"/>
          <w:sz w:val="22"/>
          <w:szCs w:val="22"/>
        </w:rPr>
        <w:t xml:space="preserve">los </w:t>
      </w:r>
      <w:r w:rsidRPr="00E14E7E">
        <w:rPr>
          <w:rFonts w:asciiTheme="minorHAnsi" w:hAnsiTheme="minorHAnsi" w:cstheme="minorHAnsi"/>
          <w:sz w:val="22"/>
          <w:szCs w:val="22"/>
        </w:rPr>
        <w:t>combustibles</w:t>
      </w:r>
      <w:r>
        <w:rPr>
          <w:rFonts w:asciiTheme="minorHAnsi" w:hAnsiTheme="minorHAnsi" w:cstheme="minorHAnsi"/>
          <w:sz w:val="22"/>
          <w:szCs w:val="22"/>
        </w:rPr>
        <w:t>.</w:t>
      </w:r>
    </w:p>
    <w:p w14:paraId="12DFF379" w14:textId="77777777" w:rsidR="00A86191" w:rsidRDefault="00A86191" w:rsidP="00A86191">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348C2D38" w14:textId="77777777" w:rsidR="00A86191" w:rsidRDefault="00A86191" w:rsidP="00A86191">
      <w:pPr>
        <w:jc w:val="both"/>
        <w:rPr>
          <w:rFonts w:asciiTheme="minorHAnsi" w:hAnsiTheme="minorHAnsi" w:cstheme="minorHAnsi"/>
          <w:sz w:val="22"/>
          <w:szCs w:val="22"/>
        </w:rPr>
      </w:pPr>
      <w:r w:rsidRPr="00061BE1">
        <w:rPr>
          <w:rFonts w:asciiTheme="minorHAnsi" w:hAnsiTheme="minorHAnsi" w:cstheme="minorHAnsi"/>
          <w:sz w:val="22"/>
          <w:szCs w:val="22"/>
        </w:rPr>
        <w:t xml:space="preserve">En la Gráfica N°2, se aprecia que el Precio FOB se ubicó en </w:t>
      </w:r>
      <w:r>
        <w:rPr>
          <w:rFonts w:asciiTheme="minorHAnsi" w:hAnsiTheme="minorHAnsi" w:cstheme="minorHAnsi"/>
          <w:sz w:val="22"/>
          <w:szCs w:val="22"/>
        </w:rPr>
        <w:t>76</w:t>
      </w:r>
      <w:r w:rsidRPr="00061BE1">
        <w:rPr>
          <w:rFonts w:asciiTheme="minorHAnsi" w:hAnsiTheme="minorHAnsi" w:cstheme="minorHAnsi"/>
          <w:sz w:val="22"/>
          <w:szCs w:val="22"/>
        </w:rPr>
        <w:t>% del precio de referencia del GLP</w:t>
      </w:r>
      <w:r>
        <w:rPr>
          <w:rFonts w:asciiTheme="minorHAnsi" w:hAnsiTheme="minorHAnsi" w:cstheme="minorHAnsi"/>
          <w:sz w:val="22"/>
          <w:szCs w:val="22"/>
        </w:rPr>
        <w:t xml:space="preserve">, 78% del precio de referencia del etanol, 76% del precio de los residuales R6 y R500; y fue igual o </w:t>
      </w:r>
      <w:r w:rsidRPr="00061BE1">
        <w:rPr>
          <w:rFonts w:asciiTheme="minorHAnsi" w:hAnsiTheme="minorHAnsi" w:cstheme="minorHAnsi"/>
          <w:sz w:val="22"/>
          <w:szCs w:val="22"/>
        </w:rPr>
        <w:t xml:space="preserve">superior al </w:t>
      </w:r>
      <w:r>
        <w:rPr>
          <w:rFonts w:asciiTheme="minorHAnsi" w:hAnsiTheme="minorHAnsi" w:cstheme="minorHAnsi"/>
          <w:sz w:val="22"/>
          <w:szCs w:val="22"/>
        </w:rPr>
        <w:t>89</w:t>
      </w:r>
      <w:r w:rsidRPr="00061BE1">
        <w:rPr>
          <w:rFonts w:asciiTheme="minorHAnsi" w:hAnsiTheme="minorHAnsi" w:cstheme="minorHAnsi"/>
          <w:sz w:val="22"/>
          <w:szCs w:val="22"/>
        </w:rPr>
        <w:t>% del precio de referencia de los demás combustibles.</w:t>
      </w:r>
      <w:r>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Pr>
          <w:rFonts w:asciiTheme="minorHAnsi" w:hAnsiTheme="minorHAnsi" w:cstheme="minorHAnsi"/>
          <w:sz w:val="22"/>
          <w:szCs w:val="22"/>
        </w:rPr>
        <w:t xml:space="preserve"> FOB </w:t>
      </w:r>
      <w:r w:rsidRPr="00E14E7E">
        <w:rPr>
          <w:rFonts w:asciiTheme="minorHAnsi" w:hAnsiTheme="minorHAnsi" w:cstheme="minorHAnsi"/>
          <w:sz w:val="22"/>
          <w:szCs w:val="22"/>
        </w:rPr>
        <w:t>incluye</w:t>
      </w:r>
      <w:r>
        <w:rPr>
          <w:rFonts w:asciiTheme="minorHAnsi" w:hAnsiTheme="minorHAnsi" w:cstheme="minorHAnsi"/>
          <w:sz w:val="22"/>
          <w:szCs w:val="22"/>
        </w:rPr>
        <w:t xml:space="preserve"> la tarifa “Terminalling” del GLP; el descuento por concepto de RVO, aplicado al precio de las Gasolinas y Diésel 2; y</w:t>
      </w:r>
      <w:r w:rsidRPr="00E14E7E">
        <w:rPr>
          <w:rFonts w:asciiTheme="minorHAnsi" w:hAnsiTheme="minorHAnsi" w:cstheme="minorHAnsi"/>
          <w:sz w:val="22"/>
          <w:szCs w:val="22"/>
        </w:rPr>
        <w:t xml:space="preserve"> </w:t>
      </w:r>
      <w:r>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Pr>
          <w:rFonts w:asciiTheme="minorHAnsi" w:hAnsiTheme="minorHAnsi" w:cstheme="minorHAnsi"/>
          <w:sz w:val="22"/>
          <w:szCs w:val="22"/>
        </w:rPr>
        <w:t xml:space="preserve"> de calidad para las G</w:t>
      </w:r>
      <w:r w:rsidRPr="00E14E7E">
        <w:rPr>
          <w:rFonts w:asciiTheme="minorHAnsi" w:hAnsiTheme="minorHAnsi" w:cstheme="minorHAnsi"/>
          <w:sz w:val="22"/>
          <w:szCs w:val="22"/>
        </w:rPr>
        <w:t>asolinas,</w:t>
      </w:r>
      <w:r>
        <w:rPr>
          <w:rFonts w:asciiTheme="minorHAnsi" w:hAnsiTheme="minorHAnsi" w:cstheme="minorHAnsi"/>
          <w:sz w:val="22"/>
          <w:szCs w:val="22"/>
        </w:rPr>
        <w:t xml:space="preserve"> D</w:t>
      </w:r>
      <w:r w:rsidRPr="00E14E7E">
        <w:rPr>
          <w:rFonts w:asciiTheme="minorHAnsi" w:hAnsiTheme="minorHAnsi" w:cstheme="minorHAnsi"/>
          <w:sz w:val="22"/>
          <w:szCs w:val="22"/>
        </w:rPr>
        <w:t>iésel</w:t>
      </w:r>
      <w:r>
        <w:rPr>
          <w:rFonts w:asciiTheme="minorHAnsi" w:hAnsiTheme="minorHAnsi" w:cstheme="minorHAnsi"/>
          <w:sz w:val="22"/>
          <w:szCs w:val="22"/>
        </w:rPr>
        <w:t xml:space="preserve"> y R</w:t>
      </w:r>
      <w:r w:rsidRPr="00E14E7E">
        <w:rPr>
          <w:rFonts w:asciiTheme="minorHAnsi" w:hAnsiTheme="minorHAnsi" w:cstheme="minorHAnsi"/>
          <w:sz w:val="22"/>
          <w:szCs w:val="22"/>
        </w:rPr>
        <w:t xml:space="preserve">esidual 500. </w:t>
      </w:r>
    </w:p>
    <w:p w14:paraId="64E398CA" w14:textId="77777777" w:rsidR="00A86191" w:rsidRDefault="00A86191" w:rsidP="00A86191">
      <w:pPr>
        <w:jc w:val="both"/>
        <w:rPr>
          <w:rFonts w:asciiTheme="minorHAnsi" w:hAnsiTheme="minorHAnsi" w:cstheme="minorHAnsi"/>
          <w:sz w:val="22"/>
          <w:szCs w:val="22"/>
        </w:rPr>
      </w:pPr>
    </w:p>
    <w:p w14:paraId="00AF8308" w14:textId="20E3F967" w:rsidR="00A86191"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A continuación, se presenta una descripción del cálculo del Precio FOB de los Combustibles, indicando los valores obtenidos para cada uno de sus componentes al 06 de enero 2023. </w:t>
      </w:r>
    </w:p>
    <w:p w14:paraId="5C5156F1" w14:textId="2661E891" w:rsidR="0092176D" w:rsidRDefault="00A86191" w:rsidP="00A86191">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cotizaciones diarias publicadas por Argus.</w:t>
      </w:r>
    </w:p>
    <w:p w14:paraId="3F95B49B" w14:textId="77777777" w:rsidR="00C80F8A" w:rsidRPr="00003F04" w:rsidRDefault="00C80F8A" w:rsidP="00F85D23">
      <w:pPr>
        <w:jc w:val="both"/>
        <w:rPr>
          <w:rFonts w:asciiTheme="minorHAnsi" w:hAnsiTheme="minorHAnsi" w:cstheme="minorHAnsi"/>
          <w:sz w:val="22"/>
          <w:szCs w:val="22"/>
        </w:rPr>
      </w:pPr>
    </w:p>
    <w:p w14:paraId="1996F3C2" w14:textId="77777777" w:rsidR="00A86191" w:rsidRDefault="00A86191" w:rsidP="00A86191">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Precio FOB del GLP</w:t>
      </w:r>
    </w:p>
    <w:p w14:paraId="4F121724" w14:textId="77777777" w:rsidR="00A86191" w:rsidRPr="00265D45" w:rsidRDefault="00A86191" w:rsidP="00A86191">
      <w:pPr>
        <w:pStyle w:val="Prrafodelista"/>
        <w:ind w:left="426" w:hanging="426"/>
        <w:jc w:val="both"/>
        <w:rPr>
          <w:rFonts w:asciiTheme="minorHAnsi" w:hAnsiTheme="minorHAnsi" w:cstheme="minorHAnsi"/>
          <w:b/>
          <w:sz w:val="22"/>
          <w:szCs w:val="22"/>
          <w:u w:val="single"/>
        </w:rPr>
      </w:pPr>
    </w:p>
    <w:p w14:paraId="040EACBA" w14:textId="77777777" w:rsidR="00A86191" w:rsidRPr="006E3A77" w:rsidRDefault="00A86191" w:rsidP="00A86191">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Fue determinado, considerando la mezcla típica del GLP comercializado en nuestro país, cuya composición propano/butano es de 70%/30%.</w:t>
      </w:r>
    </w:p>
    <w:p w14:paraId="42051D95" w14:textId="77777777" w:rsidR="00A86191" w:rsidRPr="006E3A77" w:rsidRDefault="00A86191" w:rsidP="00A86191">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Pr="006E3A77">
        <w:rPr>
          <w:rFonts w:asciiTheme="minorHAnsi" w:hAnsiTheme="minorHAnsi" w:cstheme="minorHAnsi"/>
          <w:sz w:val="22"/>
          <w:szCs w:val="22"/>
        </w:rPr>
        <w:t xml:space="preserve">: Calculado en base al promedio de las 10 últimas cotizaciones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 propano refrigerado publicadas</w:t>
      </w:r>
      <w:r>
        <w:rPr>
          <w:rFonts w:asciiTheme="minorHAnsi" w:hAnsiTheme="minorHAnsi" w:cstheme="minorHAnsi"/>
          <w:sz w:val="22"/>
          <w:szCs w:val="22"/>
        </w:rPr>
        <w:t xml:space="preserve"> por Argus</w:t>
      </w:r>
      <w:r w:rsidRPr="006E3A77">
        <w:rPr>
          <w:rFonts w:asciiTheme="minorHAnsi" w:hAnsiTheme="minorHAnsi" w:cstheme="minorHAnsi"/>
          <w:sz w:val="22"/>
          <w:szCs w:val="22"/>
        </w:rPr>
        <w:t xml:space="preserve">, igual a </w:t>
      </w:r>
      <w:r>
        <w:rPr>
          <w:rFonts w:asciiTheme="minorHAnsi" w:hAnsiTheme="minorHAnsi" w:cstheme="minorHAnsi"/>
          <w:sz w:val="22"/>
          <w:szCs w:val="22"/>
        </w:rPr>
        <w:t>5.53</w:t>
      </w:r>
      <w:r w:rsidRPr="006E3A77">
        <w:rPr>
          <w:rFonts w:asciiTheme="minorHAnsi" w:hAnsiTheme="minorHAnsi" w:cstheme="minorHAnsi"/>
          <w:sz w:val="22"/>
          <w:szCs w:val="22"/>
        </w:rPr>
        <w:t xml:space="preserve"> cent$/galón. Para obtener la tarifa del </w:t>
      </w:r>
      <w:proofErr w:type="spellStart"/>
      <w:r w:rsidRPr="006E3A77">
        <w:rPr>
          <w:rFonts w:asciiTheme="minorHAnsi" w:hAnsiTheme="minorHAnsi" w:cstheme="minorHAnsi"/>
          <w:sz w:val="22"/>
          <w:szCs w:val="22"/>
        </w:rPr>
        <w:t>terminalling</w:t>
      </w:r>
      <w:proofErr w:type="spellEnd"/>
      <w:r w:rsidRPr="006E3A77">
        <w:rPr>
          <w:rFonts w:asciiTheme="minorHAnsi" w:hAnsiTheme="minorHAnsi" w:cstheme="minorHAnsi"/>
          <w:sz w:val="22"/>
          <w:szCs w:val="22"/>
        </w:rPr>
        <w:t xml:space="preserve"> del GLP a temperatura ambiente, usamos la siguiente ecuación: </w:t>
      </w:r>
    </w:p>
    <w:p w14:paraId="594CB7F1" w14:textId="77777777" w:rsidR="00A86191" w:rsidRPr="006E3A77" w:rsidRDefault="00A86191" w:rsidP="00A86191">
      <w:pPr>
        <w:pStyle w:val="Prrafodelista"/>
        <w:ind w:left="426" w:hanging="426"/>
        <w:jc w:val="center"/>
        <w:rPr>
          <w:rFonts w:asciiTheme="minorHAnsi" w:hAnsiTheme="minorHAnsi" w:cstheme="minorHAnsi"/>
          <w:sz w:val="22"/>
          <w:szCs w:val="22"/>
          <w:lang w:val="es-MX"/>
        </w:rPr>
      </w:pPr>
    </w:p>
    <w:p w14:paraId="6F397815" w14:textId="77777777" w:rsidR="00A86191" w:rsidRPr="006E3A77" w:rsidRDefault="00A86191" w:rsidP="00A86191">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Pr>
          <w:rFonts w:asciiTheme="minorHAnsi" w:hAnsiTheme="minorHAnsi" w:cstheme="minorHAnsi"/>
          <w:sz w:val="22"/>
          <w:szCs w:val="22"/>
          <w:lang w:val="en-US"/>
        </w:rPr>
        <w:t>5.53</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xml:space="preserve">* (521.74/729.23) = </w:t>
      </w:r>
      <w:r>
        <w:rPr>
          <w:rFonts w:asciiTheme="minorHAnsi" w:hAnsiTheme="minorHAnsi" w:cstheme="minorHAnsi"/>
          <w:sz w:val="22"/>
          <w:szCs w:val="22"/>
          <w:lang w:val="en-US"/>
        </w:rPr>
        <w:t>3.95</w:t>
      </w:r>
      <w:r w:rsidRPr="006E3A77">
        <w:rPr>
          <w:rFonts w:asciiTheme="minorHAnsi" w:hAnsiTheme="minorHAnsi" w:cstheme="minorHAnsi"/>
          <w:sz w:val="22"/>
          <w:szCs w:val="22"/>
          <w:lang w:val="en-US"/>
        </w:rPr>
        <w:t xml:space="preserve"> cent$/</w:t>
      </w:r>
      <w:proofErr w:type="spellStart"/>
      <w:r w:rsidRPr="006E3A77">
        <w:rPr>
          <w:rFonts w:asciiTheme="minorHAnsi" w:hAnsiTheme="minorHAnsi" w:cstheme="minorHAnsi"/>
          <w:sz w:val="22"/>
          <w:szCs w:val="22"/>
          <w:lang w:val="en-US"/>
        </w:rPr>
        <w:t>Galón</w:t>
      </w:r>
      <w:proofErr w:type="spellEnd"/>
    </w:p>
    <w:p w14:paraId="0AC0AE2D" w14:textId="77777777" w:rsidR="00A86191" w:rsidRPr="006E3A77" w:rsidRDefault="00A86191" w:rsidP="00A86191">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Pr>
          <w:rFonts w:asciiTheme="minorHAnsi" w:hAnsiTheme="minorHAnsi" w:cstheme="minorHAnsi"/>
          <w:sz w:val="22"/>
          <w:szCs w:val="22"/>
          <w:lang w:val="en-US"/>
        </w:rPr>
        <w:t>1.66</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1CE6A13B" w14:textId="77777777" w:rsidR="00A86191" w:rsidRPr="006E3A77" w:rsidRDefault="00A86191" w:rsidP="00A86191">
      <w:pPr>
        <w:pStyle w:val="Prrafodelista"/>
        <w:ind w:left="426" w:hanging="426"/>
        <w:jc w:val="center"/>
        <w:rPr>
          <w:rFonts w:asciiTheme="minorHAnsi" w:hAnsiTheme="minorHAnsi" w:cstheme="minorHAnsi"/>
          <w:sz w:val="22"/>
          <w:szCs w:val="22"/>
          <w:lang w:val="en-US"/>
        </w:rPr>
      </w:pPr>
    </w:p>
    <w:p w14:paraId="56C426B4" w14:textId="77777777" w:rsidR="00A86191" w:rsidRPr="006E3A77" w:rsidRDefault="00A86191" w:rsidP="00A8619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 las Gasolinas:</w:t>
      </w:r>
    </w:p>
    <w:p w14:paraId="3E0DB22A" w14:textId="77777777" w:rsidR="00A86191" w:rsidRPr="006E3A77" w:rsidRDefault="00A86191" w:rsidP="00A86191">
      <w:pPr>
        <w:ind w:left="426" w:hanging="426"/>
        <w:jc w:val="both"/>
        <w:rPr>
          <w:rFonts w:asciiTheme="minorHAnsi" w:hAnsiTheme="minorHAnsi" w:cstheme="minorHAnsi"/>
          <w:b/>
          <w:sz w:val="22"/>
          <w:szCs w:val="22"/>
          <w:u w:val="single"/>
        </w:rPr>
      </w:pPr>
    </w:p>
    <w:p w14:paraId="2E78C8E1" w14:textId="77777777" w:rsidR="00A86191" w:rsidRPr="006E3A77" w:rsidRDefault="00A86191" w:rsidP="00A8619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las gasolinas de 97 y 95 octanos, corresponde al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calculado a partir de la mezcla de las gasolinas CBOB 97 y CBOB 93; mientras que, para las gasolinas de 90 y 84 octanos,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 la gasolina CBOB 87.</w:t>
      </w:r>
    </w:p>
    <w:p w14:paraId="6ABF2E7C" w14:textId="77777777" w:rsidR="00A86191" w:rsidRPr="006E3A77" w:rsidRDefault="00A86191" w:rsidP="00A8619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Pr>
          <w:rFonts w:asciiTheme="minorHAnsi" w:hAnsiTheme="minorHAnsi" w:cstheme="minorHAnsi"/>
          <w:sz w:val="22"/>
          <w:szCs w:val="22"/>
        </w:rPr>
        <w:t>8.55</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3674794" w14:textId="77777777" w:rsidR="00A86191" w:rsidRPr="006E3A77" w:rsidRDefault="00A86191" w:rsidP="00A8619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Pr>
          <w:rFonts w:asciiTheme="minorHAnsi" w:hAnsiTheme="minorHAnsi" w:cstheme="minorHAnsi"/>
          <w:sz w:val="22"/>
          <w:szCs w:val="22"/>
        </w:rPr>
        <w:t xml:space="preserve">2.58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Pr>
          <w:rFonts w:asciiTheme="minorHAnsi" w:hAnsiTheme="minorHAnsi" w:cstheme="minorHAnsi"/>
          <w:sz w:val="22"/>
          <w:szCs w:val="22"/>
        </w:rPr>
        <w:t>2.13</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6C31CE42" w14:textId="77777777" w:rsidR="00A86191" w:rsidRPr="006E3A77" w:rsidRDefault="00A86191" w:rsidP="00A86191">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Pr>
          <w:rFonts w:asciiTheme="minorHAnsi" w:hAnsiTheme="minorHAnsi" w:cstheme="minorHAnsi"/>
          <w:sz w:val="22"/>
          <w:szCs w:val="22"/>
        </w:rPr>
        <w:t>1.44</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90 octanos y un ajuste de </w:t>
      </w:r>
      <w:r>
        <w:rPr>
          <w:rFonts w:asciiTheme="minorHAnsi" w:hAnsiTheme="minorHAnsi" w:cstheme="minorHAnsi"/>
          <w:sz w:val="22"/>
          <w:szCs w:val="22"/>
        </w:rPr>
        <w:t xml:space="preserve">-7.75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 gasolina de 84 octanos.</w:t>
      </w:r>
    </w:p>
    <w:p w14:paraId="4DC29D7B" w14:textId="77777777" w:rsidR="00A86191" w:rsidRPr="006E3A77" w:rsidRDefault="00A86191" w:rsidP="00A86191">
      <w:pPr>
        <w:ind w:left="426" w:hanging="426"/>
        <w:jc w:val="both"/>
        <w:rPr>
          <w:rFonts w:asciiTheme="minorHAnsi" w:hAnsiTheme="minorHAnsi" w:cstheme="minorHAnsi"/>
          <w:sz w:val="22"/>
          <w:szCs w:val="22"/>
          <w:u w:val="single"/>
        </w:rPr>
      </w:pPr>
    </w:p>
    <w:p w14:paraId="3E2059EA" w14:textId="77777777" w:rsidR="00A86191" w:rsidRPr="006E3A77" w:rsidRDefault="00A86191" w:rsidP="00A8619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del Diésel:</w:t>
      </w:r>
    </w:p>
    <w:p w14:paraId="7A2644DD" w14:textId="77777777" w:rsidR="00A86191" w:rsidRPr="006E3A77" w:rsidRDefault="00A86191" w:rsidP="00A86191">
      <w:pPr>
        <w:ind w:left="426" w:hanging="426"/>
        <w:jc w:val="both"/>
        <w:rPr>
          <w:rFonts w:asciiTheme="minorHAnsi" w:hAnsiTheme="minorHAnsi" w:cstheme="minorHAnsi"/>
          <w:b/>
          <w:sz w:val="22"/>
          <w:szCs w:val="22"/>
          <w:u w:val="single"/>
        </w:rPr>
      </w:pPr>
    </w:p>
    <w:p w14:paraId="292CD0D7" w14:textId="77777777" w:rsidR="00A86191" w:rsidRPr="006E3A77" w:rsidRDefault="00A86191" w:rsidP="00A8619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contenido de azufre, se toma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Ultra </w:t>
      </w:r>
      <w:proofErr w:type="spellStart"/>
      <w:r w:rsidRPr="006E3A77">
        <w:rPr>
          <w:rFonts w:asciiTheme="minorHAnsi" w:hAnsiTheme="minorHAnsi" w:cstheme="minorHAnsi"/>
          <w:sz w:val="22"/>
          <w:szCs w:val="22"/>
        </w:rPr>
        <w:t>Sulfur</w:t>
      </w:r>
      <w:proofErr w:type="spellEnd"/>
      <w:r w:rsidRPr="006E3A77">
        <w:rPr>
          <w:rFonts w:asciiTheme="minorHAnsi" w:hAnsiTheme="minorHAnsi" w:cstheme="minorHAnsi"/>
          <w:sz w:val="22"/>
          <w:szCs w:val="22"/>
        </w:rPr>
        <w:t xml:space="preserve"> Diésel. Para el Diésel con alto contenido de azufre, se considera el Gasoil N°2, sin RVO.</w:t>
      </w:r>
    </w:p>
    <w:p w14:paraId="37549A01" w14:textId="77777777" w:rsidR="00A86191" w:rsidRPr="006E3A77" w:rsidRDefault="00A86191" w:rsidP="00A8619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Pr>
          <w:rFonts w:asciiTheme="minorHAnsi" w:hAnsiTheme="minorHAnsi" w:cstheme="minorHAnsi"/>
          <w:sz w:val="22"/>
          <w:szCs w:val="22"/>
        </w:rPr>
        <w:t xml:space="preserve">8.55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43A4E04B" w14:textId="77777777" w:rsidR="00A86191" w:rsidRPr="006E3A77" w:rsidRDefault="00A86191" w:rsidP="00A86191">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273D8579" w14:textId="77777777" w:rsidR="00A86191" w:rsidRPr="006E3A77" w:rsidRDefault="00A86191" w:rsidP="00A86191">
      <w:pPr>
        <w:ind w:left="426" w:hanging="426"/>
        <w:jc w:val="both"/>
        <w:rPr>
          <w:rFonts w:asciiTheme="minorHAnsi" w:hAnsiTheme="minorHAnsi" w:cstheme="minorHAnsi"/>
          <w:b/>
          <w:sz w:val="22"/>
          <w:szCs w:val="22"/>
          <w:u w:val="single"/>
        </w:rPr>
      </w:pPr>
    </w:p>
    <w:p w14:paraId="7E363FD4" w14:textId="77777777" w:rsidR="00A86191" w:rsidRPr="006E3A77" w:rsidRDefault="00A86191" w:rsidP="00A86191">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de los Petróleos Industriales:</w:t>
      </w:r>
    </w:p>
    <w:p w14:paraId="023BB629" w14:textId="77777777" w:rsidR="00A86191" w:rsidRPr="006E3A77" w:rsidRDefault="00A86191" w:rsidP="00A86191">
      <w:pPr>
        <w:ind w:left="426" w:hanging="426"/>
        <w:jc w:val="both"/>
        <w:rPr>
          <w:rFonts w:asciiTheme="minorHAnsi" w:hAnsiTheme="minorHAnsi" w:cstheme="minorHAnsi"/>
          <w:b/>
          <w:sz w:val="22"/>
          <w:szCs w:val="22"/>
          <w:u w:val="single"/>
        </w:rPr>
      </w:pPr>
    </w:p>
    <w:p w14:paraId="47C7E609" w14:textId="77777777" w:rsidR="00A86191" w:rsidRPr="006E3A77" w:rsidRDefault="00A86191" w:rsidP="00A86191">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500, se considera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5AD0C861" w14:textId="77777777" w:rsidR="00A86191" w:rsidRDefault="00A86191" w:rsidP="00A86191">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Pr>
          <w:rFonts w:asciiTheme="minorHAnsi" w:hAnsiTheme="minorHAnsi" w:cstheme="minorHAnsi"/>
          <w:sz w:val="22"/>
          <w:szCs w:val="22"/>
        </w:rPr>
        <w:t>1.01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16A40B4E" w14:textId="77777777" w:rsidR="00A86191" w:rsidRPr="006E3A77" w:rsidRDefault="00A86191" w:rsidP="00A86191">
      <w:pPr>
        <w:pStyle w:val="Prrafodelista"/>
        <w:ind w:left="851"/>
        <w:jc w:val="both"/>
        <w:rPr>
          <w:rFonts w:asciiTheme="minorHAnsi" w:hAnsiTheme="minorHAnsi" w:cstheme="minorHAnsi"/>
          <w:sz w:val="22"/>
          <w:szCs w:val="22"/>
        </w:rPr>
      </w:pPr>
    </w:p>
    <w:p w14:paraId="117F1B95" w14:textId="2E526F8D" w:rsidR="00F85D23" w:rsidRPr="00B45C03" w:rsidRDefault="00A86191" w:rsidP="00A86191">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Los resultados del cálculo del Precio FOB y de los demás componentes que forman parte de los Precios de Referencia de Combustibles, se muestran en la Tabla N°1</w:t>
      </w:r>
      <w:r w:rsidR="00F85D23" w:rsidRPr="006E3A77">
        <w:rPr>
          <w:rFonts w:asciiTheme="minorHAnsi" w:hAnsiTheme="minorHAnsi" w:cstheme="minorHAnsi"/>
          <w:sz w:val="22"/>
          <w:szCs w:val="22"/>
        </w:rPr>
        <w:t>.</w:t>
      </w:r>
    </w:p>
    <w:p w14:paraId="52F1DBA2" w14:textId="77777777" w:rsidR="00F85D23" w:rsidRDefault="00F85D23" w:rsidP="004F74EE">
      <w:pPr>
        <w:jc w:val="both"/>
        <w:rPr>
          <w:rFonts w:ascii="Arial" w:hAnsi="Arial" w:cs="Arial"/>
          <w:sz w:val="22"/>
          <w:szCs w:val="22"/>
          <w:u w:val="single"/>
          <w:lang w:eastAsia="en-US"/>
        </w:rPr>
      </w:pPr>
    </w:p>
    <w:p w14:paraId="260CC5BA" w14:textId="77777777" w:rsidR="00352B3A" w:rsidRDefault="00352B3A" w:rsidP="004F74EE">
      <w:pPr>
        <w:jc w:val="both"/>
        <w:rPr>
          <w:rFonts w:ascii="Arial" w:hAnsi="Arial" w:cs="Arial"/>
          <w:sz w:val="22"/>
          <w:szCs w:val="22"/>
          <w:u w:val="single"/>
          <w:lang w:eastAsia="en-US"/>
        </w:rPr>
      </w:pPr>
    </w:p>
    <w:p w14:paraId="49B933A4" w14:textId="77777777" w:rsidR="00352B3A" w:rsidRDefault="00352B3A" w:rsidP="004F74EE">
      <w:pPr>
        <w:jc w:val="both"/>
        <w:rPr>
          <w:rFonts w:ascii="Arial" w:hAnsi="Arial" w:cs="Arial"/>
          <w:sz w:val="22"/>
          <w:szCs w:val="22"/>
          <w:u w:val="single"/>
          <w:lang w:eastAsia="en-US"/>
        </w:rPr>
      </w:pPr>
    </w:p>
    <w:p w14:paraId="5451DFF8" w14:textId="530A35A7" w:rsidR="00352B3A" w:rsidRPr="00F85D23" w:rsidRDefault="00352B3A" w:rsidP="004F74EE">
      <w:pPr>
        <w:jc w:val="both"/>
        <w:rPr>
          <w:rFonts w:ascii="Arial" w:hAnsi="Arial" w:cs="Arial"/>
          <w:sz w:val="22"/>
          <w:szCs w:val="22"/>
          <w:u w:val="single"/>
          <w:lang w:eastAsia="en-US"/>
        </w:rPr>
        <w:sectPr w:rsidR="00352B3A" w:rsidRPr="00F85D23" w:rsidSect="002A50E6">
          <w:headerReference w:type="default" r:id="rId14"/>
          <w:footerReference w:type="default" r:id="rId15"/>
          <w:headerReference w:type="first" r:id="rId16"/>
          <w:footerReference w:type="first" r:id="rId17"/>
          <w:type w:val="continuous"/>
          <w:pgSz w:w="11907" w:h="16840" w:code="9"/>
          <w:pgMar w:top="1560" w:right="1559" w:bottom="1134"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059935B4" w:rsidR="004F74EE" w:rsidRDefault="00A86191" w:rsidP="004F74EE">
      <w:pPr>
        <w:pBdr>
          <w:top w:val="single" w:sz="4" w:space="1" w:color="auto"/>
          <w:bottom w:val="single" w:sz="4" w:space="1" w:color="auto"/>
        </w:pBdr>
        <w:jc w:val="center"/>
        <w:rPr>
          <w:rFonts w:ascii="Calibri" w:hAnsi="Calibri" w:cs="Calibri"/>
          <w:sz w:val="22"/>
          <w:szCs w:val="22"/>
          <w:lang w:val="es-PE" w:eastAsia="en-US"/>
        </w:rPr>
      </w:pPr>
      <w:r w:rsidRPr="00F312DA">
        <w:rPr>
          <w:noProof/>
          <w:lang w:val="es-PE" w:eastAsia="es-PE"/>
        </w:rPr>
        <w:drawing>
          <wp:inline distT="0" distB="0" distL="0" distR="0" wp14:anchorId="61ADE399" wp14:editId="48B49163">
            <wp:extent cx="8173085" cy="29641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173085" cy="2964180"/>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5A1B8619"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sel , el ajuste de calidad por c</w:t>
            </w:r>
            <w:r w:rsidRPr="00352553">
              <w:rPr>
                <w:rFonts w:asciiTheme="minorHAnsi" w:hAnsiTheme="minorHAnsi" w:cstheme="minorHAnsi"/>
                <w:i/>
                <w:iCs/>
                <w:sz w:val="18"/>
                <w:szCs w:val="18"/>
                <w:lang w:val="es-MX" w:eastAsia="en-US"/>
              </w:rPr>
              <w:t xml:space="preserve">etano (40 en el Mercado Internacional, según especificaciones del Colonial Pipeline y 45 en el Mercado Local) es igual a 0.37 US$/Bl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6CF4620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(10) El Precio de Referencia de los Gasoholes,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52B3A">
          <w:footerReference w:type="default" r:id="rId19"/>
          <w:headerReference w:type="first" r:id="rId20"/>
          <w:type w:val="nextColumn"/>
          <w:pgSz w:w="16840" w:h="11907" w:orient="landscape" w:code="9"/>
          <w:pgMar w:top="1843" w:right="2268" w:bottom="1276"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F7010D">
        <w:trPr>
          <w:trHeight w:val="5052"/>
        </w:trPr>
        <w:tc>
          <w:tcPr>
            <w:tcW w:w="5693" w:type="dxa"/>
            <w:tcBorders>
              <w:top w:val="single" w:sz="4" w:space="0" w:color="auto"/>
              <w:bottom w:val="single" w:sz="4" w:space="0" w:color="auto"/>
            </w:tcBorders>
            <w:shd w:val="clear" w:color="auto" w:fill="auto"/>
          </w:tcPr>
          <w:p w14:paraId="5FE1CE67" w14:textId="1A3085A2" w:rsidR="00F85D23" w:rsidRPr="002B3648" w:rsidRDefault="00A86191" w:rsidP="00FB4E04">
            <w:pPr>
              <w:ind w:left="-618" w:right="-654"/>
              <w:jc w:val="center"/>
              <w:rPr>
                <w:rFonts w:asciiTheme="minorHAnsi" w:hAnsiTheme="minorHAnsi" w:cstheme="minorHAnsi"/>
              </w:rPr>
            </w:pPr>
            <w:r>
              <w:rPr>
                <w:noProof/>
                <w:lang w:val="es-PE" w:eastAsia="es-PE"/>
              </w:rPr>
              <w:drawing>
                <wp:inline distT="0" distB="0" distL="0" distR="0" wp14:anchorId="52835FDB" wp14:editId="150143C1">
                  <wp:extent cx="3526155" cy="3136605"/>
                  <wp:effectExtent l="0" t="0" r="0"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29055" cy="3139184"/>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F7010D">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0502EA7D" w:rsidR="00EF5671" w:rsidRPr="00CE793E" w:rsidRDefault="00A86191" w:rsidP="00FB4E04">
            <w:pPr>
              <w:ind w:left="-634" w:right="-654"/>
              <w:jc w:val="center"/>
              <w:rPr>
                <w:rFonts w:asciiTheme="minorHAnsi" w:hAnsiTheme="minorHAnsi" w:cstheme="minorHAnsi"/>
                <w:lang w:val="es-MX"/>
              </w:rPr>
            </w:pPr>
            <w:r>
              <w:rPr>
                <w:noProof/>
                <w:lang w:val="es-PE" w:eastAsia="es-PE"/>
              </w:rPr>
              <w:drawing>
                <wp:inline distT="0" distB="0" distL="0" distR="0" wp14:anchorId="5BEA70CF" wp14:editId="4BF6A644">
                  <wp:extent cx="5211445" cy="2072640"/>
                  <wp:effectExtent l="0" t="0" r="825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211445" cy="2072640"/>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38FEDC8D" w:rsidR="000A6BC2" w:rsidRPr="00737F8F" w:rsidRDefault="00A86191"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F312DA">
        <w:rPr>
          <w:noProof/>
          <w:lang w:val="es-PE" w:eastAsia="es-PE"/>
        </w:rPr>
        <w:drawing>
          <wp:inline distT="0" distB="0" distL="0" distR="0" wp14:anchorId="245FE32B" wp14:editId="0D9AA936">
            <wp:extent cx="5615940" cy="2176145"/>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615940" cy="2176145"/>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US$/Bl</w:t>
      </w:r>
    </w:p>
    <w:p w14:paraId="6E84805C" w14:textId="757880CF" w:rsidR="005C4A97" w:rsidRDefault="00A86191" w:rsidP="00604758">
      <w:pPr>
        <w:spacing w:line="0" w:lineRule="atLeast"/>
        <w:ind w:right="-567"/>
        <w:jc w:val="both"/>
        <w:rPr>
          <w:rFonts w:asciiTheme="minorHAnsi" w:hAnsiTheme="minorHAnsi" w:cstheme="minorHAnsi"/>
          <w:i/>
          <w:sz w:val="18"/>
          <w:szCs w:val="18"/>
        </w:rPr>
      </w:pPr>
      <w:r w:rsidRPr="00F312DA">
        <w:rPr>
          <w:noProof/>
          <w:lang w:val="es-PE" w:eastAsia="es-PE"/>
        </w:rPr>
        <w:drawing>
          <wp:inline distT="0" distB="0" distL="0" distR="0" wp14:anchorId="2AF27824" wp14:editId="1165D493">
            <wp:extent cx="5848766" cy="2346385"/>
            <wp:effectExtent l="0" t="0" r="0" b="0"/>
            <wp:docPr id="14" name="Picture 14" descr="Graphical user interfac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chart&#10;&#10;Description automatically generated"/>
                    <pic:cNvPicPr/>
                  </pic:nvPicPr>
                  <pic:blipFill>
                    <a:blip r:embed="rId24"/>
                    <a:stretch>
                      <a:fillRect/>
                    </a:stretch>
                  </pic:blipFill>
                  <pic:spPr>
                    <a:xfrm>
                      <a:off x="0" y="0"/>
                      <a:ext cx="5854209" cy="2348569"/>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US$/Bl</w:t>
      </w:r>
    </w:p>
    <w:p w14:paraId="4BB900C6" w14:textId="49641EF6" w:rsidR="007B04A3" w:rsidRDefault="00A86191" w:rsidP="002261BC">
      <w:pPr>
        <w:ind w:left="-851"/>
        <w:rPr>
          <w:rFonts w:asciiTheme="minorHAnsi" w:hAnsiTheme="minorHAnsi" w:cstheme="minorHAnsi"/>
          <w:i/>
          <w:sz w:val="18"/>
          <w:szCs w:val="18"/>
        </w:rPr>
      </w:pPr>
      <w:bookmarkStart w:id="3" w:name="_GoBack"/>
      <w:r w:rsidRPr="00F312DA">
        <w:rPr>
          <w:noProof/>
          <w:lang w:val="es-PE" w:eastAsia="es-PE"/>
        </w:rPr>
        <w:drawing>
          <wp:inline distT="0" distB="0" distL="0" distR="0" wp14:anchorId="21048DA0" wp14:editId="4271AD1E">
            <wp:extent cx="6202392" cy="6945001"/>
            <wp:effectExtent l="0" t="0" r="8255" b="8255"/>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25"/>
                    <a:stretch>
                      <a:fillRect/>
                    </a:stretch>
                  </pic:blipFill>
                  <pic:spPr>
                    <a:xfrm>
                      <a:off x="0" y="0"/>
                      <a:ext cx="6204945" cy="6947860"/>
                    </a:xfrm>
                    <a:prstGeom prst="rect">
                      <a:avLst/>
                    </a:prstGeom>
                  </pic:spPr>
                </pic:pic>
              </a:graphicData>
            </a:graphic>
          </wp:inline>
        </w:drawing>
      </w:r>
      <w:bookmarkEnd w:id="3"/>
    </w:p>
    <w:p w14:paraId="6E7D3449" w14:textId="77777777" w:rsidR="00C80F8A" w:rsidRDefault="00DC168B" w:rsidP="00550489">
      <w:pPr>
        <w:pStyle w:val="xl37"/>
        <w:spacing w:before="0" w:beforeAutospacing="0" w:after="0" w:afterAutospacing="0"/>
        <w:ind w:left="-851"/>
        <w:rPr>
          <w:rFonts w:asciiTheme="minorHAnsi" w:eastAsia="Times New Roman" w:hAnsiTheme="minorHAnsi" w:cstheme="minorHAnsi"/>
          <w:b w:val="0"/>
          <w:bCs w:val="0"/>
          <w:i/>
          <w:iCs/>
          <w:sz w:val="16"/>
          <w:szCs w:val="16"/>
        </w:rPr>
      </w:pPr>
      <w:r w:rsidRPr="00DC168B">
        <w:rPr>
          <w:rFonts w:asciiTheme="minorHAnsi" w:eastAsia="Times New Roman" w:hAnsiTheme="minorHAnsi" w:cstheme="minorHAnsi"/>
          <w:bCs w:val="0"/>
          <w:i/>
          <w:iCs/>
          <w:sz w:val="16"/>
          <w:szCs w:val="16"/>
        </w:rPr>
        <w:t xml:space="preserve"> </w:t>
      </w:r>
      <w:r w:rsidR="0022589A">
        <w:rPr>
          <w:rFonts w:asciiTheme="minorHAnsi" w:eastAsia="Times New Roman" w:hAnsiTheme="minorHAnsi" w:cstheme="minorHAnsi"/>
          <w:bCs w:val="0"/>
          <w:i/>
          <w:iCs/>
          <w:sz w:val="16"/>
          <w:szCs w:val="16"/>
        </w:rPr>
        <w:t xml:space="preserve">   </w:t>
      </w:r>
      <w:r w:rsidRPr="002B3648">
        <w:rPr>
          <w:rFonts w:asciiTheme="minorHAnsi" w:eastAsia="Times New Roman" w:hAnsiTheme="minorHAnsi" w:cstheme="minorHAnsi"/>
          <w:bCs w:val="0"/>
          <w:i/>
          <w:iCs/>
          <w:sz w:val="16"/>
          <w:szCs w:val="16"/>
        </w:rPr>
        <w:t>Fuente</w:t>
      </w:r>
      <w:r>
        <w:rPr>
          <w:rFonts w:asciiTheme="minorHAnsi" w:eastAsia="Times New Roman" w:hAnsiTheme="minorHAnsi" w:cstheme="minorHAnsi"/>
          <w:b w:val="0"/>
          <w:bCs w:val="0"/>
          <w:i/>
          <w:iCs/>
          <w:sz w:val="16"/>
          <w:szCs w:val="16"/>
        </w:rPr>
        <w:t xml:space="preserve">: </w:t>
      </w:r>
      <w:r w:rsidRPr="002B3648">
        <w:rPr>
          <w:rFonts w:asciiTheme="minorHAnsi" w:eastAsia="Times New Roman" w:hAnsiTheme="minorHAnsi" w:cstheme="minorHAnsi"/>
          <w:b w:val="0"/>
          <w:bCs w:val="0"/>
          <w:i/>
          <w:iCs/>
          <w:sz w:val="16"/>
          <w:szCs w:val="16"/>
        </w:rPr>
        <w:t>O</w:t>
      </w:r>
      <w:r w:rsidR="00E108B5">
        <w:rPr>
          <w:rFonts w:asciiTheme="minorHAnsi" w:eastAsia="Times New Roman" w:hAnsiTheme="minorHAnsi" w:cstheme="minorHAnsi"/>
          <w:b w:val="0"/>
          <w:bCs w:val="0"/>
          <w:i/>
          <w:iCs/>
          <w:sz w:val="16"/>
          <w:szCs w:val="16"/>
        </w:rPr>
        <w:t>sinergmin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p>
    <w:p w14:paraId="1667552F" w14:textId="298AC37A"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4B79F497"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2B78D4FE" w14:textId="5A527CCE" w:rsidR="00C80F8A" w:rsidRPr="00C80F8A" w:rsidRDefault="00C80F8A" w:rsidP="00550489">
      <w:pPr>
        <w:pStyle w:val="xl37"/>
        <w:spacing w:before="0" w:beforeAutospacing="0" w:after="0" w:afterAutospacing="0"/>
        <w:ind w:left="-851"/>
        <w:rPr>
          <w:rFonts w:asciiTheme="minorHAnsi" w:hAnsiTheme="minorHAnsi" w:cstheme="minorHAnsi"/>
          <w:b w:val="0"/>
          <w:iCs/>
          <w:sz w:val="16"/>
          <w:szCs w:val="16"/>
        </w:rPr>
      </w:pPr>
      <w:r>
        <w:rPr>
          <w:rFonts w:asciiTheme="minorHAnsi" w:hAnsiTheme="minorHAnsi" w:cstheme="minorHAnsi"/>
          <w:b w:val="0"/>
          <w:iCs/>
          <w:sz w:val="16"/>
          <w:szCs w:val="16"/>
        </w:rPr>
        <w:t>MMC / MMT / ASC</w:t>
      </w:r>
    </w:p>
    <w:p w14:paraId="094AB2C7"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57C88BDA" w14:textId="77777777" w:rsidR="00C80F8A" w:rsidRDefault="00C80F8A" w:rsidP="00550489">
      <w:pPr>
        <w:pStyle w:val="xl37"/>
        <w:spacing w:before="0" w:beforeAutospacing="0" w:after="0" w:afterAutospacing="0"/>
        <w:ind w:left="-851"/>
        <w:rPr>
          <w:rFonts w:asciiTheme="minorHAnsi" w:hAnsiTheme="minorHAnsi" w:cstheme="minorHAnsi"/>
          <w:i/>
          <w:iCs/>
          <w:sz w:val="16"/>
          <w:szCs w:val="16"/>
        </w:rPr>
      </w:pPr>
    </w:p>
    <w:p w14:paraId="00F47A69" w14:textId="4CB85CAF" w:rsidR="00DB4BFD" w:rsidRDefault="00DB4BFD" w:rsidP="00550489">
      <w:pPr>
        <w:pStyle w:val="xl37"/>
        <w:spacing w:before="0" w:beforeAutospacing="0" w:after="0" w:afterAutospacing="0"/>
        <w:ind w:left="-851"/>
        <w:rPr>
          <w:rFonts w:asciiTheme="minorHAnsi" w:hAnsiTheme="minorHAnsi" w:cstheme="minorHAnsi"/>
          <w:b w:val="0"/>
          <w:i/>
          <w:iCs/>
          <w:sz w:val="16"/>
          <w:szCs w:val="16"/>
        </w:rPr>
      </w:pPr>
      <w:r>
        <w:rPr>
          <w:rFonts w:asciiTheme="minorHAnsi" w:hAnsiTheme="minorHAnsi" w:cstheme="minorHAnsi"/>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lastRenderedPageBreak/>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3915D34D" w:rsidR="009D445C" w:rsidRDefault="002A1552" w:rsidP="00214BFB">
      <w:pPr>
        <w:jc w:val="center"/>
        <w:rPr>
          <w:rFonts w:asciiTheme="minorHAnsi" w:hAnsiTheme="minorHAnsi" w:cstheme="minorHAnsi"/>
          <w:sz w:val="22"/>
          <w:szCs w:val="22"/>
        </w:rPr>
      </w:pPr>
      <w:r>
        <w:rPr>
          <w:noProof/>
          <w:lang w:val="es-PE" w:eastAsia="es-PE"/>
        </w:rPr>
        <w:drawing>
          <wp:inline distT="0" distB="0" distL="0" distR="0" wp14:anchorId="20155A9D" wp14:editId="29F5090D">
            <wp:extent cx="4494433" cy="2399665"/>
            <wp:effectExtent l="19050" t="19050" r="20955" b="19685"/>
            <wp:docPr id="25" name="Picture 25"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06996" cy="2406372"/>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7B1F302C" w:rsidR="00243B98" w:rsidRDefault="002A1552" w:rsidP="00214BFB">
      <w:pPr>
        <w:jc w:val="center"/>
        <w:rPr>
          <w:rFonts w:asciiTheme="minorHAnsi" w:hAnsiTheme="minorHAnsi" w:cstheme="minorHAnsi"/>
          <w:sz w:val="22"/>
          <w:szCs w:val="22"/>
        </w:rPr>
      </w:pPr>
      <w:r>
        <w:rPr>
          <w:noProof/>
          <w:lang w:val="es-PE" w:eastAsia="es-PE"/>
        </w:rPr>
        <w:drawing>
          <wp:inline distT="0" distB="0" distL="0" distR="0" wp14:anchorId="3486FC2E" wp14:editId="5A5E765F">
            <wp:extent cx="4531995" cy="2419720"/>
            <wp:effectExtent l="19050" t="19050" r="20955" b="19050"/>
            <wp:docPr id="26" name="Picture 26"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52207" cy="2430512"/>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24C3D62" w:rsidR="005932D3" w:rsidRDefault="005932D3" w:rsidP="00214BFB">
      <w:pPr>
        <w:jc w:val="center"/>
        <w:rPr>
          <w:rFonts w:asciiTheme="minorHAnsi" w:hAnsiTheme="minorHAnsi" w:cstheme="minorHAnsi"/>
          <w:sz w:val="22"/>
          <w:szCs w:val="22"/>
        </w:rPr>
      </w:pPr>
    </w:p>
    <w:p w14:paraId="3F332F86" w14:textId="77777777" w:rsidR="00352B3A" w:rsidRDefault="002A1552" w:rsidP="00AF2226">
      <w:pPr>
        <w:ind w:left="993"/>
        <w:jc w:val="both"/>
        <w:rPr>
          <w:rFonts w:asciiTheme="minorHAnsi" w:hAnsiTheme="minorHAnsi" w:cstheme="minorHAnsi"/>
          <w:b/>
          <w:bCs/>
          <w:i/>
          <w:iCs/>
          <w:sz w:val="16"/>
          <w:szCs w:val="16"/>
        </w:rPr>
      </w:pPr>
      <w:r>
        <w:rPr>
          <w:noProof/>
          <w:lang w:val="es-PE" w:eastAsia="es-PE"/>
        </w:rPr>
        <w:lastRenderedPageBreak/>
        <w:drawing>
          <wp:inline distT="0" distB="0" distL="0" distR="0" wp14:anchorId="762BA5E2" wp14:editId="201B6F40">
            <wp:extent cx="4551520" cy="2430145"/>
            <wp:effectExtent l="19050" t="19050" r="20955" b="27305"/>
            <wp:docPr id="27" name="Picture 27"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54405" cy="2431686"/>
                    </a:xfrm>
                    <a:prstGeom prst="rect">
                      <a:avLst/>
                    </a:prstGeom>
                    <a:noFill/>
                    <a:ln>
                      <a:solidFill>
                        <a:schemeClr val="accent1"/>
                      </a:solidFill>
                    </a:ln>
                  </pic:spPr>
                </pic:pic>
              </a:graphicData>
            </a:graphic>
          </wp:inline>
        </w:drawing>
      </w:r>
    </w:p>
    <w:p w14:paraId="524B68A0" w14:textId="77777777" w:rsidR="00352B3A" w:rsidRDefault="00352B3A" w:rsidP="00AF2226">
      <w:pPr>
        <w:ind w:left="993"/>
        <w:jc w:val="both"/>
        <w:rPr>
          <w:rFonts w:asciiTheme="minorHAnsi" w:hAnsiTheme="minorHAnsi" w:cstheme="minorHAnsi"/>
          <w:b/>
          <w:bCs/>
          <w:i/>
          <w:iCs/>
          <w:sz w:val="16"/>
          <w:szCs w:val="16"/>
        </w:rPr>
      </w:pPr>
    </w:p>
    <w:p w14:paraId="53A6F8F3" w14:textId="77777777" w:rsidR="00352B3A" w:rsidRDefault="00352B3A" w:rsidP="00AF2226">
      <w:pPr>
        <w:ind w:left="993"/>
        <w:jc w:val="both"/>
        <w:rPr>
          <w:rFonts w:asciiTheme="minorHAnsi" w:hAnsiTheme="minorHAnsi" w:cstheme="minorHAnsi"/>
          <w:b/>
          <w:bCs/>
          <w:i/>
          <w:iCs/>
          <w:sz w:val="16"/>
          <w:szCs w:val="16"/>
        </w:rPr>
      </w:pPr>
    </w:p>
    <w:p w14:paraId="46A4838E" w14:textId="77777777" w:rsidR="00352B3A" w:rsidRDefault="00352B3A" w:rsidP="00AF2226">
      <w:pPr>
        <w:ind w:left="993"/>
        <w:jc w:val="both"/>
        <w:rPr>
          <w:rFonts w:asciiTheme="minorHAnsi" w:hAnsiTheme="minorHAnsi" w:cstheme="minorHAnsi"/>
          <w:b/>
          <w:bCs/>
          <w:i/>
          <w:iCs/>
          <w:sz w:val="16"/>
          <w:szCs w:val="16"/>
        </w:rPr>
      </w:pPr>
    </w:p>
    <w:p w14:paraId="2F148D3D" w14:textId="77777777" w:rsidR="00352B3A" w:rsidRDefault="00352B3A" w:rsidP="00AF2226">
      <w:pPr>
        <w:ind w:left="993"/>
        <w:jc w:val="both"/>
        <w:rPr>
          <w:rFonts w:asciiTheme="minorHAnsi" w:hAnsiTheme="minorHAnsi" w:cstheme="minorHAnsi"/>
          <w:b/>
          <w:bCs/>
          <w:i/>
          <w:iCs/>
          <w:sz w:val="16"/>
          <w:szCs w:val="16"/>
        </w:rPr>
      </w:pP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7FD20910" w:rsidR="006D325E" w:rsidRDefault="002A1552" w:rsidP="00C5246D">
      <w:pPr>
        <w:jc w:val="center"/>
        <w:rPr>
          <w:rFonts w:asciiTheme="minorHAnsi" w:hAnsiTheme="minorHAnsi" w:cstheme="minorHAnsi"/>
          <w:b/>
          <w:iCs/>
          <w:u w:val="single"/>
        </w:rPr>
      </w:pPr>
      <w:r>
        <w:rPr>
          <w:noProof/>
          <w:lang w:val="es-PE" w:eastAsia="es-PE"/>
        </w:rPr>
        <w:drawing>
          <wp:inline distT="0" distB="0" distL="0" distR="0" wp14:anchorId="418F4D6B" wp14:editId="46C7E4F2">
            <wp:extent cx="4408170" cy="2353607"/>
            <wp:effectExtent l="19050" t="19050" r="11430" b="27940"/>
            <wp:docPr id="30" name="Picture 30"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propane/propylene stocks graph"/>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19817" cy="2359826"/>
                    </a:xfrm>
                    <a:prstGeom prst="rect">
                      <a:avLst/>
                    </a:prstGeom>
                    <a:noFill/>
                    <a:ln>
                      <a:solidFill>
                        <a:schemeClr val="accent1"/>
                      </a:solidFill>
                    </a:ln>
                  </pic:spPr>
                </pic:pic>
              </a:graphicData>
            </a:graphic>
          </wp:inline>
        </w:drawing>
      </w: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A86191" w:rsidP="00CA3C87">
      <w:pPr>
        <w:rPr>
          <w:rFonts w:asciiTheme="minorHAnsi" w:hAnsiTheme="minorHAnsi" w:cstheme="minorHAnsi"/>
          <w:b/>
          <w:bCs/>
          <w:i/>
          <w:iCs/>
          <w:sz w:val="16"/>
          <w:szCs w:val="16"/>
        </w:rPr>
      </w:pPr>
      <w:hyperlink r:id="rId32"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352B3A">
      <w:headerReference w:type="default" r:id="rId33"/>
      <w:footerReference w:type="default" r:id="rId34"/>
      <w:type w:val="continuous"/>
      <w:pgSz w:w="11907" w:h="16839" w:code="9"/>
      <w:pgMar w:top="1760" w:right="1134" w:bottom="851"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851B" w14:textId="77777777" w:rsidR="005D35A5" w:rsidRDefault="005D35A5" w:rsidP="006502B5">
      <w:r>
        <w:separator/>
      </w:r>
    </w:p>
  </w:endnote>
  <w:endnote w:type="continuationSeparator" w:id="0">
    <w:p w14:paraId="485BDBC3" w14:textId="77777777" w:rsidR="005D35A5" w:rsidRDefault="005D35A5"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4863BE9C"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A86191">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15759C81"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A86191">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6013971F"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A86191">
          <w:rPr>
            <w:rFonts w:asciiTheme="minorHAnsi" w:hAnsiTheme="minorHAnsi" w:cstheme="minorHAnsi"/>
            <w:b/>
            <w:noProof/>
            <w:color w:val="002060"/>
            <w:lang w:val="en-US"/>
          </w:rPr>
          <w:t>14</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A38D1" w14:textId="77777777" w:rsidR="005D35A5" w:rsidRDefault="005D35A5" w:rsidP="006502B5">
      <w:r>
        <w:separator/>
      </w:r>
    </w:p>
  </w:footnote>
  <w:footnote w:type="continuationSeparator" w:id="0">
    <w:p w14:paraId="1D118DD4" w14:textId="77777777" w:rsidR="005D35A5" w:rsidRDefault="005D35A5"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743477FF" w14:textId="77777777" w:rsidR="00973DE9" w:rsidRPr="00D115A0" w:rsidRDefault="00973DE9" w:rsidP="00973DE9">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r w:rsidRPr="004244D7">
        <w:rPr>
          <w:rFonts w:asciiTheme="minorHAnsi" w:hAnsiTheme="minorHAnsi" w:cstheme="minorHAnsi"/>
          <w:i/>
          <w:sz w:val="16"/>
          <w:szCs w:val="16"/>
        </w:rPr>
        <w:t>Energy Information Administration)</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41268" w14:textId="77777777" w:rsidR="00352B3A" w:rsidRDefault="00FF1622" w:rsidP="00FF1622">
    <w:pPr>
      <w:pStyle w:val="Encabezado"/>
      <w:tabs>
        <w:tab w:val="clear" w:pos="8838"/>
        <w:tab w:val="right" w:pos="8646"/>
      </w:tabs>
      <w:ind w:left="-1418"/>
      <w:rPr>
        <w:noProof/>
        <w:lang w:val="es-PE" w:eastAsia="es-PE"/>
      </w:rPr>
    </w:pPr>
    <w:bookmarkStart w:id="1" w:name="_Hlk68946101"/>
    <w:bookmarkStart w:id="2" w:name="_Hlk68946102"/>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7B123DA5" w14:textId="77777777" w:rsidTr="00EC58B2">
      <w:trPr>
        <w:trHeight w:val="1275"/>
      </w:trPr>
      <w:tc>
        <w:tcPr>
          <w:tcW w:w="4679" w:type="dxa"/>
          <w:vAlign w:val="center"/>
        </w:tcPr>
        <w:p w14:paraId="3392DBCD"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05D3CC72" wp14:editId="2956DB4D">
                <wp:extent cx="1955165" cy="362585"/>
                <wp:effectExtent l="0" t="0" r="6985" b="0"/>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4070DE8"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3DAD4D3B"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C78A301" w14:textId="3C8ED437" w:rsidR="00352B3A" w:rsidRPr="00352B3A" w:rsidRDefault="00352B3A" w:rsidP="00973DE9">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973DE9">
            <w:rPr>
              <w:rFonts w:ascii="Calibri" w:hAnsi="Calibri" w:cs="Calibri"/>
              <w:b/>
              <w:sz w:val="26"/>
              <w:szCs w:val="26"/>
              <w:lang w:val="it-IT"/>
            </w:rPr>
            <w:t>2</w:t>
          </w:r>
          <w:r w:rsidRPr="00352B3A">
            <w:rPr>
              <w:rFonts w:ascii="Calibri" w:hAnsi="Calibri" w:cs="Calibri"/>
              <w:b/>
              <w:sz w:val="26"/>
              <w:szCs w:val="26"/>
              <w:lang w:val="it-IT"/>
            </w:rPr>
            <w:t>-2023-DGN/GRT</w:t>
          </w:r>
        </w:p>
      </w:tc>
    </w:tr>
  </w:tbl>
  <w:p w14:paraId="5441F31C" w14:textId="732C610D" w:rsidR="00FF1622" w:rsidRPr="00352B3A" w:rsidRDefault="00FF1622" w:rsidP="00FF1622">
    <w:pPr>
      <w:pStyle w:val="Encabezado"/>
      <w:tabs>
        <w:tab w:val="clear" w:pos="8838"/>
        <w:tab w:val="right" w:pos="8646"/>
      </w:tabs>
      <w:ind w:left="-1418"/>
      <w:rPr>
        <w:lang w:val="it-IT"/>
      </w:rPr>
    </w:pPr>
    <w:r w:rsidRPr="00352B3A">
      <w:rPr>
        <w:noProof/>
        <w:lang w:val="it-IT" w:eastAsia="es-PE"/>
      </w:rPr>
      <w:t xml:space="preserve">                                    </w:t>
    </w:r>
    <w:r w:rsidR="005A0113" w:rsidRPr="00352B3A">
      <w:rPr>
        <w:noProof/>
        <w:lang w:val="it-IT" w:eastAsia="es-PE"/>
      </w:rPr>
      <w:t xml:space="preserve">                               </w:t>
    </w:r>
  </w:p>
  <w:bookmarkEnd w:id="1"/>
  <w:bookmarkEnd w:id="2"/>
  <w:p w14:paraId="1C9A32BF" w14:textId="4E046723" w:rsidR="004F74EE" w:rsidRPr="00376371" w:rsidRDefault="004F74EE" w:rsidP="00352553">
    <w:pPr>
      <w:tabs>
        <w:tab w:val="left" w:pos="2120"/>
        <w:tab w:val="right" w:pos="8364"/>
      </w:tabs>
      <w:ind w:right="283"/>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DE5AB" w14:textId="77777777" w:rsidR="00352B3A" w:rsidRDefault="00FD404B" w:rsidP="005A0113">
    <w:pPr>
      <w:pStyle w:val="Encabezado"/>
      <w:tabs>
        <w:tab w:val="clear" w:pos="8838"/>
        <w:tab w:val="right" w:pos="426"/>
      </w:tabs>
      <w:ind w:left="-1276"/>
      <w:rPr>
        <w:noProof/>
        <w:lang w:val="en-US" w:eastAsia="en-US"/>
      </w:rPr>
    </w:pPr>
    <w:r>
      <w:rPr>
        <w:noProof/>
        <w:lang w:val="es-PE" w:eastAsia="es-PE"/>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D3EEF13" w14:textId="77777777" w:rsidTr="00352B3A">
      <w:trPr>
        <w:trHeight w:val="1275"/>
      </w:trPr>
      <w:tc>
        <w:tcPr>
          <w:tcW w:w="4679" w:type="dxa"/>
          <w:vAlign w:val="center"/>
        </w:tcPr>
        <w:p w14:paraId="542012AA" w14:textId="53FA8649"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45E0977B" wp14:editId="1E2A3330">
                <wp:extent cx="1955165" cy="362585"/>
                <wp:effectExtent l="0" t="0" r="6985"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6D78DA73"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50614DAF"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FEE1F98" w14:textId="41876D08" w:rsidR="00352B3A" w:rsidRPr="00352B3A" w:rsidRDefault="00352B3A" w:rsidP="00973DE9">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973DE9">
            <w:rPr>
              <w:rFonts w:ascii="Calibri" w:hAnsi="Calibri" w:cs="Calibri"/>
              <w:b/>
              <w:sz w:val="26"/>
              <w:szCs w:val="26"/>
              <w:lang w:val="it-IT"/>
            </w:rPr>
            <w:t>2</w:t>
          </w:r>
          <w:r w:rsidRPr="00352B3A">
            <w:rPr>
              <w:rFonts w:ascii="Calibri" w:hAnsi="Calibri" w:cs="Calibri"/>
              <w:b/>
              <w:sz w:val="26"/>
              <w:szCs w:val="26"/>
              <w:lang w:val="it-IT"/>
            </w:rPr>
            <w:t>-2023-DGN/GRT</w:t>
          </w:r>
        </w:p>
      </w:tc>
    </w:tr>
  </w:tbl>
  <w:p w14:paraId="1BF2ED61" w14:textId="49B14A58" w:rsidR="00FD404B" w:rsidRPr="00352B3A" w:rsidRDefault="00580CBC" w:rsidP="005A0113">
    <w:pPr>
      <w:pStyle w:val="Encabezado"/>
      <w:tabs>
        <w:tab w:val="clear" w:pos="8838"/>
        <w:tab w:val="right" w:pos="426"/>
      </w:tabs>
      <w:ind w:left="-1276"/>
      <w:rPr>
        <w:lang w:val="it-IT"/>
      </w:rPr>
    </w:pPr>
    <w:r>
      <w:rPr>
        <w:noProof/>
        <w:lang w:val="en-US" w:eastAsia="en-US"/>
      </w:rPr>
      <w:t xml:space="preserve">                                                            </w:t>
    </w:r>
  </w:p>
  <w:p w14:paraId="51896AD8" w14:textId="77777777" w:rsidR="00CF6BA7" w:rsidRPr="00352B3A" w:rsidRDefault="00CF6BA7" w:rsidP="00FD404B">
    <w:pPr>
      <w:tabs>
        <w:tab w:val="center" w:pos="4320"/>
        <w:tab w:val="right" w:pos="8498"/>
      </w:tabs>
      <w:ind w:right="283"/>
      <w:jc w:val="right"/>
      <w:rPr>
        <w:lang w:val="it-IT"/>
      </w:rPr>
    </w:pPr>
    <w:r w:rsidRPr="00352B3A">
      <w:rPr>
        <w:noProof/>
        <w:lang w:val="it-IT"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0D3C1" w14:textId="77777777" w:rsidR="00352B3A" w:rsidRDefault="00352B3A" w:rsidP="005A0113">
    <w:pPr>
      <w:pStyle w:val="Encabezado"/>
      <w:tabs>
        <w:tab w:val="clear" w:pos="8838"/>
        <w:tab w:val="right" w:pos="426"/>
      </w:tabs>
      <w:ind w:left="-1276"/>
      <w:rPr>
        <w:noProof/>
        <w:lang w:val="en-US" w:eastAsia="en-US"/>
      </w:rPr>
    </w:pPr>
    <w:r>
      <w:rPr>
        <w:noProof/>
        <w:lang w:val="es-PE" w:eastAsia="es-PE"/>
      </w:rPr>
      <w:t xml:space="preserve">   </w:t>
    </w:r>
  </w:p>
  <w:tbl>
    <w:tblPr>
      <w:tblW w:w="127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6308"/>
    </w:tblGrid>
    <w:tr w:rsidR="00352B3A" w:rsidRPr="00352B3A" w14:paraId="331BBDAF" w14:textId="77777777" w:rsidTr="00352B3A">
      <w:trPr>
        <w:trHeight w:val="1100"/>
      </w:trPr>
      <w:tc>
        <w:tcPr>
          <w:tcW w:w="6450" w:type="dxa"/>
          <w:vAlign w:val="center"/>
        </w:tcPr>
        <w:p w14:paraId="0558507C" w14:textId="77777777" w:rsidR="00352B3A" w:rsidRPr="00352B3A" w:rsidRDefault="00352B3A" w:rsidP="00352B3A">
          <w:pPr>
            <w:pStyle w:val="Prrafodelista"/>
            <w:ind w:left="39"/>
            <w:jc w:val="center"/>
            <w:rPr>
              <w:rFonts w:ascii="Calibri" w:hAnsi="Calibri" w:cs="Calibri"/>
            </w:rPr>
          </w:pPr>
          <w:r w:rsidRPr="00352B3A">
            <w:rPr>
              <w:rFonts w:ascii="Calibri" w:hAnsi="Calibri" w:cs="Calibri"/>
              <w:noProof/>
              <w:lang w:val="es-PE" w:eastAsia="es-PE"/>
            </w:rPr>
            <w:drawing>
              <wp:inline distT="0" distB="0" distL="0" distR="0" wp14:anchorId="368BBAA5" wp14:editId="29840EB4">
                <wp:extent cx="1955165" cy="362585"/>
                <wp:effectExtent l="0" t="0" r="6985" b="0"/>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28144F75" w14:textId="77777777" w:rsidR="00352B3A" w:rsidRPr="00352B3A" w:rsidRDefault="00352B3A" w:rsidP="00352B3A">
          <w:pPr>
            <w:ind w:left="39"/>
            <w:jc w:val="center"/>
            <w:rPr>
              <w:rFonts w:ascii="Calibri" w:hAnsi="Calibri" w:cs="Calibri"/>
              <w:b/>
              <w:sz w:val="18"/>
            </w:rPr>
          </w:pPr>
          <w:r w:rsidRPr="00352B3A">
            <w:rPr>
              <w:rFonts w:ascii="Calibri" w:hAnsi="Calibri" w:cs="Calibri"/>
              <w:b/>
              <w:sz w:val="18"/>
            </w:rPr>
            <w:t>Gerencia de Regulación de Tarifas</w:t>
          </w:r>
        </w:p>
        <w:p w14:paraId="2E390E00" w14:textId="77777777" w:rsidR="00352B3A" w:rsidRPr="00352B3A" w:rsidRDefault="00352B3A" w:rsidP="00352B3A">
          <w:pPr>
            <w:ind w:left="39"/>
            <w:jc w:val="center"/>
            <w:rPr>
              <w:rFonts w:ascii="Calibri" w:hAnsi="Calibri" w:cs="Calibri"/>
              <w:sz w:val="22"/>
            </w:rPr>
          </w:pPr>
          <w:r w:rsidRPr="00352B3A">
            <w:rPr>
              <w:rFonts w:ascii="Calibri" w:hAnsi="Calibri" w:cs="Calibri"/>
              <w:b/>
              <w:sz w:val="18"/>
            </w:rPr>
            <w:t>División de Gas Natural</w:t>
          </w:r>
        </w:p>
      </w:tc>
      <w:tc>
        <w:tcPr>
          <w:tcW w:w="6308" w:type="dxa"/>
          <w:vAlign w:val="center"/>
        </w:tcPr>
        <w:p w14:paraId="5DDAEF50" w14:textId="77777777" w:rsidR="00352B3A" w:rsidRPr="00352B3A" w:rsidRDefault="00352B3A" w:rsidP="00352B3A">
          <w:pPr>
            <w:jc w:val="center"/>
            <w:rPr>
              <w:rFonts w:ascii="Calibri" w:hAnsi="Calibri" w:cs="Calibri"/>
              <w:sz w:val="26"/>
              <w:szCs w:val="26"/>
              <w:lang w:val="it-IT"/>
            </w:rPr>
          </w:pPr>
          <w:r w:rsidRPr="00352B3A">
            <w:rPr>
              <w:rFonts w:ascii="Calibri" w:hAnsi="Calibri" w:cs="Calibri"/>
              <w:b/>
              <w:sz w:val="26"/>
              <w:szCs w:val="26"/>
              <w:lang w:val="it-IT"/>
            </w:rPr>
            <w:t>Informe N° PR - 01-2023-DGN/GRT</w:t>
          </w:r>
        </w:p>
      </w:tc>
    </w:tr>
  </w:tbl>
  <w:p w14:paraId="4A48B273" w14:textId="77777777" w:rsidR="00352B3A" w:rsidRPr="00352B3A" w:rsidRDefault="00352B3A" w:rsidP="005A0113">
    <w:pPr>
      <w:pStyle w:val="Encabezado"/>
      <w:tabs>
        <w:tab w:val="clear" w:pos="8838"/>
        <w:tab w:val="right" w:pos="426"/>
      </w:tabs>
      <w:ind w:left="-1276"/>
      <w:rPr>
        <w:lang w:val="it-IT"/>
      </w:rPr>
    </w:pPr>
    <w:r>
      <w:rPr>
        <w:noProof/>
        <w:lang w:val="en-US" w:eastAsia="en-US"/>
      </w:rPr>
      <w:t xml:space="preserve">                                                            </w:t>
    </w:r>
  </w:p>
  <w:p w14:paraId="61F2B161" w14:textId="77777777" w:rsidR="00352B3A" w:rsidRPr="00352B3A" w:rsidRDefault="00352B3A" w:rsidP="00FD404B">
    <w:pPr>
      <w:tabs>
        <w:tab w:val="center" w:pos="4320"/>
        <w:tab w:val="right" w:pos="8498"/>
      </w:tabs>
      <w:ind w:right="283"/>
      <w:jc w:val="right"/>
      <w:rPr>
        <w:lang w:val="it-IT"/>
      </w:rPr>
    </w:pPr>
    <w:r w:rsidRPr="00352B3A">
      <w:rPr>
        <w:noProof/>
        <w:lang w:val="it-IT" w:eastAsia="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52C1CAAB" w:rsidR="00494331" w:rsidRPr="002E3C90" w:rsidRDefault="0087334C" w:rsidP="0081371D">
    <w:pPr>
      <w:pStyle w:val="Encabezado"/>
      <w:tabs>
        <w:tab w:val="clear" w:pos="8838"/>
        <w:tab w:val="right" w:pos="8646"/>
      </w:tabs>
      <w:ind w:left="-1418"/>
    </w:pPr>
    <w:r>
      <w:rPr>
        <w:noProof/>
        <w:lang w:val="es-PE" w:eastAsia="es-PE"/>
      </w:rPr>
      <w:t xml:space="preserve">                                                                       </w:t>
    </w:r>
    <w:r w:rsidR="00DB3C4F">
      <w:rPr>
        <w:noProof/>
        <w:lang w:val="es-PE" w:eastAsia="es-PE"/>
      </w:rPr>
      <w:t xml:space="preserve">              </w:t>
    </w:r>
    <w:r>
      <w:rPr>
        <w:noProof/>
        <w:lang w:val="es-PE" w:eastAsia="es-PE"/>
      </w:rPr>
      <w:t xml:space="preserve">  </w:t>
    </w:r>
  </w:p>
  <w:p w14:paraId="61B03780" w14:textId="64B44676" w:rsidR="0087334C" w:rsidRDefault="001556E0" w:rsidP="00287F9F">
    <w:pPr>
      <w:pStyle w:val="Piedepgina"/>
      <w:tabs>
        <w:tab w:val="clear" w:pos="8838"/>
      </w:tabs>
      <w:ind w:left="-851" w:right="-207"/>
      <w:rPr>
        <w:rFonts w:ascii="Arial" w:hAnsi="Arial" w:cs="Arial"/>
        <w:b/>
        <w:color w:val="1F497D"/>
        <w:lang w:val="en-US"/>
      </w:rPr>
    </w:pPr>
    <w:r>
      <w:rPr>
        <w:rFonts w:ascii="Arial" w:hAnsi="Arial" w:cs="Arial"/>
        <w:b/>
        <w:color w:val="1F497D"/>
        <w:lang w:val="en-US"/>
      </w:rPr>
      <w:t xml:space="preserve">                                           </w:t>
    </w:r>
    <w:r w:rsidR="00287F9F">
      <w:rPr>
        <w:rFonts w:ascii="Arial" w:hAnsi="Arial" w:cs="Arial"/>
        <w:b/>
        <w:color w:val="1F497D"/>
        <w:lang w:val="en-US"/>
      </w:rPr>
      <w:t xml:space="preserve"> </w:t>
    </w:r>
    <w:r w:rsidR="003E5F90">
      <w:rPr>
        <w:rFonts w:ascii="Arial" w:hAnsi="Arial" w:cs="Arial"/>
        <w:b/>
        <w:color w:val="1F497D"/>
        <w:lang w:val="en-US"/>
      </w:rPr>
      <w:t xml:space="preserve"> </w:t>
    </w:r>
    <w:r w:rsidR="00287F9F">
      <w:rPr>
        <w:rFonts w:ascii="Arial" w:hAnsi="Arial" w:cs="Arial"/>
        <w:b/>
        <w:color w:val="1F497D"/>
        <w:lang w:val="en-US"/>
      </w:rPr>
      <w:t xml:space="preserve">  </w:t>
    </w:r>
    <w:r>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tbl>
    <w:tblPr>
      <w:tblW w:w="932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9"/>
      <w:gridCol w:w="4649"/>
    </w:tblGrid>
    <w:tr w:rsidR="00352B3A" w:rsidRPr="00352B3A" w14:paraId="26F4E8F4" w14:textId="77777777" w:rsidTr="00EC58B2">
      <w:trPr>
        <w:trHeight w:val="1275"/>
      </w:trPr>
      <w:tc>
        <w:tcPr>
          <w:tcW w:w="4679" w:type="dxa"/>
          <w:vAlign w:val="center"/>
        </w:tcPr>
        <w:p w14:paraId="468BBADA" w14:textId="77777777" w:rsidR="00352B3A" w:rsidRPr="00352B3A" w:rsidRDefault="00352B3A" w:rsidP="00352B3A">
          <w:pPr>
            <w:pStyle w:val="Prrafodelista"/>
            <w:rPr>
              <w:rFonts w:ascii="Calibri" w:hAnsi="Calibri" w:cs="Calibri"/>
            </w:rPr>
          </w:pPr>
          <w:r w:rsidRPr="00352B3A">
            <w:rPr>
              <w:rFonts w:ascii="Calibri" w:hAnsi="Calibri" w:cs="Calibri"/>
              <w:noProof/>
              <w:lang w:val="es-PE" w:eastAsia="es-PE"/>
            </w:rPr>
            <w:drawing>
              <wp:inline distT="0" distB="0" distL="0" distR="0" wp14:anchorId="1C999AA8" wp14:editId="4BCED37B">
                <wp:extent cx="1955165" cy="362585"/>
                <wp:effectExtent l="0" t="0" r="6985"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165" cy="362585"/>
                        </a:xfrm>
                        <a:prstGeom prst="rect">
                          <a:avLst/>
                        </a:prstGeom>
                        <a:noFill/>
                        <a:ln>
                          <a:noFill/>
                        </a:ln>
                      </pic:spPr>
                    </pic:pic>
                  </a:graphicData>
                </a:graphic>
              </wp:inline>
            </w:drawing>
          </w:r>
        </w:p>
        <w:p w14:paraId="798C0619" w14:textId="77777777" w:rsidR="00352B3A" w:rsidRPr="00352B3A" w:rsidRDefault="00352B3A" w:rsidP="00352B3A">
          <w:pPr>
            <w:jc w:val="center"/>
            <w:rPr>
              <w:rFonts w:ascii="Calibri" w:hAnsi="Calibri" w:cs="Calibri"/>
              <w:b/>
              <w:sz w:val="18"/>
            </w:rPr>
          </w:pPr>
          <w:r w:rsidRPr="00352B3A">
            <w:rPr>
              <w:rFonts w:ascii="Calibri" w:hAnsi="Calibri" w:cs="Calibri"/>
              <w:b/>
              <w:sz w:val="18"/>
            </w:rPr>
            <w:t>Gerencia de Regulación de Tarifas</w:t>
          </w:r>
        </w:p>
        <w:p w14:paraId="0BD2E32C" w14:textId="77777777" w:rsidR="00352B3A" w:rsidRPr="00352B3A" w:rsidRDefault="00352B3A" w:rsidP="00352B3A">
          <w:pPr>
            <w:jc w:val="center"/>
            <w:rPr>
              <w:rFonts w:ascii="Calibri" w:hAnsi="Calibri" w:cs="Calibri"/>
              <w:sz w:val="22"/>
            </w:rPr>
          </w:pPr>
          <w:r w:rsidRPr="00352B3A">
            <w:rPr>
              <w:rFonts w:ascii="Calibri" w:hAnsi="Calibri" w:cs="Calibri"/>
              <w:b/>
              <w:sz w:val="18"/>
            </w:rPr>
            <w:t>División de Gas Natural</w:t>
          </w:r>
        </w:p>
      </w:tc>
      <w:tc>
        <w:tcPr>
          <w:tcW w:w="4649" w:type="dxa"/>
          <w:vAlign w:val="center"/>
        </w:tcPr>
        <w:p w14:paraId="3461CCA7" w14:textId="1DCC40EC" w:rsidR="00352B3A" w:rsidRPr="00352B3A" w:rsidRDefault="00352B3A" w:rsidP="00A86191">
          <w:pPr>
            <w:jc w:val="center"/>
            <w:rPr>
              <w:rFonts w:ascii="Calibri" w:hAnsi="Calibri" w:cs="Calibri"/>
              <w:sz w:val="26"/>
              <w:szCs w:val="26"/>
              <w:lang w:val="it-IT"/>
            </w:rPr>
          </w:pPr>
          <w:r w:rsidRPr="00352B3A">
            <w:rPr>
              <w:rFonts w:ascii="Calibri" w:hAnsi="Calibri" w:cs="Calibri"/>
              <w:b/>
              <w:sz w:val="26"/>
              <w:szCs w:val="26"/>
              <w:lang w:val="it-IT"/>
            </w:rPr>
            <w:t xml:space="preserve">Informe </w:t>
          </w:r>
          <w:r w:rsidRPr="00352B3A">
            <w:rPr>
              <w:rFonts w:ascii="Calibri" w:hAnsi="Calibri" w:cs="Calibri"/>
              <w:b/>
              <w:sz w:val="26"/>
              <w:szCs w:val="26"/>
              <w:lang w:val="it-IT"/>
            </w:rPr>
            <w:t>N° PR - 0</w:t>
          </w:r>
          <w:r w:rsidR="00A86191">
            <w:rPr>
              <w:rFonts w:ascii="Calibri" w:hAnsi="Calibri" w:cs="Calibri"/>
              <w:b/>
              <w:sz w:val="26"/>
              <w:szCs w:val="26"/>
              <w:lang w:val="it-IT"/>
            </w:rPr>
            <w:t>2</w:t>
          </w:r>
          <w:r w:rsidRPr="00352B3A">
            <w:rPr>
              <w:rFonts w:ascii="Calibri" w:hAnsi="Calibri" w:cs="Calibri"/>
              <w:b/>
              <w:sz w:val="26"/>
              <w:szCs w:val="26"/>
              <w:lang w:val="it-IT"/>
            </w:rPr>
            <w:t>-2023-DGN/GRT</w:t>
          </w:r>
        </w:p>
      </w:tc>
    </w:tr>
  </w:tbl>
  <w:p w14:paraId="0E8C33A1" w14:textId="77777777" w:rsidR="0081371D" w:rsidRPr="00352B3A" w:rsidRDefault="0081371D" w:rsidP="00DB3C4F">
    <w:pPr>
      <w:pStyle w:val="Piedepgina"/>
      <w:tabs>
        <w:tab w:val="clear" w:pos="8838"/>
      </w:tabs>
      <w:ind w:right="-207"/>
      <w:jc w:val="cent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6" w:nlCheck="1" w:checkStyle="0"/>
  <w:activeWritingStyle w:appName="MSWord" w:lang="es-MX" w:vendorID="64" w:dllVersion="6" w:nlCheck="1" w:checkStyle="0"/>
  <w:activeWritingStyle w:appName="MSWord" w:lang="es-PE" w:vendorID="64" w:dllVersion="6" w:nlCheck="1" w:checkStyle="0"/>
  <w:activeWritingStyle w:appName="MSWord" w:lang="en-US" w:vendorID="64" w:dllVersion="6"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activeWritingStyle w:appName="MSWord" w:lang="es-PE" w:vendorID="64" w:dllVersion="0" w:nlCheck="1" w:checkStyle="0"/>
  <w:activeWritingStyle w:appName="MSWord" w:lang="es-ES" w:vendorID="64" w:dllVersion="4096" w:nlCheck="1" w:checkStyle="0"/>
  <w:activeWritingStyle w:appName="MSWord" w:lang="en-US" w:vendorID="64" w:dllVersion="4096" w:nlCheck="1" w:checkStyle="0"/>
  <w:activeWritingStyle w:appName="MSWord" w:lang="es-MX" w:vendorID="64" w:dllVersion="4096" w:nlCheck="1" w:checkStyle="0"/>
  <w:activeWritingStyle w:appName="MSWord" w:lang="es-ES" w:vendorID="64" w:dllVersion="131078" w:nlCheck="1" w:checkStyle="0"/>
  <w:activeWritingStyle w:appName="MSWord" w:lang="en-US" w:vendorID="64" w:dllVersion="131078" w:nlCheck="1" w:checkStyle="1"/>
  <w:proofState w:spelling="clean" w:grammar="clean"/>
  <w:defaultTabStop w:val="567"/>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5F3"/>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552"/>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0E6"/>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19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B3A"/>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0FBC"/>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0A9"/>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A2F"/>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97"/>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5A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A8C"/>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8D"/>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A61"/>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6B"/>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3AB"/>
    <w:rsid w:val="00952426"/>
    <w:rsid w:val="00952772"/>
    <w:rsid w:val="00952BF3"/>
    <w:rsid w:val="00952C49"/>
    <w:rsid w:val="00952DEB"/>
    <w:rsid w:val="00952E0E"/>
    <w:rsid w:val="00952F32"/>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DE9"/>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1FBB"/>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4FC4"/>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B7FF3"/>
    <w:rsid w:val="009C0052"/>
    <w:rsid w:val="009C00A3"/>
    <w:rsid w:val="009C0836"/>
    <w:rsid w:val="009C0925"/>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37"/>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63B"/>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6AB"/>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191"/>
    <w:rsid w:val="00A8627F"/>
    <w:rsid w:val="00A86283"/>
    <w:rsid w:val="00A86515"/>
    <w:rsid w:val="00A86554"/>
    <w:rsid w:val="00A86826"/>
    <w:rsid w:val="00A86835"/>
    <w:rsid w:val="00A868A4"/>
    <w:rsid w:val="00A86A12"/>
    <w:rsid w:val="00A86C5F"/>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4F6E"/>
    <w:rsid w:val="00AD5127"/>
    <w:rsid w:val="00AD56DF"/>
    <w:rsid w:val="00AD57D7"/>
    <w:rsid w:val="00AD5A1A"/>
    <w:rsid w:val="00AD5A32"/>
    <w:rsid w:val="00AD5E0C"/>
    <w:rsid w:val="00AD5E63"/>
    <w:rsid w:val="00AD614D"/>
    <w:rsid w:val="00AD6299"/>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AD8"/>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397"/>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CA3"/>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0F8A"/>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D5A"/>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4FE"/>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6DC9"/>
    <w:rsid w:val="00DE71A4"/>
    <w:rsid w:val="00DE730B"/>
    <w:rsid w:val="00DE7756"/>
    <w:rsid w:val="00DE7C13"/>
    <w:rsid w:val="00DE7C40"/>
    <w:rsid w:val="00DE7F68"/>
    <w:rsid w:val="00DE7FB4"/>
    <w:rsid w:val="00DF0702"/>
    <w:rsid w:val="00DF09F7"/>
    <w:rsid w:val="00DF0A5C"/>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328"/>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5"/>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10D"/>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aliases w:val="Lista 123,Párrafo de lista3,List Paragraph,TITULO 1,Párrafo de lista numerado,Ha,Resume Title,List Paragraph 1,Citation List,1st level - Bullet List Paragraph,Lettre d'introduction,Paragrafo elenco,Normal bullet 2,Tabla"/>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aliases w:val="Lista 123 Car,Párrafo de lista3 Car,List Paragraph Car,TITULO 1 Car,Párrafo de lista numerado Car,Ha Car,Resume Title Car,List Paragraph 1 Car,Citation List Car,1st level - Bullet List Paragraph Car,Lettre d'introduction Car"/>
    <w:link w:val="Prrafodelista"/>
    <w:uiPriority w:val="34"/>
    <w:qFormat/>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4.png"/><Relationship Id="rId26" Type="http://schemas.openxmlformats.org/officeDocument/2006/relationships/image" Target="media/image11.gif"/><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0.png"/><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3.xml"/><Relationship Id="rId29" Type="http://schemas.openxmlformats.org/officeDocument/2006/relationships/image" Target="media/image14.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9.png"/><Relationship Id="rId32" Type="http://schemas.openxmlformats.org/officeDocument/2006/relationships/hyperlink" Target="https://www.osinergmin.gob.pe/seccion/centro_documental/gart/precios_referencia_banda_precios/PreciosReferencia/Informe-Tecnico-479-2021-GRT.pdf"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8.png"/><Relationship Id="rId28" Type="http://schemas.openxmlformats.org/officeDocument/2006/relationships/image" Target="media/image13.gif"/><Relationship Id="rId36" Type="http://schemas.openxmlformats.org/officeDocument/2006/relationships/theme" Target="theme/theme1.xml"/><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7.png"/><Relationship Id="rId27" Type="http://schemas.openxmlformats.org/officeDocument/2006/relationships/image" Target="media/image12.gif"/><Relationship Id="rId30" Type="http://schemas.openxmlformats.org/officeDocument/2006/relationships/image" Target="media/image15.png"/><Relationship Id="rId35" Type="http://schemas.openxmlformats.org/officeDocument/2006/relationships/fontTable" Target="fontTable.xml"/><Relationship Id="rId8"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3490F-307E-4341-9B42-BE825488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3355</Words>
  <Characters>18456</Characters>
  <Application>Microsoft Office Word</Application>
  <DocSecurity>0</DocSecurity>
  <Lines>153</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4</cp:revision>
  <cp:lastPrinted>2023-01-12T22:49:00Z</cp:lastPrinted>
  <dcterms:created xsi:type="dcterms:W3CDTF">2023-01-13T02:59:00Z</dcterms:created>
  <dcterms:modified xsi:type="dcterms:W3CDTF">2023-01-13T03:36:00Z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