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965ADF8"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126D6C">
        <w:rPr>
          <w:rFonts w:ascii="Poppins" w:hAnsi="Poppins" w:cs="Poppins"/>
          <w:sz w:val="24"/>
          <w:szCs w:val="22"/>
          <w:u w:val="single"/>
          <w:lang w:val="es-PE"/>
        </w:rPr>
        <w:t>3</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4E177EC"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E4974">
        <w:rPr>
          <w:rFonts w:ascii="Poppins" w:hAnsi="Poppins" w:cs="Poppins"/>
          <w:b/>
          <w:bCs/>
          <w:sz w:val="22"/>
          <w:szCs w:val="22"/>
        </w:rPr>
        <w:t>3</w:t>
      </w:r>
      <w:r w:rsidR="00126D6C">
        <w:rPr>
          <w:rFonts w:ascii="Poppins" w:hAnsi="Poppins" w:cs="Poppins"/>
          <w:b/>
          <w:bCs/>
          <w:sz w:val="22"/>
          <w:szCs w:val="22"/>
        </w:rPr>
        <w:t>0</w:t>
      </w:r>
      <w:r w:rsidR="00316BFF">
        <w:rPr>
          <w:rFonts w:ascii="Poppins" w:hAnsi="Poppins" w:cs="Poppins"/>
          <w:b/>
          <w:bCs/>
          <w:sz w:val="22"/>
          <w:szCs w:val="22"/>
        </w:rPr>
        <w:t>/</w:t>
      </w:r>
      <w:r w:rsidR="005151B0">
        <w:rPr>
          <w:rFonts w:ascii="Poppins" w:hAnsi="Poppins" w:cs="Poppins"/>
          <w:b/>
          <w:bCs/>
          <w:sz w:val="22"/>
          <w:szCs w:val="22"/>
        </w:rPr>
        <w:t>0</w:t>
      </w:r>
      <w:r w:rsidR="00C16233">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63929BA7" w:rsidR="00AB06BA" w:rsidRPr="001C2FD3" w:rsidRDefault="00123B9E"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7E831A8" wp14:editId="095C2013">
            <wp:extent cx="5353333" cy="3710195"/>
            <wp:effectExtent l="0" t="0" r="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4495" cy="371793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68C4F7D"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640D73">
        <w:rPr>
          <w:rFonts w:ascii="Poppins" w:hAnsi="Poppins" w:cs="Poppins"/>
          <w:sz w:val="18"/>
          <w:szCs w:val="18"/>
        </w:rPr>
        <w:t>9</w:t>
      </w:r>
      <w:r w:rsidR="00225A46">
        <w:rPr>
          <w:rFonts w:ascii="Poppins" w:hAnsi="Poppins" w:cs="Poppins"/>
          <w:sz w:val="18"/>
          <w:szCs w:val="18"/>
        </w:rPr>
        <w:t>6</w:t>
      </w:r>
      <w:r w:rsidR="00E23D92" w:rsidRPr="00273F37">
        <w:rPr>
          <w:rFonts w:ascii="Poppins" w:hAnsi="Poppins" w:cs="Poppins"/>
          <w:sz w:val="18"/>
          <w:szCs w:val="18"/>
        </w:rPr>
        <w:t>,</w:t>
      </w:r>
      <w:r w:rsidR="00123B9E">
        <w:rPr>
          <w:rFonts w:ascii="Poppins" w:hAnsi="Poppins" w:cs="Poppins"/>
          <w:sz w:val="18"/>
          <w:szCs w:val="18"/>
        </w:rPr>
        <w:t>06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640D73">
        <w:rPr>
          <w:rFonts w:ascii="Poppins" w:hAnsi="Poppins" w:cs="Poppins"/>
          <w:sz w:val="18"/>
          <w:szCs w:val="18"/>
        </w:rPr>
        <w:t>2</w:t>
      </w:r>
      <w:r w:rsidR="00123B9E">
        <w:rPr>
          <w:rFonts w:ascii="Poppins" w:hAnsi="Poppins" w:cs="Poppins"/>
          <w:sz w:val="18"/>
          <w:szCs w:val="18"/>
        </w:rPr>
        <w:t>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225A46">
        <w:rPr>
          <w:rFonts w:ascii="Poppins" w:hAnsi="Poppins" w:cs="Poppins"/>
          <w:sz w:val="18"/>
          <w:szCs w:val="18"/>
        </w:rPr>
        <w:t>79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123B9E">
        <w:rPr>
          <w:rFonts w:ascii="Poppins" w:hAnsi="Poppins" w:cs="Poppins"/>
          <w:sz w:val="18"/>
          <w:szCs w:val="18"/>
        </w:rPr>
        <w:t>40</w:t>
      </w:r>
      <w:r w:rsidR="00941CD2" w:rsidRPr="00273F37">
        <w:rPr>
          <w:rFonts w:ascii="Poppins" w:hAnsi="Poppins" w:cs="Poppins"/>
          <w:sz w:val="18"/>
          <w:szCs w:val="18"/>
        </w:rPr>
        <w:t>,</w:t>
      </w:r>
      <w:r w:rsidR="00123B9E">
        <w:rPr>
          <w:rFonts w:ascii="Poppins" w:hAnsi="Poppins" w:cs="Poppins"/>
          <w:sz w:val="18"/>
          <w:szCs w:val="18"/>
        </w:rPr>
        <w:t>01</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040C1285"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123B9E">
        <w:rPr>
          <w:rFonts w:ascii="Poppins" w:hAnsi="Poppins" w:cs="Poppins"/>
          <w:bCs/>
          <w:sz w:val="18"/>
          <w:szCs w:val="18"/>
        </w:rPr>
        <w:t>16</w:t>
      </w:r>
      <w:r w:rsidR="007D7CB0">
        <w:rPr>
          <w:rFonts w:ascii="Poppins" w:hAnsi="Poppins" w:cs="Poppins"/>
          <w:bCs/>
          <w:sz w:val="18"/>
          <w:szCs w:val="18"/>
        </w:rPr>
        <w:t>.</w:t>
      </w:r>
      <w:r w:rsidR="00B816EA">
        <w:rPr>
          <w:rFonts w:ascii="Poppins" w:hAnsi="Poppins" w:cs="Poppins"/>
          <w:bCs/>
          <w:sz w:val="18"/>
          <w:szCs w:val="18"/>
        </w:rPr>
        <w:t>0</w:t>
      </w:r>
      <w:r w:rsidR="006F044B">
        <w:rPr>
          <w:rFonts w:ascii="Poppins" w:hAnsi="Poppins" w:cs="Poppins"/>
          <w:bCs/>
          <w:sz w:val="18"/>
          <w:szCs w:val="18"/>
        </w:rPr>
        <w:t>3</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604BC3">
        <w:rPr>
          <w:rFonts w:ascii="Poppins" w:hAnsi="Poppins" w:cs="Poppins"/>
          <w:bCs/>
          <w:sz w:val="18"/>
          <w:szCs w:val="18"/>
        </w:rPr>
        <w:t xml:space="preserve"> </w:t>
      </w:r>
      <w:r w:rsidR="002B351D">
        <w:rPr>
          <w:rFonts w:ascii="Poppins" w:hAnsi="Poppins" w:cs="Poppins"/>
          <w:bCs/>
          <w:sz w:val="18"/>
          <w:szCs w:val="18"/>
        </w:rPr>
        <w:t>2</w:t>
      </w:r>
      <w:r w:rsidR="00123B9E">
        <w:rPr>
          <w:rFonts w:ascii="Poppins" w:hAnsi="Poppins" w:cs="Poppins"/>
          <w:bCs/>
          <w:sz w:val="18"/>
          <w:szCs w:val="18"/>
        </w:rPr>
        <w:t>7</w:t>
      </w:r>
      <w:r w:rsidR="005151B0">
        <w:rPr>
          <w:rFonts w:ascii="Poppins" w:hAnsi="Poppins" w:cs="Poppins"/>
          <w:bCs/>
          <w:sz w:val="18"/>
          <w:szCs w:val="18"/>
        </w:rPr>
        <w:t>.0</w:t>
      </w:r>
      <w:r w:rsidR="009E527C">
        <w:rPr>
          <w:rFonts w:ascii="Poppins" w:hAnsi="Poppins" w:cs="Poppins"/>
          <w:bCs/>
          <w:sz w:val="18"/>
          <w:szCs w:val="18"/>
        </w:rPr>
        <w:t>3</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241897D0" w14:textId="77777777" w:rsidR="00D13ED3" w:rsidRPr="00E63B29" w:rsidRDefault="00D13ED3" w:rsidP="00D13ED3">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 xml:space="preserve">crudo, destilado medio y propano, </w:t>
      </w:r>
      <w:r w:rsidRPr="00E63B29">
        <w:rPr>
          <w:rFonts w:ascii="Poppins" w:hAnsi="Poppins" w:cs="Poppins"/>
          <w:b/>
          <w:sz w:val="18"/>
          <w:szCs w:val="18"/>
        </w:rPr>
        <w:t xml:space="preserve">así como el descenso de las existencias de </w:t>
      </w:r>
      <w:r>
        <w:rPr>
          <w:rFonts w:ascii="Poppins" w:hAnsi="Poppins" w:cs="Poppins"/>
          <w:b/>
          <w:sz w:val="18"/>
          <w:szCs w:val="18"/>
        </w:rPr>
        <w:t>gasolinas</w:t>
      </w:r>
      <w:r w:rsidRPr="00E63B29">
        <w:rPr>
          <w:rFonts w:ascii="Poppins" w:hAnsi="Poppins" w:cs="Poppins"/>
          <w:b/>
          <w:sz w:val="18"/>
          <w:szCs w:val="18"/>
        </w:rPr>
        <w:t xml:space="preserve">, al </w:t>
      </w:r>
      <w:r>
        <w:rPr>
          <w:rFonts w:ascii="Poppins" w:hAnsi="Poppins" w:cs="Poppins"/>
          <w:b/>
          <w:sz w:val="18"/>
          <w:szCs w:val="18"/>
        </w:rPr>
        <w:t xml:space="preserve">20 </w:t>
      </w:r>
      <w:r w:rsidRPr="00E63B29">
        <w:rPr>
          <w:rFonts w:ascii="Poppins" w:hAnsi="Poppins" w:cs="Poppins"/>
          <w:b/>
          <w:sz w:val="18"/>
          <w:szCs w:val="18"/>
        </w:rPr>
        <w:t xml:space="preserve">de </w:t>
      </w:r>
      <w:r>
        <w:rPr>
          <w:rFonts w:ascii="Poppins" w:hAnsi="Poppins" w:cs="Poppins"/>
          <w:b/>
          <w:sz w:val="18"/>
          <w:szCs w:val="18"/>
        </w:rPr>
        <w:t>marzo</w:t>
      </w:r>
      <w:r w:rsidRPr="00E63B29">
        <w:rPr>
          <w:rFonts w:ascii="Poppins" w:hAnsi="Poppins" w:cs="Poppins"/>
          <w:b/>
          <w:sz w:val="18"/>
          <w:szCs w:val="18"/>
        </w:rPr>
        <w:t xml:space="preserve"> del 2026</w:t>
      </w:r>
    </w:p>
    <w:p w14:paraId="5E84CEB8" w14:textId="77777777" w:rsidR="00D13ED3" w:rsidRPr="00E63B29" w:rsidRDefault="00D13ED3" w:rsidP="00D13ED3">
      <w:pPr>
        <w:shd w:val="clear" w:color="auto" w:fill="FFFFFF"/>
        <w:ind w:left="425"/>
        <w:jc w:val="both"/>
        <w:rPr>
          <w:rFonts w:ascii="Poppins" w:hAnsi="Poppins" w:cs="Poppins"/>
          <w:sz w:val="18"/>
          <w:szCs w:val="18"/>
        </w:rPr>
      </w:pPr>
    </w:p>
    <w:p w14:paraId="27FB3F9D" w14:textId="77777777" w:rsidR="00D13ED3" w:rsidRPr="00E63B29" w:rsidRDefault="00D13ED3" w:rsidP="00D13ED3">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w:t>
      </w:r>
      <w:r>
        <w:rPr>
          <w:rFonts w:ascii="Poppins" w:hAnsi="Poppins" w:cs="Poppins"/>
          <w:sz w:val="18"/>
          <w:szCs w:val="18"/>
        </w:rPr>
        <w:t xml:space="preserve"> 6,9</w:t>
      </w:r>
      <w:r w:rsidRPr="00E63B29">
        <w:rPr>
          <w:rFonts w:ascii="Poppins" w:hAnsi="Poppins" w:cs="Poppins"/>
          <w:sz w:val="18"/>
          <w:szCs w:val="18"/>
        </w:rPr>
        <w:t xml:space="preserve"> millones de barriles alcanzando los 4</w:t>
      </w:r>
      <w:r>
        <w:rPr>
          <w:rFonts w:ascii="Poppins" w:hAnsi="Poppins" w:cs="Poppins"/>
          <w:sz w:val="18"/>
          <w:szCs w:val="18"/>
        </w:rPr>
        <w:t>56</w:t>
      </w:r>
      <w:r w:rsidRPr="00E63B29">
        <w:rPr>
          <w:rFonts w:ascii="Poppins" w:hAnsi="Poppins" w:cs="Poppins"/>
          <w:sz w:val="18"/>
          <w:szCs w:val="18"/>
        </w:rPr>
        <w:t>,</w:t>
      </w:r>
      <w:r>
        <w:rPr>
          <w:rFonts w:ascii="Poppins" w:hAnsi="Poppins" w:cs="Poppins"/>
          <w:sz w:val="18"/>
          <w:szCs w:val="18"/>
        </w:rPr>
        <w:t>2</w:t>
      </w:r>
      <w:r w:rsidRPr="00E63B29">
        <w:rPr>
          <w:rFonts w:ascii="Poppins" w:hAnsi="Poppins" w:cs="Poppins"/>
          <w:sz w:val="18"/>
          <w:szCs w:val="18"/>
        </w:rPr>
        <w:t xml:space="preserve"> millones de barriles, ubicándose en un </w:t>
      </w:r>
      <w:r>
        <w:rPr>
          <w:rFonts w:ascii="Poppins" w:hAnsi="Poppins" w:cs="Poppins"/>
          <w:sz w:val="18"/>
          <w:szCs w:val="18"/>
        </w:rPr>
        <w:t>+0,1</w:t>
      </w:r>
      <w:r w:rsidRPr="00E63B29">
        <w:rPr>
          <w:rFonts w:ascii="Poppins" w:hAnsi="Poppins" w:cs="Poppins"/>
          <w:sz w:val="18"/>
          <w:szCs w:val="18"/>
        </w:rPr>
        <w:t xml:space="preserve">% por </w:t>
      </w:r>
      <w:r>
        <w:rPr>
          <w:rFonts w:ascii="Poppins" w:hAnsi="Poppins" w:cs="Poppins"/>
          <w:sz w:val="18"/>
          <w:szCs w:val="18"/>
        </w:rPr>
        <w:t>encima</w:t>
      </w:r>
      <w:r w:rsidRPr="00E63B29">
        <w:rPr>
          <w:rFonts w:ascii="Poppins" w:hAnsi="Poppins" w:cs="Poppins"/>
          <w:sz w:val="18"/>
          <w:szCs w:val="18"/>
        </w:rPr>
        <w:t xml:space="preserve"> de la media de los últimos 5 años, para esta época del año</w:t>
      </w:r>
      <w:r>
        <w:rPr>
          <w:rFonts w:ascii="Poppins" w:hAnsi="Poppins" w:cs="Poppins"/>
          <w:sz w:val="18"/>
          <w:szCs w:val="18"/>
        </w:rPr>
        <w:t>.</w:t>
      </w:r>
    </w:p>
    <w:p w14:paraId="6CC42A8C" w14:textId="77777777" w:rsidR="00D13ED3" w:rsidRPr="00E63B29" w:rsidRDefault="00D13ED3" w:rsidP="00D13ED3">
      <w:pPr>
        <w:shd w:val="clear" w:color="auto" w:fill="FFFFFF"/>
        <w:ind w:left="425"/>
        <w:jc w:val="both"/>
        <w:rPr>
          <w:rFonts w:ascii="Poppins" w:hAnsi="Poppins" w:cs="Poppins"/>
          <w:sz w:val="18"/>
          <w:szCs w:val="18"/>
        </w:rPr>
      </w:pPr>
    </w:p>
    <w:p w14:paraId="3CA125C2" w14:textId="77777777" w:rsidR="00D13ED3" w:rsidRPr="00E63B29" w:rsidRDefault="00D13ED3" w:rsidP="00D13ED3">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w:t>
      </w:r>
      <w:r>
        <w:rPr>
          <w:rFonts w:ascii="Poppins" w:hAnsi="Poppins" w:cs="Poppins"/>
          <w:sz w:val="18"/>
          <w:szCs w:val="18"/>
        </w:rPr>
        <w:t xml:space="preserve"> 2,6</w:t>
      </w:r>
      <w:r w:rsidRPr="00E63B29">
        <w:rPr>
          <w:rFonts w:ascii="Poppins" w:hAnsi="Poppins" w:cs="Poppins"/>
          <w:sz w:val="18"/>
          <w:szCs w:val="18"/>
        </w:rPr>
        <w:t xml:space="preserve"> millones de barriles, reportando un total de 2</w:t>
      </w:r>
      <w:r>
        <w:rPr>
          <w:rFonts w:ascii="Poppins" w:hAnsi="Poppins" w:cs="Poppins"/>
          <w:sz w:val="18"/>
          <w:szCs w:val="18"/>
        </w:rPr>
        <w:t>41</w:t>
      </w:r>
      <w:r w:rsidRPr="00E63B29">
        <w:rPr>
          <w:rFonts w:ascii="Poppins" w:hAnsi="Poppins" w:cs="Poppins"/>
          <w:sz w:val="18"/>
          <w:szCs w:val="18"/>
        </w:rPr>
        <w:t>,</w:t>
      </w:r>
      <w:r>
        <w:rPr>
          <w:rFonts w:ascii="Poppins" w:hAnsi="Poppins" w:cs="Poppins"/>
          <w:sz w:val="18"/>
          <w:szCs w:val="18"/>
        </w:rPr>
        <w:t>4</w:t>
      </w:r>
      <w:r w:rsidRPr="00E63B29">
        <w:rPr>
          <w:rFonts w:ascii="Poppins" w:hAnsi="Poppins" w:cs="Poppins"/>
          <w:sz w:val="18"/>
          <w:szCs w:val="18"/>
        </w:rPr>
        <w:t xml:space="preserve"> millones de barriles. Asimismo, los inventarios de destilados, que incluyen al diésel y al combustible para calefacción</w:t>
      </w:r>
      <w:r>
        <w:rPr>
          <w:rFonts w:ascii="Poppins" w:hAnsi="Poppins" w:cs="Poppins"/>
          <w:sz w:val="18"/>
          <w:szCs w:val="18"/>
        </w:rPr>
        <w:t xml:space="preserve"> se elevaron</w:t>
      </w:r>
      <w:r w:rsidRPr="00E63B29">
        <w:rPr>
          <w:rFonts w:ascii="Poppins" w:hAnsi="Poppins" w:cs="Poppins"/>
          <w:sz w:val="18"/>
          <w:szCs w:val="18"/>
        </w:rPr>
        <w:t xml:space="preserve"> en</w:t>
      </w:r>
      <w:r>
        <w:rPr>
          <w:rFonts w:ascii="Poppins" w:hAnsi="Poppins" w:cs="Poppins"/>
          <w:sz w:val="18"/>
          <w:szCs w:val="18"/>
        </w:rPr>
        <w:t xml:space="preserve"> 3,0</w:t>
      </w:r>
      <w:r w:rsidRPr="00E63B29">
        <w:rPr>
          <w:rFonts w:ascii="Poppins" w:hAnsi="Poppins" w:cs="Poppins"/>
          <w:sz w:val="18"/>
          <w:szCs w:val="18"/>
        </w:rPr>
        <w:t xml:space="preserve"> millones de barriles, ubicándose en 1</w:t>
      </w:r>
      <w:r>
        <w:rPr>
          <w:rFonts w:ascii="Poppins" w:hAnsi="Poppins" w:cs="Poppins"/>
          <w:sz w:val="18"/>
          <w:szCs w:val="18"/>
        </w:rPr>
        <w:t>19</w:t>
      </w:r>
      <w:r w:rsidRPr="00E63B29">
        <w:rPr>
          <w:rFonts w:ascii="Poppins" w:hAnsi="Poppins" w:cs="Poppins"/>
          <w:sz w:val="18"/>
          <w:szCs w:val="18"/>
        </w:rPr>
        <w:t>,</w:t>
      </w:r>
      <w:r>
        <w:rPr>
          <w:rFonts w:ascii="Poppins" w:hAnsi="Poppins" w:cs="Poppins"/>
          <w:sz w:val="18"/>
          <w:szCs w:val="18"/>
        </w:rPr>
        <w:t>9</w:t>
      </w:r>
      <w:r w:rsidRPr="00E63B29">
        <w:rPr>
          <w:rFonts w:ascii="Poppins" w:hAnsi="Poppins" w:cs="Poppins"/>
          <w:sz w:val="18"/>
          <w:szCs w:val="18"/>
        </w:rPr>
        <w:t xml:space="preserve"> millones de barriles</w:t>
      </w:r>
      <w:r>
        <w:rPr>
          <w:rFonts w:ascii="Poppins" w:hAnsi="Poppins" w:cs="Poppins"/>
          <w:sz w:val="18"/>
          <w:szCs w:val="18"/>
        </w:rPr>
        <w:t>.</w:t>
      </w:r>
    </w:p>
    <w:p w14:paraId="0D3268B5" w14:textId="77777777" w:rsidR="00D13ED3" w:rsidRPr="00E63B29" w:rsidRDefault="00D13ED3" w:rsidP="00D13ED3">
      <w:pPr>
        <w:shd w:val="clear" w:color="auto" w:fill="FFFFFF"/>
        <w:ind w:left="425"/>
        <w:jc w:val="both"/>
        <w:rPr>
          <w:rFonts w:ascii="Poppins" w:hAnsi="Poppins" w:cs="Poppins"/>
          <w:sz w:val="18"/>
          <w:szCs w:val="18"/>
        </w:rPr>
      </w:pPr>
    </w:p>
    <w:p w14:paraId="61E7AA70" w14:textId="77777777" w:rsidR="00D13ED3" w:rsidRPr="00E47B86" w:rsidRDefault="00D13ED3" w:rsidP="00D13ED3">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aumentaron</w:t>
      </w:r>
      <w:r w:rsidRPr="00E63B29">
        <w:rPr>
          <w:rFonts w:ascii="Poppins" w:hAnsi="Poppins" w:cs="Poppins"/>
          <w:sz w:val="18"/>
          <w:szCs w:val="18"/>
        </w:rPr>
        <w:t xml:space="preserve"> en</w:t>
      </w:r>
      <w:r>
        <w:rPr>
          <w:rFonts w:ascii="Poppins" w:hAnsi="Poppins" w:cs="Poppins"/>
          <w:sz w:val="18"/>
          <w:szCs w:val="18"/>
        </w:rPr>
        <w:t xml:space="preserve"> 0,48 </w:t>
      </w:r>
      <w:r w:rsidRPr="00E63B29">
        <w:rPr>
          <w:rFonts w:ascii="Poppins" w:hAnsi="Poppins" w:cs="Poppins"/>
          <w:sz w:val="18"/>
          <w:szCs w:val="18"/>
        </w:rPr>
        <w:t xml:space="preserve">millones de barriles, registrando </w:t>
      </w:r>
      <w:r w:rsidRPr="00E47B86">
        <w:rPr>
          <w:rFonts w:ascii="Poppins" w:hAnsi="Poppins" w:cs="Poppins"/>
          <w:sz w:val="18"/>
          <w:szCs w:val="18"/>
        </w:rPr>
        <w:t>un nivel de 72,</w:t>
      </w:r>
      <w:r>
        <w:rPr>
          <w:rFonts w:ascii="Poppins" w:hAnsi="Poppins" w:cs="Poppins"/>
          <w:sz w:val="18"/>
          <w:szCs w:val="18"/>
        </w:rPr>
        <w:t>96</w:t>
      </w:r>
      <w:r w:rsidRPr="00E47B86">
        <w:rPr>
          <w:rFonts w:ascii="Poppins" w:hAnsi="Poppins" w:cs="Poppins"/>
          <w:sz w:val="18"/>
          <w:szCs w:val="18"/>
        </w:rPr>
        <w:t xml:space="preserve"> millones de barriles</w:t>
      </w:r>
      <w:r>
        <w:rPr>
          <w:rFonts w:ascii="Poppins" w:hAnsi="Poppins" w:cs="Poppins"/>
          <w:sz w:val="18"/>
          <w:szCs w:val="18"/>
        </w:rPr>
        <w:t>.</w:t>
      </w:r>
    </w:p>
    <w:p w14:paraId="0F827DDB" w14:textId="77777777" w:rsidR="00D13ED3" w:rsidRPr="00E47B86" w:rsidRDefault="00D13ED3" w:rsidP="00D13ED3">
      <w:pPr>
        <w:jc w:val="both"/>
        <w:rPr>
          <w:rFonts w:ascii="Poppins" w:hAnsi="Poppins" w:cs="Poppins"/>
          <w:b/>
          <w:sz w:val="18"/>
          <w:szCs w:val="18"/>
        </w:rPr>
      </w:pPr>
    </w:p>
    <w:p w14:paraId="1C22F501" w14:textId="77777777" w:rsidR="00D13ED3" w:rsidRPr="00E52CC3" w:rsidRDefault="00D13ED3" w:rsidP="00D13ED3">
      <w:pPr>
        <w:pStyle w:val="Prrafodelista"/>
        <w:numPr>
          <w:ilvl w:val="0"/>
          <w:numId w:val="30"/>
        </w:numPr>
        <w:ind w:left="425"/>
        <w:contextualSpacing/>
        <w:jc w:val="both"/>
        <w:rPr>
          <w:rFonts w:ascii="Poppins" w:hAnsi="Poppins" w:cs="Poppins"/>
          <w:b/>
          <w:sz w:val="18"/>
          <w:szCs w:val="18"/>
        </w:rPr>
      </w:pPr>
      <w:r w:rsidRPr="00E52CC3">
        <w:rPr>
          <w:rFonts w:ascii="Poppins" w:hAnsi="Poppins" w:cs="Poppins"/>
          <w:b/>
          <w:sz w:val="18"/>
          <w:szCs w:val="18"/>
        </w:rPr>
        <w:t>EE.UU. e Irán pasaron del diálogo estancado a una confrontación abierta, mientras la crisis regional escaló y golpeó de lleno la logística energética</w:t>
      </w:r>
    </w:p>
    <w:p w14:paraId="041DF4EB" w14:textId="77777777" w:rsidR="00D13ED3" w:rsidRPr="00E52CC3" w:rsidRDefault="00D13ED3" w:rsidP="00D13ED3">
      <w:pPr>
        <w:jc w:val="both"/>
        <w:rPr>
          <w:rFonts w:ascii="Poppins" w:hAnsi="Poppins" w:cs="Poppins"/>
          <w:b/>
          <w:sz w:val="18"/>
          <w:szCs w:val="18"/>
        </w:rPr>
      </w:pPr>
    </w:p>
    <w:p w14:paraId="0C498EC6" w14:textId="77777777" w:rsidR="00D13ED3" w:rsidRPr="00E52CC3" w:rsidRDefault="00D13ED3" w:rsidP="00D13ED3">
      <w:pPr>
        <w:shd w:val="clear" w:color="auto" w:fill="FFFFFF"/>
        <w:ind w:left="425"/>
        <w:jc w:val="both"/>
        <w:rPr>
          <w:rFonts w:ascii="Poppins" w:hAnsi="Poppins" w:cs="Poppins"/>
          <w:sz w:val="18"/>
          <w:szCs w:val="18"/>
        </w:rPr>
      </w:pPr>
      <w:r w:rsidRPr="00E52CC3">
        <w:rPr>
          <w:rFonts w:ascii="Poppins" w:hAnsi="Poppins" w:cs="Poppins"/>
          <w:sz w:val="18"/>
          <w:szCs w:val="18"/>
        </w:rPr>
        <w:t xml:space="preserve">Durante las últimas semanas, el frente diplomático quedó claramente subordinado a la dinámica militar y conflicto abierto. Tras los contactos nucleares indirectos de Ginebra del 26 y 27 de febrero, que no produjeron avances, la ofensiva conjunta de EE.UU. e Israel iniciada el 28 de febrero rompió el frágil equilibrio previo y abrió una fase de confrontación abierta. En los días siguientes, Irán endureció su postura, el nuevo líder supremo </w:t>
      </w:r>
      <w:proofErr w:type="spellStart"/>
      <w:r w:rsidRPr="00E52CC3">
        <w:rPr>
          <w:rFonts w:ascii="Poppins" w:hAnsi="Poppins" w:cs="Poppins"/>
          <w:sz w:val="18"/>
          <w:szCs w:val="18"/>
        </w:rPr>
        <w:t>Mojtaba</w:t>
      </w:r>
      <w:proofErr w:type="spellEnd"/>
      <w:r w:rsidRPr="00E52CC3">
        <w:rPr>
          <w:rFonts w:ascii="Poppins" w:hAnsi="Poppins" w:cs="Poppins"/>
          <w:sz w:val="18"/>
          <w:szCs w:val="18"/>
        </w:rPr>
        <w:t xml:space="preserve"> </w:t>
      </w:r>
      <w:proofErr w:type="spellStart"/>
      <w:r w:rsidRPr="00E52CC3">
        <w:rPr>
          <w:rFonts w:ascii="Poppins" w:hAnsi="Poppins" w:cs="Poppins"/>
          <w:sz w:val="18"/>
          <w:szCs w:val="18"/>
        </w:rPr>
        <w:t>Khamenei</w:t>
      </w:r>
      <w:proofErr w:type="spellEnd"/>
      <w:r w:rsidRPr="00E52CC3">
        <w:rPr>
          <w:rFonts w:ascii="Poppins" w:hAnsi="Poppins" w:cs="Poppins"/>
          <w:sz w:val="18"/>
          <w:szCs w:val="18"/>
        </w:rPr>
        <w:t xml:space="preserve"> respaldó el cierre de Ormuz y Donald Trump elevó la presión con amenazas cada vez más directas, hasta pasar del lenguaje de advertencia a exigencias de </w:t>
      </w:r>
      <w:r w:rsidRPr="00E52CC3">
        <w:rPr>
          <w:rFonts w:ascii="Poppins" w:hAnsi="Poppins" w:cs="Poppins"/>
          <w:i/>
          <w:iCs/>
          <w:sz w:val="18"/>
          <w:szCs w:val="18"/>
        </w:rPr>
        <w:t>“rendición incondicional”</w:t>
      </w:r>
      <w:r w:rsidRPr="00E52CC3">
        <w:rPr>
          <w:rFonts w:ascii="Poppins" w:hAnsi="Poppins" w:cs="Poppins"/>
          <w:sz w:val="18"/>
          <w:szCs w:val="18"/>
        </w:rPr>
        <w:t>.</w:t>
      </w:r>
    </w:p>
    <w:p w14:paraId="7CF70CA1" w14:textId="77777777" w:rsidR="00D13ED3" w:rsidRPr="00E52CC3" w:rsidRDefault="00D13ED3" w:rsidP="00D13ED3">
      <w:pPr>
        <w:shd w:val="clear" w:color="auto" w:fill="FFFFFF"/>
        <w:ind w:left="425"/>
        <w:jc w:val="both"/>
        <w:rPr>
          <w:rFonts w:ascii="Poppins" w:hAnsi="Poppins" w:cs="Poppins"/>
          <w:sz w:val="18"/>
          <w:szCs w:val="18"/>
        </w:rPr>
      </w:pPr>
    </w:p>
    <w:p w14:paraId="2CAC805D" w14:textId="77777777" w:rsidR="00D13ED3" w:rsidRPr="00E52CC3" w:rsidRDefault="00D13ED3" w:rsidP="00D13ED3">
      <w:pPr>
        <w:shd w:val="clear" w:color="auto" w:fill="FFFFFF"/>
        <w:ind w:left="425"/>
        <w:jc w:val="both"/>
        <w:rPr>
          <w:rFonts w:ascii="Poppins" w:hAnsi="Poppins" w:cs="Poppins"/>
          <w:sz w:val="18"/>
          <w:szCs w:val="18"/>
        </w:rPr>
      </w:pPr>
      <w:r w:rsidRPr="00E52CC3">
        <w:rPr>
          <w:rFonts w:ascii="Poppins" w:hAnsi="Poppins" w:cs="Poppins"/>
          <w:sz w:val="18"/>
          <w:szCs w:val="18"/>
        </w:rPr>
        <w:t xml:space="preserve">La escalada dio un salto importante el 13 de marzo, cuando Trump anunció ataques estadounidenses contra objetivos militares en </w:t>
      </w:r>
      <w:proofErr w:type="spellStart"/>
      <w:r w:rsidRPr="00E52CC3">
        <w:rPr>
          <w:rFonts w:ascii="Poppins" w:hAnsi="Poppins" w:cs="Poppins"/>
          <w:sz w:val="18"/>
          <w:szCs w:val="18"/>
        </w:rPr>
        <w:t>Kharg</w:t>
      </w:r>
      <w:proofErr w:type="spellEnd"/>
      <w:r w:rsidRPr="00E52CC3">
        <w:rPr>
          <w:rFonts w:ascii="Poppins" w:hAnsi="Poppins" w:cs="Poppins"/>
          <w:sz w:val="18"/>
          <w:szCs w:val="18"/>
        </w:rPr>
        <w:t xml:space="preserve">, la isla que concentra cerca de 90% de las exportaciones petroleras de Irán. Se reportó que EE.UU. afirmó haber destruido blancos militares en la isla sin golpear directamente la infraestructura petrolera, aunque dejó explícita la amenaza de ampliar los ataques si Irán seguía interfiriendo en el Estrecho de Ormuz. Un día después, CENTCOM (Comando Central de EE.UU.) informó que las fuerzas estadounidenses habían atacado más de 90 objetivos militares en </w:t>
      </w:r>
      <w:proofErr w:type="spellStart"/>
      <w:r w:rsidRPr="00E52CC3">
        <w:rPr>
          <w:rFonts w:ascii="Poppins" w:hAnsi="Poppins" w:cs="Poppins"/>
          <w:sz w:val="18"/>
          <w:szCs w:val="18"/>
        </w:rPr>
        <w:t>Kharg</w:t>
      </w:r>
      <w:proofErr w:type="spellEnd"/>
      <w:r w:rsidRPr="00E52CC3">
        <w:rPr>
          <w:rFonts w:ascii="Poppins" w:hAnsi="Poppins" w:cs="Poppins"/>
          <w:sz w:val="18"/>
          <w:szCs w:val="18"/>
        </w:rPr>
        <w:t>, manteniendo intactas las instalaciones petroleras. Aun así, la señal estratégica fue contundente, pues mostró que EE.UU. estaba dispuesto a escalar sobre el principal nodo exportador iraní para presionar un cambio en la postura iraní.</w:t>
      </w:r>
    </w:p>
    <w:p w14:paraId="70C53DA2" w14:textId="77777777" w:rsidR="00D13ED3" w:rsidRPr="00E52CC3" w:rsidRDefault="00D13ED3" w:rsidP="00D13ED3">
      <w:pPr>
        <w:shd w:val="clear" w:color="auto" w:fill="FFFFFF"/>
        <w:ind w:left="425"/>
        <w:jc w:val="both"/>
        <w:rPr>
          <w:rFonts w:ascii="Poppins" w:hAnsi="Poppins" w:cs="Poppins"/>
          <w:sz w:val="18"/>
          <w:szCs w:val="18"/>
        </w:rPr>
      </w:pPr>
    </w:p>
    <w:p w14:paraId="59DA657D" w14:textId="77777777" w:rsidR="00D13ED3" w:rsidRPr="00E52CC3" w:rsidRDefault="00D13ED3" w:rsidP="00D13ED3">
      <w:pPr>
        <w:shd w:val="clear" w:color="auto" w:fill="FFFFFF"/>
        <w:ind w:left="425"/>
        <w:jc w:val="both"/>
        <w:rPr>
          <w:rFonts w:ascii="Poppins" w:hAnsi="Poppins" w:cs="Poppins"/>
          <w:sz w:val="18"/>
          <w:szCs w:val="18"/>
        </w:rPr>
      </w:pPr>
      <w:r w:rsidRPr="00E52CC3">
        <w:rPr>
          <w:rFonts w:ascii="Poppins" w:hAnsi="Poppins" w:cs="Poppins"/>
          <w:sz w:val="18"/>
          <w:szCs w:val="18"/>
        </w:rPr>
        <w:t xml:space="preserve">En la tercera semana de marzo, la confrontación se volvió todavía más volátil. La campaña de EE.UU. e Israel contra Irán siguió golpeando objetivos estratégicos, mientras Trump evaluaba incluso la posibilidad de ocupar o bloquear la isla de </w:t>
      </w:r>
      <w:proofErr w:type="spellStart"/>
      <w:r w:rsidRPr="00E52CC3">
        <w:rPr>
          <w:rFonts w:ascii="Poppins" w:hAnsi="Poppins" w:cs="Poppins"/>
          <w:sz w:val="18"/>
          <w:szCs w:val="18"/>
        </w:rPr>
        <w:t>Kharg</w:t>
      </w:r>
      <w:proofErr w:type="spellEnd"/>
      <w:r w:rsidRPr="00E52CC3">
        <w:rPr>
          <w:rFonts w:ascii="Poppins" w:hAnsi="Poppins" w:cs="Poppins"/>
          <w:sz w:val="18"/>
          <w:szCs w:val="18"/>
        </w:rPr>
        <w:t xml:space="preserve">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E52CC3">
        <w:rPr>
          <w:rFonts w:ascii="Poppins" w:hAnsi="Poppins" w:cs="Poppins"/>
          <w:i/>
          <w:iCs/>
          <w:sz w:val="18"/>
          <w:szCs w:val="18"/>
        </w:rPr>
        <w:t xml:space="preserve">“productivos” </w:t>
      </w:r>
      <w:r w:rsidRPr="00E52CC3">
        <w:rPr>
          <w:rFonts w:ascii="Poppins" w:hAnsi="Poppins" w:cs="Poppins"/>
          <w:sz w:val="18"/>
          <w:szCs w:val="18"/>
        </w:rPr>
        <w:t>con Teherán, aunque Irán negó negociaciones formales.</w:t>
      </w:r>
    </w:p>
    <w:p w14:paraId="2A744D25" w14:textId="77777777" w:rsidR="00D13ED3" w:rsidRPr="00E52CC3" w:rsidRDefault="00D13ED3" w:rsidP="00D13ED3">
      <w:pPr>
        <w:shd w:val="clear" w:color="auto" w:fill="FFFFFF"/>
        <w:ind w:left="425"/>
        <w:jc w:val="both"/>
        <w:rPr>
          <w:rFonts w:ascii="Poppins" w:hAnsi="Poppins" w:cs="Poppins"/>
          <w:sz w:val="18"/>
          <w:szCs w:val="18"/>
        </w:rPr>
      </w:pPr>
    </w:p>
    <w:p w14:paraId="4AC04B06" w14:textId="77777777" w:rsidR="00D13ED3" w:rsidRPr="00E52CC3" w:rsidRDefault="00D13ED3" w:rsidP="00D13ED3">
      <w:pPr>
        <w:shd w:val="clear" w:color="auto" w:fill="FFFFFF"/>
        <w:ind w:left="425"/>
        <w:jc w:val="both"/>
        <w:rPr>
          <w:rFonts w:ascii="Poppins" w:hAnsi="Poppins" w:cs="Poppins"/>
          <w:sz w:val="18"/>
          <w:szCs w:val="18"/>
        </w:rPr>
      </w:pPr>
      <w:r w:rsidRPr="00E52CC3">
        <w:rPr>
          <w:rFonts w:ascii="Poppins" w:hAnsi="Poppins" w:cs="Poppins"/>
          <w:sz w:val="18"/>
          <w:szCs w:val="18"/>
        </w:rPr>
        <w:t xml:space="preserve">En la cuarta semana de marzo, la confrontación siguió siendo altamente volátil, aunque con una combinación más visible de coerción militar y pausas tácticas. El 23 de marzo, Trump anunció una pausa inicial en ataques contra plantas energéticas iraníes tras afirmar que existían conversaciones </w:t>
      </w:r>
      <w:r w:rsidRPr="00E52CC3">
        <w:rPr>
          <w:rFonts w:ascii="Poppins" w:hAnsi="Poppins" w:cs="Poppins"/>
          <w:i/>
          <w:iCs/>
          <w:sz w:val="18"/>
          <w:szCs w:val="18"/>
        </w:rPr>
        <w:t>“muy buenas”,</w:t>
      </w:r>
      <w:r w:rsidRPr="00E52CC3">
        <w:rPr>
          <w:rFonts w:ascii="Poppins" w:hAnsi="Poppins" w:cs="Poppins"/>
          <w:sz w:val="18"/>
          <w:szCs w:val="18"/>
        </w:rPr>
        <w:t xml:space="preserve"> lo que provocó una fuerte corrección del mercado; sin embargo, Irán negó contactos formales y el alivio fue efímero. Luego, el 26 de marzo, EE.UU. amplió esa pausa por 10 días, hasta el 6 de abril, insistiendo en que las conversaciones avanzaban, aunque Teherán calificó la propuesta estadounidense como sesgada e injusta.</w:t>
      </w:r>
    </w:p>
    <w:p w14:paraId="4E0B0310" w14:textId="77777777" w:rsidR="00D13ED3" w:rsidRPr="00E52CC3" w:rsidRDefault="00D13ED3" w:rsidP="00D13ED3">
      <w:pPr>
        <w:shd w:val="clear" w:color="auto" w:fill="FFFFFF"/>
        <w:ind w:left="425"/>
        <w:jc w:val="both"/>
        <w:rPr>
          <w:rFonts w:ascii="Poppins" w:hAnsi="Poppins" w:cs="Poppins"/>
          <w:sz w:val="18"/>
          <w:szCs w:val="18"/>
        </w:rPr>
      </w:pPr>
    </w:p>
    <w:p w14:paraId="17816D82" w14:textId="77777777" w:rsidR="00D13ED3" w:rsidRPr="00E52CC3" w:rsidRDefault="00D13ED3" w:rsidP="00D13ED3">
      <w:pPr>
        <w:shd w:val="clear" w:color="auto" w:fill="FFFFFF"/>
        <w:ind w:left="425"/>
        <w:jc w:val="both"/>
        <w:rPr>
          <w:rFonts w:ascii="Poppins" w:hAnsi="Poppins" w:cs="Poppins"/>
          <w:sz w:val="18"/>
          <w:szCs w:val="18"/>
        </w:rPr>
      </w:pPr>
      <w:r w:rsidRPr="00E52CC3">
        <w:rPr>
          <w:rFonts w:ascii="Poppins" w:hAnsi="Poppins" w:cs="Poppins"/>
          <w:sz w:val="18"/>
          <w:szCs w:val="18"/>
        </w:rPr>
        <w:t>El impacto operativo sobre la logística energética dejó de reflejarse solo en la parálisis del tránsito y pasó a manifestarse también en una profunda reconfiguración de los flujos comerciales. A medida que el Golfo siguió operando con fuertes restricciones, Asia intensificó la búsqueda de crudo fuera de Medio Oriente, absorbiendo más barriles desde Europa y África. Esa competencia adicional tensó aún más el mercado físico y elevó el marcador de Dubái, referencia de crudo de la zona, hasta un récord de US$ 169,75 por barril.</w:t>
      </w:r>
    </w:p>
    <w:p w14:paraId="5B52CEE5" w14:textId="77777777" w:rsidR="00D13ED3" w:rsidRPr="00E52CC3" w:rsidRDefault="00D13ED3" w:rsidP="00D13ED3">
      <w:pPr>
        <w:shd w:val="clear" w:color="auto" w:fill="FFFFFF"/>
        <w:ind w:left="425"/>
        <w:jc w:val="both"/>
        <w:rPr>
          <w:rFonts w:ascii="Poppins" w:hAnsi="Poppins" w:cs="Poppins"/>
          <w:sz w:val="18"/>
          <w:szCs w:val="18"/>
        </w:rPr>
      </w:pPr>
    </w:p>
    <w:p w14:paraId="12D809A6" w14:textId="77777777" w:rsidR="00D13ED3" w:rsidRPr="00E52CC3" w:rsidRDefault="00D13ED3" w:rsidP="00D13ED3">
      <w:pPr>
        <w:shd w:val="clear" w:color="auto" w:fill="FFFFFF"/>
        <w:ind w:left="425"/>
        <w:jc w:val="both"/>
        <w:rPr>
          <w:rFonts w:ascii="Poppins" w:hAnsi="Poppins" w:cs="Poppins"/>
          <w:sz w:val="18"/>
          <w:szCs w:val="18"/>
        </w:rPr>
      </w:pPr>
      <w:r w:rsidRPr="00E52CC3">
        <w:rPr>
          <w:rFonts w:ascii="Poppins" w:hAnsi="Poppins" w:cs="Poppins"/>
          <w:sz w:val="18"/>
          <w:szCs w:val="18"/>
        </w:rPr>
        <w:t xml:space="preserve">En paralelo, los efectos económicos se extendieron más allá del mayor costo de asegurar buques y comenzaron a expresarse en sustitución de suministros, mayores exportaciones </w:t>
      </w:r>
      <w:r w:rsidRPr="00E52CC3">
        <w:rPr>
          <w:rFonts w:ascii="Poppins" w:hAnsi="Poppins" w:cs="Poppins"/>
          <w:sz w:val="18"/>
          <w:szCs w:val="18"/>
        </w:rPr>
        <w:lastRenderedPageBreak/>
        <w:t>desde regiones alternativas y presión sobre derivados. En marzo, las exportaciones de GNL de EE.UU. alcanzaron un récord de 11,7 millones de toneladas, mientras sus exportaciones de combustibles refinados subieron a 3,11 millones de bpd, impulsadas por la necesidad de Europa, Asia y África de reemplazar parte de la oferta perdida de Medio Oriente.</w:t>
      </w:r>
    </w:p>
    <w:p w14:paraId="04F6F2B6" w14:textId="77777777" w:rsidR="00D13ED3" w:rsidRPr="008E11B4" w:rsidRDefault="00D13ED3" w:rsidP="00D13ED3">
      <w:pPr>
        <w:shd w:val="clear" w:color="auto" w:fill="FFFFFF"/>
        <w:ind w:left="425"/>
        <w:jc w:val="both"/>
        <w:rPr>
          <w:rFonts w:ascii="Poppins" w:hAnsi="Poppins" w:cs="Poppins"/>
          <w:sz w:val="18"/>
          <w:szCs w:val="18"/>
          <w:highlight w:val="yellow"/>
        </w:rPr>
      </w:pPr>
    </w:p>
    <w:p w14:paraId="10C9D596" w14:textId="77777777" w:rsidR="00D13ED3" w:rsidRPr="0081294C" w:rsidRDefault="00D13ED3" w:rsidP="00D13ED3">
      <w:pPr>
        <w:pStyle w:val="Prrafodelista"/>
        <w:numPr>
          <w:ilvl w:val="0"/>
          <w:numId w:val="30"/>
        </w:numPr>
        <w:ind w:left="425"/>
        <w:contextualSpacing/>
        <w:jc w:val="both"/>
        <w:rPr>
          <w:rFonts w:ascii="Poppins" w:hAnsi="Poppins" w:cs="Poppins"/>
          <w:b/>
          <w:sz w:val="18"/>
          <w:szCs w:val="18"/>
        </w:rPr>
      </w:pPr>
      <w:r w:rsidRPr="0081294C">
        <w:rPr>
          <w:rFonts w:ascii="Poppins" w:hAnsi="Poppins" w:cs="Poppins"/>
          <w:b/>
          <w:sz w:val="18"/>
          <w:szCs w:val="18"/>
        </w:rPr>
        <w:t>La crisis del Golfo Pérsico dejó de ser solo logística y golpeó directamente la oferta de crudo, GNL y refinados en Medio Oriente</w:t>
      </w:r>
    </w:p>
    <w:p w14:paraId="2A138814" w14:textId="77777777" w:rsidR="00D13ED3" w:rsidRPr="0081294C" w:rsidRDefault="00D13ED3" w:rsidP="00D13ED3">
      <w:pPr>
        <w:jc w:val="both"/>
        <w:rPr>
          <w:rFonts w:ascii="Poppins" w:hAnsi="Poppins" w:cs="Poppins"/>
          <w:b/>
          <w:sz w:val="18"/>
          <w:szCs w:val="18"/>
        </w:rPr>
      </w:pPr>
    </w:p>
    <w:p w14:paraId="4A581DAA" w14:textId="77777777" w:rsidR="00D13ED3" w:rsidRPr="0081294C" w:rsidRDefault="00D13ED3" w:rsidP="00D13ED3">
      <w:pPr>
        <w:shd w:val="clear" w:color="auto" w:fill="FFFFFF"/>
        <w:ind w:left="425"/>
        <w:jc w:val="both"/>
        <w:rPr>
          <w:rFonts w:ascii="Poppins" w:hAnsi="Poppins" w:cs="Poppins"/>
          <w:sz w:val="18"/>
          <w:szCs w:val="18"/>
        </w:rPr>
      </w:pPr>
      <w:r w:rsidRPr="0081294C">
        <w:rPr>
          <w:rFonts w:ascii="Poppins" w:hAnsi="Poppins" w:cs="Poppins"/>
          <w:sz w:val="18"/>
          <w:szCs w:val="18"/>
        </w:rPr>
        <w:t xml:space="preserve">La crisis en Medio Oriente dejó de reflejarse únicamente en mayores costos logísticos y primas de riesgo, para convertirse en una pérdida material de oferta. El punto de quiebre llegó el 18 de marzo, cuando Israel atacó South </w:t>
      </w:r>
      <w:proofErr w:type="spellStart"/>
      <w:r w:rsidRPr="0081294C">
        <w:rPr>
          <w:rFonts w:ascii="Poppins" w:hAnsi="Poppins" w:cs="Poppins"/>
          <w:sz w:val="18"/>
          <w:szCs w:val="18"/>
        </w:rPr>
        <w:t>Pars</w:t>
      </w:r>
      <w:proofErr w:type="spellEnd"/>
      <w:r w:rsidRPr="0081294C">
        <w:rPr>
          <w:rFonts w:ascii="Poppins" w:hAnsi="Poppins" w:cs="Poppins"/>
          <w:sz w:val="18"/>
          <w:szCs w:val="18"/>
        </w:rPr>
        <w:t xml:space="preserve"> y el </w:t>
      </w:r>
      <w:proofErr w:type="spellStart"/>
      <w:r w:rsidRPr="0081294C">
        <w:rPr>
          <w:rFonts w:ascii="Poppins" w:hAnsi="Poppins" w:cs="Poppins"/>
          <w:sz w:val="18"/>
          <w:szCs w:val="18"/>
        </w:rPr>
        <w:t>hub</w:t>
      </w:r>
      <w:proofErr w:type="spellEnd"/>
      <w:r w:rsidRPr="0081294C">
        <w:rPr>
          <w:rFonts w:ascii="Poppins" w:hAnsi="Poppins" w:cs="Poppins"/>
          <w:sz w:val="18"/>
          <w:szCs w:val="18"/>
        </w:rPr>
        <w:t xml:space="preserve"> de </w:t>
      </w:r>
      <w:proofErr w:type="spellStart"/>
      <w:r w:rsidRPr="0081294C">
        <w:rPr>
          <w:rFonts w:ascii="Poppins" w:hAnsi="Poppins" w:cs="Poppins"/>
          <w:sz w:val="18"/>
          <w:szCs w:val="18"/>
        </w:rPr>
        <w:t>Asaluyeh</w:t>
      </w:r>
      <w:proofErr w:type="spellEnd"/>
      <w:r w:rsidRPr="0081294C">
        <w:rPr>
          <w:rFonts w:ascii="Poppins" w:hAnsi="Poppins" w:cs="Poppins"/>
          <w:sz w:val="18"/>
          <w:szCs w:val="18"/>
        </w:rPr>
        <w:t xml:space="preserve">, golpeando el principal sistema gasífero iraní; al día siguiente, Irán respondió contra activos energéticos en Arabia Saudita, Kuwait, Catar, Emiratos Árabes Unidos y Bahréin. En Catar, los ataques dañaron instalaciones en Ras </w:t>
      </w:r>
      <w:proofErr w:type="spellStart"/>
      <w:r w:rsidRPr="0081294C">
        <w:rPr>
          <w:rFonts w:ascii="Poppins" w:hAnsi="Poppins" w:cs="Poppins"/>
          <w:sz w:val="18"/>
          <w:szCs w:val="18"/>
        </w:rPr>
        <w:t>Laffan</w:t>
      </w:r>
      <w:proofErr w:type="spellEnd"/>
      <w:r w:rsidRPr="0081294C">
        <w:rPr>
          <w:rFonts w:ascii="Poppins" w:hAnsi="Poppins" w:cs="Poppins"/>
          <w:sz w:val="18"/>
          <w:szCs w:val="18"/>
        </w:rPr>
        <w:t xml:space="preserve"> y eliminaron alrededor de una sexta parte de su capacidad de GNL, mientras agencias de noticias reportaron que el mercado empezó a valorar una interrupción más prolongada sobre uno de los nodos energéticos más sensibles del mundo. </w:t>
      </w:r>
    </w:p>
    <w:p w14:paraId="3176D7A7" w14:textId="77777777" w:rsidR="00D13ED3" w:rsidRPr="0081294C" w:rsidRDefault="00D13ED3" w:rsidP="00D13ED3">
      <w:pPr>
        <w:shd w:val="clear" w:color="auto" w:fill="FFFFFF"/>
        <w:ind w:left="425"/>
        <w:jc w:val="both"/>
        <w:rPr>
          <w:rFonts w:ascii="Poppins" w:hAnsi="Poppins" w:cs="Poppins"/>
          <w:sz w:val="18"/>
          <w:szCs w:val="18"/>
        </w:rPr>
      </w:pPr>
      <w:r w:rsidRPr="0081294C">
        <w:rPr>
          <w:rFonts w:ascii="Poppins" w:hAnsi="Poppins" w:cs="Poppins"/>
          <w:sz w:val="18"/>
          <w:szCs w:val="18"/>
        </w:rPr>
        <w:t>El golpe sobre la oferta de crudo también fue severo y ya no respondió solo al cierre de rutas, sino a restricciones operativas reales. Reuters reportó el 19 de marzo que la guerra y las restricciones en Ormuz habían retirado alrededor de 12 millones de bpd del mercado, equivalente a cerca de 12% de la demanda mundial diaria, mientras el crudo Dubái, referencia de la zona, se disparó hasta US$ 166,80 por barril. Días después, el 25 de marzo, Irak profundizó los recortes por saturación de almacenamiento y bloqueo exportador, donde su producción cayó desde unos 4,3 millones de bpd previos al conflicto hasta alrededor de 800 mil bpd, confirmando que el shock ya era un problema de oferta efectiva.</w:t>
      </w:r>
    </w:p>
    <w:p w14:paraId="373BF3CA" w14:textId="77777777" w:rsidR="00D13ED3" w:rsidRPr="0081294C" w:rsidRDefault="00D13ED3" w:rsidP="00D13ED3">
      <w:pPr>
        <w:shd w:val="clear" w:color="auto" w:fill="FFFFFF"/>
        <w:ind w:left="425"/>
        <w:jc w:val="both"/>
        <w:rPr>
          <w:rFonts w:ascii="Poppins" w:hAnsi="Poppins" w:cs="Poppins"/>
          <w:sz w:val="18"/>
          <w:szCs w:val="18"/>
        </w:rPr>
      </w:pPr>
    </w:p>
    <w:p w14:paraId="12046939" w14:textId="77777777" w:rsidR="00D13ED3" w:rsidRDefault="00D13ED3" w:rsidP="00D13ED3">
      <w:pPr>
        <w:shd w:val="clear" w:color="auto" w:fill="FFFFFF"/>
        <w:ind w:left="425"/>
        <w:jc w:val="both"/>
        <w:rPr>
          <w:rFonts w:ascii="Poppins" w:hAnsi="Poppins" w:cs="Poppins"/>
          <w:sz w:val="18"/>
          <w:szCs w:val="18"/>
        </w:rPr>
      </w:pPr>
      <w:r w:rsidRPr="0081294C">
        <w:rPr>
          <w:rFonts w:ascii="Poppins" w:hAnsi="Poppins" w:cs="Poppins"/>
          <w:sz w:val="18"/>
          <w:szCs w:val="18"/>
        </w:rPr>
        <w:t xml:space="preserve">A la vez, la crisis siguió golpeando refinación, puertos y combustibles en todo el Golfo Pérsico. Reuters informó el 20 de marzo que los ataques iraníes habían alcanzado refinerías, terminales y complejos gasíferos regionales, incluidos activos en </w:t>
      </w:r>
      <w:proofErr w:type="spellStart"/>
      <w:r w:rsidRPr="0081294C">
        <w:rPr>
          <w:rFonts w:ascii="Poppins" w:hAnsi="Poppins" w:cs="Poppins"/>
          <w:sz w:val="18"/>
          <w:szCs w:val="18"/>
        </w:rPr>
        <w:t>Habshan</w:t>
      </w:r>
      <w:proofErr w:type="spellEnd"/>
      <w:r w:rsidRPr="0081294C">
        <w:rPr>
          <w:rFonts w:ascii="Poppins" w:hAnsi="Poppins" w:cs="Poppins"/>
          <w:sz w:val="18"/>
          <w:szCs w:val="18"/>
        </w:rPr>
        <w:t xml:space="preserve"> y la refinería de </w:t>
      </w:r>
      <w:proofErr w:type="spellStart"/>
      <w:r w:rsidRPr="0081294C">
        <w:rPr>
          <w:rFonts w:ascii="Poppins" w:hAnsi="Poppins" w:cs="Poppins"/>
          <w:sz w:val="18"/>
          <w:szCs w:val="18"/>
        </w:rPr>
        <w:t>Sitra</w:t>
      </w:r>
      <w:proofErr w:type="spellEnd"/>
      <w:r w:rsidRPr="0081294C">
        <w:rPr>
          <w:rFonts w:ascii="Poppins" w:hAnsi="Poppins" w:cs="Poppins"/>
          <w:sz w:val="18"/>
          <w:szCs w:val="18"/>
        </w:rPr>
        <w:t>, confirmando que la región enfrentaba una pérdida simultánea de crudo, GNL, refinación y capacidad exportadora. En paralelo, el encarecimiento de los combustibles se trasladó de inmediato al mercado, con el jet fuel (aviación) en Europa superando los US$220 por barril y el diésel rebasó los US$ 200 por barril, mientras Asia empezó a buscar crudo alternativo fuera de Medio Oriente para sostener sus compras. Así, hacia el cierre de la última semana de marzo, el mercado ya no enfrentaba solo una crisis de transporte marítimo, sino un deterioro más amplio de la oferta energética regional.</w:t>
      </w:r>
    </w:p>
    <w:p w14:paraId="4E456535" w14:textId="77777777" w:rsidR="00D13ED3" w:rsidRDefault="00D13ED3" w:rsidP="00D13ED3">
      <w:pPr>
        <w:shd w:val="clear" w:color="auto" w:fill="FFFFFF"/>
        <w:ind w:left="425"/>
        <w:jc w:val="both"/>
        <w:rPr>
          <w:rFonts w:ascii="Poppins" w:hAnsi="Poppins" w:cs="Poppins"/>
          <w:sz w:val="18"/>
          <w:szCs w:val="18"/>
        </w:rPr>
      </w:pPr>
    </w:p>
    <w:p w14:paraId="57487041" w14:textId="77777777" w:rsidR="00D13ED3" w:rsidRPr="00414367" w:rsidRDefault="00D13ED3" w:rsidP="00D13ED3">
      <w:pPr>
        <w:pStyle w:val="Prrafodelista"/>
        <w:numPr>
          <w:ilvl w:val="0"/>
          <w:numId w:val="30"/>
        </w:numPr>
        <w:ind w:left="425"/>
        <w:contextualSpacing/>
        <w:jc w:val="both"/>
        <w:rPr>
          <w:rFonts w:ascii="Poppins" w:hAnsi="Poppins" w:cs="Poppins"/>
          <w:b/>
          <w:sz w:val="18"/>
          <w:szCs w:val="18"/>
        </w:rPr>
      </w:pPr>
      <w:r w:rsidRPr="00414367">
        <w:rPr>
          <w:rFonts w:ascii="Poppins" w:hAnsi="Poppins" w:cs="Poppins"/>
          <w:b/>
          <w:sz w:val="18"/>
          <w:szCs w:val="18"/>
        </w:rPr>
        <w:t xml:space="preserve">Ucrania atacó los puertos rusos de </w:t>
      </w:r>
      <w:proofErr w:type="spellStart"/>
      <w:r w:rsidRPr="00414367">
        <w:rPr>
          <w:rFonts w:ascii="Poppins" w:hAnsi="Poppins" w:cs="Poppins"/>
          <w:b/>
          <w:sz w:val="18"/>
          <w:szCs w:val="18"/>
        </w:rPr>
        <w:t>Ust-Luga</w:t>
      </w:r>
      <w:proofErr w:type="spellEnd"/>
      <w:r w:rsidRPr="00414367">
        <w:rPr>
          <w:rFonts w:ascii="Poppins" w:hAnsi="Poppins" w:cs="Poppins"/>
          <w:b/>
          <w:sz w:val="18"/>
          <w:szCs w:val="18"/>
        </w:rPr>
        <w:t xml:space="preserve"> y Primorsk, provocando una de las mayores disrupciones recientes sobre la capacidad exportadora petrolera </w:t>
      </w:r>
      <w:r>
        <w:rPr>
          <w:rFonts w:ascii="Poppins" w:hAnsi="Poppins" w:cs="Poppins"/>
          <w:b/>
          <w:sz w:val="18"/>
          <w:szCs w:val="18"/>
        </w:rPr>
        <w:t>rusa</w:t>
      </w:r>
    </w:p>
    <w:p w14:paraId="11074AD4" w14:textId="77777777" w:rsidR="00D13ED3" w:rsidRPr="00414367" w:rsidRDefault="00D13ED3" w:rsidP="00D13ED3">
      <w:pPr>
        <w:shd w:val="clear" w:color="auto" w:fill="FFFFFF"/>
        <w:ind w:left="425"/>
        <w:jc w:val="both"/>
        <w:rPr>
          <w:rFonts w:ascii="Poppins" w:hAnsi="Poppins" w:cs="Poppins"/>
          <w:sz w:val="18"/>
          <w:szCs w:val="18"/>
        </w:rPr>
      </w:pPr>
    </w:p>
    <w:p w14:paraId="5FCE58FE" w14:textId="77777777" w:rsidR="00D13ED3" w:rsidRPr="00414367" w:rsidRDefault="00D13ED3" w:rsidP="00D13ED3">
      <w:pPr>
        <w:shd w:val="clear" w:color="auto" w:fill="FFFFFF"/>
        <w:ind w:left="425"/>
        <w:jc w:val="both"/>
        <w:rPr>
          <w:rFonts w:ascii="Poppins" w:hAnsi="Poppins" w:cs="Poppins"/>
          <w:sz w:val="18"/>
          <w:szCs w:val="18"/>
        </w:rPr>
      </w:pPr>
      <w:r w:rsidRPr="00414367">
        <w:rPr>
          <w:rFonts w:ascii="Poppins" w:hAnsi="Poppins" w:cs="Poppins"/>
          <w:sz w:val="18"/>
          <w:szCs w:val="18"/>
        </w:rPr>
        <w:t xml:space="preserve">Los ataques con drones ucranianos sobre </w:t>
      </w:r>
      <w:proofErr w:type="spellStart"/>
      <w:r w:rsidRPr="00414367">
        <w:rPr>
          <w:rFonts w:ascii="Poppins" w:hAnsi="Poppins" w:cs="Poppins"/>
          <w:sz w:val="18"/>
          <w:szCs w:val="18"/>
        </w:rPr>
        <w:t>Ust-Luga</w:t>
      </w:r>
      <w:proofErr w:type="spellEnd"/>
      <w:r w:rsidRPr="00414367">
        <w:rPr>
          <w:rFonts w:ascii="Poppins" w:hAnsi="Poppins" w:cs="Poppins"/>
          <w:sz w:val="18"/>
          <w:szCs w:val="18"/>
        </w:rPr>
        <w:t xml:space="preserve"> y Primorsk dejaron temporalmente fuera de operación alrededor de 40% de la capacidad exportadora de petróleo de Rusia, según cálculos de Reuters basados en datos de mercado. El golpe fue especialmente sensible porque Primorsk es una de las principales salidas del crudo de los Urales, mientras </w:t>
      </w:r>
      <w:proofErr w:type="spellStart"/>
      <w:r w:rsidRPr="00414367">
        <w:rPr>
          <w:rFonts w:ascii="Poppins" w:hAnsi="Poppins" w:cs="Poppins"/>
          <w:sz w:val="18"/>
          <w:szCs w:val="18"/>
        </w:rPr>
        <w:t>Ust-Luga</w:t>
      </w:r>
      <w:proofErr w:type="spellEnd"/>
      <w:r w:rsidRPr="00414367">
        <w:rPr>
          <w:rFonts w:ascii="Poppins" w:hAnsi="Poppins" w:cs="Poppins"/>
          <w:sz w:val="18"/>
          <w:szCs w:val="18"/>
        </w:rPr>
        <w:t xml:space="preserve"> moviliza cerca de 700 mil bpd de crudo y además exportó casi 33 millones de toneladas de productos petroleros el año pasado.</w:t>
      </w:r>
    </w:p>
    <w:p w14:paraId="0A38E809" w14:textId="77777777" w:rsidR="00D13ED3" w:rsidRPr="00414367" w:rsidRDefault="00D13ED3" w:rsidP="00D13ED3">
      <w:pPr>
        <w:shd w:val="clear" w:color="auto" w:fill="FFFFFF"/>
        <w:ind w:left="425"/>
        <w:jc w:val="both"/>
        <w:rPr>
          <w:rFonts w:ascii="Poppins" w:hAnsi="Poppins" w:cs="Poppins"/>
          <w:sz w:val="18"/>
          <w:szCs w:val="18"/>
        </w:rPr>
      </w:pPr>
    </w:p>
    <w:p w14:paraId="442A59FE" w14:textId="77777777" w:rsidR="00D13ED3" w:rsidRPr="00414367" w:rsidRDefault="00D13ED3" w:rsidP="00D13ED3">
      <w:pPr>
        <w:shd w:val="clear" w:color="auto" w:fill="FFFFFF"/>
        <w:ind w:left="425"/>
        <w:jc w:val="both"/>
        <w:rPr>
          <w:rFonts w:ascii="Poppins" w:hAnsi="Poppins" w:cs="Poppins"/>
          <w:sz w:val="18"/>
          <w:szCs w:val="18"/>
        </w:rPr>
      </w:pPr>
      <w:r w:rsidRPr="00414367">
        <w:rPr>
          <w:rFonts w:ascii="Poppins" w:hAnsi="Poppins" w:cs="Poppins"/>
          <w:sz w:val="18"/>
          <w:szCs w:val="18"/>
        </w:rPr>
        <w:lastRenderedPageBreak/>
        <w:t xml:space="preserve">El impacto no quedó solo en los ataques iniciales. Reuters informó que los productores rusos llegaron a advertir a compradores internacionales sobre una posible fuerza mayor, mientras </w:t>
      </w:r>
      <w:proofErr w:type="spellStart"/>
      <w:r w:rsidRPr="00414367">
        <w:rPr>
          <w:rFonts w:ascii="Poppins" w:hAnsi="Poppins" w:cs="Poppins"/>
          <w:sz w:val="18"/>
          <w:szCs w:val="18"/>
        </w:rPr>
        <w:t>Transneft</w:t>
      </w:r>
      <w:proofErr w:type="spellEnd"/>
      <w:r w:rsidRPr="00414367">
        <w:rPr>
          <w:rFonts w:ascii="Poppins" w:hAnsi="Poppins" w:cs="Poppins"/>
          <w:sz w:val="18"/>
          <w:szCs w:val="18"/>
        </w:rPr>
        <w:t xml:space="preserve"> buscaba redirigir flujos afectados y Finlandia reportaba que, una semana después de iniciados los ataques, ambos puertos seguían prácticamente paralizados, con apenas unos pocos tanqueros saliendo frente a un tráfico normal de 40 a 50 buques por semana. Así, más que un incidente puntual, los ataques son una señal de vulnerabilidad estructural de la infraestructura exportadora rusa, con capacidad de reducir ingresos petroleros y encarecer fletes.</w:t>
      </w:r>
    </w:p>
    <w:p w14:paraId="27CB2C02" w14:textId="77777777" w:rsidR="00D13ED3" w:rsidRPr="008E11B4" w:rsidRDefault="00D13ED3" w:rsidP="00D13ED3">
      <w:pPr>
        <w:shd w:val="clear" w:color="auto" w:fill="FFFFFF"/>
        <w:ind w:left="425"/>
        <w:jc w:val="both"/>
        <w:rPr>
          <w:rFonts w:ascii="Poppins" w:hAnsi="Poppins" w:cs="Poppins"/>
          <w:sz w:val="18"/>
          <w:szCs w:val="18"/>
          <w:highlight w:val="yellow"/>
        </w:rPr>
      </w:pPr>
    </w:p>
    <w:p w14:paraId="38640E30" w14:textId="77777777" w:rsidR="00D13ED3" w:rsidRPr="009118AE" w:rsidRDefault="00D13ED3" w:rsidP="00D13ED3">
      <w:pPr>
        <w:pStyle w:val="Prrafodelista"/>
        <w:numPr>
          <w:ilvl w:val="0"/>
          <w:numId w:val="30"/>
        </w:numPr>
        <w:ind w:left="425"/>
        <w:contextualSpacing/>
        <w:jc w:val="both"/>
        <w:rPr>
          <w:rFonts w:ascii="Poppins" w:hAnsi="Poppins" w:cs="Poppins"/>
          <w:b/>
          <w:sz w:val="18"/>
          <w:szCs w:val="18"/>
        </w:rPr>
      </w:pPr>
      <w:r w:rsidRPr="009118AE">
        <w:rPr>
          <w:rFonts w:ascii="Poppins" w:hAnsi="Poppins" w:cs="Poppins"/>
          <w:b/>
          <w:sz w:val="18"/>
          <w:szCs w:val="18"/>
        </w:rPr>
        <w:t>La AIE y EE.UU. activan medidas de alivio para contener el shock petrolero</w:t>
      </w:r>
    </w:p>
    <w:p w14:paraId="71810986" w14:textId="77777777" w:rsidR="00D13ED3" w:rsidRPr="009118AE" w:rsidRDefault="00D13ED3" w:rsidP="00D13ED3">
      <w:pPr>
        <w:shd w:val="clear" w:color="auto" w:fill="FFFFFF"/>
        <w:ind w:left="425"/>
        <w:jc w:val="both"/>
        <w:rPr>
          <w:rFonts w:ascii="Poppins" w:hAnsi="Poppins" w:cs="Poppins"/>
          <w:sz w:val="18"/>
          <w:szCs w:val="18"/>
        </w:rPr>
      </w:pPr>
    </w:p>
    <w:p w14:paraId="7E573B75" w14:textId="77777777" w:rsidR="00D13ED3" w:rsidRPr="009118AE" w:rsidRDefault="00D13ED3" w:rsidP="00D13ED3">
      <w:pPr>
        <w:shd w:val="clear" w:color="auto" w:fill="FFFFFF"/>
        <w:ind w:left="425"/>
        <w:jc w:val="both"/>
        <w:rPr>
          <w:rFonts w:ascii="Poppins" w:hAnsi="Poppins" w:cs="Poppins"/>
          <w:sz w:val="18"/>
          <w:szCs w:val="18"/>
        </w:rPr>
      </w:pPr>
      <w:r w:rsidRPr="009118AE">
        <w:rPr>
          <w:rFonts w:ascii="Poppins" w:hAnsi="Poppins" w:cs="Poppins"/>
          <w:sz w:val="18"/>
          <w:szCs w:val="18"/>
        </w:rPr>
        <w:t>Frente a la disrupción provocada por el cierre de Ormuz, los principales consumidores activaron medidas extraordinarias para moderar la escalada del crudo y contener su impacto inflacionario. La AIE (Agencia Internacional de Energía) coordinó la mayor liberación de reservas estratégicas de su historia, con unos 400 millones de barriles, equivalentes a cerca de 20% de sus inventarios, mientras EE.UU. comprometió alrededor de 172 millones y Japón unos 80 millones de barriles. Sin embargo, la agencia Reuters señaló que esa liberación solo cubría cerca de 20 días de la oferta perdida y que su llegada al mercado tomaría semanas o meses.</w:t>
      </w:r>
    </w:p>
    <w:p w14:paraId="7390F95A" w14:textId="77777777" w:rsidR="00D13ED3" w:rsidRPr="009118AE" w:rsidRDefault="00D13ED3" w:rsidP="00D13ED3">
      <w:pPr>
        <w:shd w:val="clear" w:color="auto" w:fill="FFFFFF"/>
        <w:ind w:left="425"/>
        <w:jc w:val="both"/>
        <w:rPr>
          <w:rFonts w:ascii="Poppins" w:hAnsi="Poppins" w:cs="Poppins"/>
          <w:sz w:val="18"/>
          <w:szCs w:val="18"/>
        </w:rPr>
      </w:pPr>
    </w:p>
    <w:p w14:paraId="1BBAE9A8" w14:textId="77777777" w:rsidR="00D13ED3" w:rsidRPr="009118AE" w:rsidRDefault="00D13ED3" w:rsidP="00D13ED3">
      <w:pPr>
        <w:shd w:val="clear" w:color="auto" w:fill="FFFFFF"/>
        <w:ind w:left="425"/>
        <w:jc w:val="both"/>
        <w:rPr>
          <w:rFonts w:ascii="Poppins" w:hAnsi="Poppins" w:cs="Poppins"/>
          <w:sz w:val="18"/>
          <w:szCs w:val="18"/>
        </w:rPr>
      </w:pPr>
      <w:r w:rsidRPr="009118AE">
        <w:rPr>
          <w:rFonts w:ascii="Poppins" w:hAnsi="Poppins" w:cs="Poppins"/>
          <w:sz w:val="18"/>
          <w:szCs w:val="18"/>
        </w:rPr>
        <w:t xml:space="preserve">A esta respuesta se sumaron medidas adicionales de corto plazo por parte del gobierno estadounidense. Es así como el 18 de marzo, EE.UU. aprobó una exención de 60 días de la Jones </w:t>
      </w:r>
      <w:proofErr w:type="spellStart"/>
      <w:r w:rsidRPr="009118AE">
        <w:rPr>
          <w:rFonts w:ascii="Poppins" w:hAnsi="Poppins" w:cs="Poppins"/>
          <w:sz w:val="18"/>
          <w:szCs w:val="18"/>
        </w:rPr>
        <w:t>Act</w:t>
      </w:r>
      <w:proofErr w:type="spellEnd"/>
      <w:r w:rsidRPr="009118AE">
        <w:rPr>
          <w:rFonts w:ascii="Poppins" w:hAnsi="Poppins" w:cs="Poppins"/>
          <w:sz w:val="18"/>
          <w:szCs w:val="18"/>
        </w:rPr>
        <w:t xml:space="preserve"> (Ley de cabotaje de EE.UU.), permitiendo que buques de bandera extranjera transporten combustible y fertilizantes entre puertos estadounidenses, y además flexibilizó temporalmente las restricciones sobre la gasolina para aliviar tensiones domésticas de abastecimiento. El 20 de marzo, la administración Trump autorizó por 30 días la venta de petróleo iraní ya cargado en el mar, una medida que podía facilitar la entrada de volúmenes adicionales al mercado internacional (140 millones de barriles).</w:t>
      </w:r>
    </w:p>
    <w:p w14:paraId="6CA2A486" w14:textId="77777777" w:rsidR="00D13ED3" w:rsidRPr="009118AE" w:rsidRDefault="00D13ED3" w:rsidP="00D13ED3">
      <w:pPr>
        <w:shd w:val="clear" w:color="auto" w:fill="FFFFFF"/>
        <w:ind w:left="425"/>
        <w:jc w:val="both"/>
        <w:rPr>
          <w:rFonts w:ascii="Poppins" w:hAnsi="Poppins" w:cs="Poppins"/>
          <w:sz w:val="18"/>
          <w:szCs w:val="18"/>
        </w:rPr>
      </w:pPr>
    </w:p>
    <w:p w14:paraId="368EA85C" w14:textId="77777777" w:rsidR="00D13ED3" w:rsidRDefault="00D13ED3" w:rsidP="00D13ED3">
      <w:pPr>
        <w:shd w:val="clear" w:color="auto" w:fill="FFFFFF"/>
        <w:ind w:left="425"/>
        <w:jc w:val="both"/>
        <w:rPr>
          <w:rFonts w:ascii="Poppins" w:hAnsi="Poppins" w:cs="Poppins"/>
          <w:sz w:val="18"/>
          <w:szCs w:val="18"/>
        </w:rPr>
      </w:pPr>
      <w:r w:rsidRPr="009118AE">
        <w:rPr>
          <w:rFonts w:ascii="Poppins" w:hAnsi="Poppins" w:cs="Poppins"/>
          <w:sz w:val="18"/>
          <w:szCs w:val="18"/>
        </w:rPr>
        <w:t xml:space="preserve">En la última semana, la respuesta dejó de ser solo operativa y pasó también a un plano de coordinación política más amplia. El G7 afirmó que está dispuesto a tomar </w:t>
      </w:r>
      <w:r w:rsidRPr="009118AE">
        <w:rPr>
          <w:rFonts w:ascii="Poppins" w:hAnsi="Poppins" w:cs="Poppins"/>
          <w:i/>
          <w:iCs/>
          <w:sz w:val="18"/>
          <w:szCs w:val="18"/>
        </w:rPr>
        <w:t>“todas las medidas necesarias”</w:t>
      </w:r>
      <w:r w:rsidRPr="009118AE">
        <w:rPr>
          <w:rFonts w:ascii="Poppins" w:hAnsi="Poppins" w:cs="Poppins"/>
          <w:sz w:val="18"/>
          <w:szCs w:val="18"/>
        </w:rPr>
        <w:t xml:space="preserve"> para estabilizar los mercados energéticos, respaldó la liberación récord de reservas y pidió evitar restricciones injustificadas a las exportaciones de hidrocarburos. En conjunto, estas medidas actuaron como un freno bajista parcial y ayudaron a moderar episodios de tensión extrema, pero sin revertir un mercado todavía dominado por la pérdida de oferta en Medio Oriente.</w:t>
      </w:r>
    </w:p>
    <w:p w14:paraId="19DD98AE" w14:textId="77777777" w:rsidR="00D13ED3" w:rsidRPr="00E47B86" w:rsidRDefault="00D13ED3" w:rsidP="00D13ED3">
      <w:pPr>
        <w:shd w:val="clear" w:color="auto" w:fill="FFFFFF"/>
        <w:ind w:left="425"/>
        <w:jc w:val="both"/>
        <w:rPr>
          <w:rFonts w:ascii="Poppins" w:hAnsi="Poppins" w:cs="Poppins"/>
          <w:sz w:val="18"/>
          <w:szCs w:val="18"/>
        </w:rPr>
      </w:pPr>
    </w:p>
    <w:p w14:paraId="65371B15" w14:textId="77777777" w:rsidR="00D13ED3" w:rsidRPr="00923E6B" w:rsidRDefault="00D13ED3" w:rsidP="00D13ED3">
      <w:pPr>
        <w:pStyle w:val="Prrafodelista"/>
        <w:numPr>
          <w:ilvl w:val="0"/>
          <w:numId w:val="30"/>
        </w:numPr>
        <w:ind w:left="425"/>
        <w:contextualSpacing/>
        <w:jc w:val="both"/>
        <w:rPr>
          <w:rFonts w:ascii="Poppins" w:hAnsi="Poppins" w:cs="Poppins"/>
          <w:b/>
          <w:sz w:val="18"/>
          <w:szCs w:val="18"/>
        </w:rPr>
      </w:pPr>
      <w:r w:rsidRPr="00923E6B">
        <w:rPr>
          <w:rFonts w:ascii="Poppins" w:hAnsi="Poppins" w:cs="Poppins"/>
          <w:b/>
          <w:sz w:val="18"/>
          <w:szCs w:val="18"/>
        </w:rPr>
        <w:t>China y Corea del Sur restringieron exportaciones de combustibles y ajustaron aún más el mercado asiático de refinados</w:t>
      </w:r>
    </w:p>
    <w:p w14:paraId="0E16E699" w14:textId="77777777" w:rsidR="00D13ED3" w:rsidRPr="00923E6B" w:rsidRDefault="00D13ED3" w:rsidP="00D13ED3">
      <w:pPr>
        <w:shd w:val="clear" w:color="auto" w:fill="FFFFFF"/>
        <w:ind w:left="425"/>
        <w:jc w:val="both"/>
        <w:rPr>
          <w:rFonts w:ascii="Poppins" w:hAnsi="Poppins" w:cs="Poppins"/>
          <w:sz w:val="18"/>
          <w:szCs w:val="18"/>
        </w:rPr>
      </w:pPr>
    </w:p>
    <w:p w14:paraId="1F9939A0" w14:textId="77777777" w:rsidR="00D13ED3" w:rsidRPr="00923E6B" w:rsidRDefault="00D13ED3" w:rsidP="00D13ED3">
      <w:pPr>
        <w:shd w:val="clear" w:color="auto" w:fill="FFFFFF"/>
        <w:ind w:left="425"/>
        <w:jc w:val="both"/>
        <w:rPr>
          <w:rFonts w:ascii="Poppins" w:hAnsi="Poppins" w:cs="Poppins"/>
          <w:sz w:val="18"/>
          <w:szCs w:val="18"/>
        </w:rPr>
      </w:pPr>
      <w:r w:rsidRPr="00923E6B">
        <w:rPr>
          <w:rFonts w:ascii="Poppins" w:hAnsi="Poppins" w:cs="Poppins"/>
          <w:sz w:val="18"/>
          <w:szCs w:val="18"/>
        </w:rPr>
        <w:t xml:space="preserve">China endureció su respuesta al shock energético regional al ordenar, desde el 12 de marzo, la suspensión de las exportaciones de gasolina, diésel y jet fuel que no hubieran pasado aduanas al 11 de marzo. Reuters señaló que la medida fue más severa de lo esperado, porque fue más allá de frenar nuevos contratos y alcanzó cargamentos ya comprometidos; solo quedaron fuera del veto el jet para abastecimiento de vuelos internacionales y algunos suministros destinados al abastecimiento de combustible para buques. Además, el mercado asumía que la restricción se extendería a abril, aunque con exenciones pequeñas </w:t>
      </w:r>
      <w:r w:rsidRPr="00923E6B">
        <w:rPr>
          <w:rFonts w:ascii="Poppins" w:hAnsi="Poppins" w:cs="Poppins"/>
          <w:sz w:val="18"/>
          <w:szCs w:val="18"/>
        </w:rPr>
        <w:lastRenderedPageBreak/>
        <w:t>de apenas 150 a 300 mil toneladas para algunos destinos asiáticos, confirmando que China priorizó su seguridad de abastecimiento por encima del mercado exportador.</w:t>
      </w:r>
    </w:p>
    <w:p w14:paraId="544471E3" w14:textId="77777777" w:rsidR="00D13ED3" w:rsidRPr="00923E6B" w:rsidRDefault="00D13ED3" w:rsidP="00D13ED3">
      <w:pPr>
        <w:shd w:val="clear" w:color="auto" w:fill="FFFFFF"/>
        <w:ind w:left="425"/>
        <w:jc w:val="both"/>
        <w:rPr>
          <w:rFonts w:ascii="Poppins" w:hAnsi="Poppins" w:cs="Poppins"/>
          <w:sz w:val="18"/>
          <w:szCs w:val="18"/>
        </w:rPr>
      </w:pPr>
    </w:p>
    <w:p w14:paraId="60D1E53C" w14:textId="77777777" w:rsidR="00D13ED3" w:rsidRPr="00923E6B" w:rsidRDefault="00D13ED3" w:rsidP="00D13ED3">
      <w:pPr>
        <w:shd w:val="clear" w:color="auto" w:fill="FFFFFF"/>
        <w:ind w:left="425"/>
        <w:jc w:val="both"/>
        <w:rPr>
          <w:rFonts w:ascii="Poppins" w:hAnsi="Poppins" w:cs="Poppins"/>
          <w:sz w:val="18"/>
          <w:szCs w:val="18"/>
        </w:rPr>
      </w:pPr>
      <w:r w:rsidRPr="00923E6B">
        <w:rPr>
          <w:rFonts w:ascii="Poppins" w:hAnsi="Poppins" w:cs="Poppins"/>
          <w:sz w:val="18"/>
          <w:szCs w:val="18"/>
        </w:rPr>
        <w:t>Corea del Sur adoptó una línea similar, aunque enfocada en la nafta, insumo crítico para su industria petroquímica. El 26 de marzo, Reuters reportó que Seúl impuso controles a las exportaciones de nafta por cinco meses, elevó topes de precios internos y amplió recortes tributarios a combustibles para contener el impacto del conflicto con Irán; la decisión respondió a la fuerte dependencia surcoreana de Medio Oriente, de donde proviene cerca de 70% de su petróleo. Días después, el gobierno confirmó además compras extraordinarias de nafta rusa, como parte de su estrategia de contingencia. En conjunto, ambos países pasaron de monitorear la crisis a retener volúmenes dentro de sus fronteras.</w:t>
      </w:r>
    </w:p>
    <w:p w14:paraId="6980EC21" w14:textId="1A187639" w:rsidR="00604BC3" w:rsidRDefault="00604BC3" w:rsidP="00604BC3">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300D7287" w:rsidR="003A0D60" w:rsidRDefault="003A0D60" w:rsidP="00D87FA1">
      <w:pPr>
        <w:ind w:left="426"/>
        <w:jc w:val="both"/>
        <w:rPr>
          <w:rFonts w:ascii="Poppins" w:hAnsi="Poppins" w:cs="Poppins"/>
          <w:sz w:val="18"/>
          <w:szCs w:val="18"/>
        </w:rPr>
      </w:pPr>
    </w:p>
    <w:p w14:paraId="0EEF7B5D" w14:textId="145C5BDB" w:rsidR="00C85B7F" w:rsidRDefault="00C85B7F" w:rsidP="00D87FA1">
      <w:pPr>
        <w:ind w:left="426"/>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73A048DC" w14:textId="67181BA0" w:rsidR="00C85B7F" w:rsidRDefault="00C85B7F" w:rsidP="00D87FA1">
      <w:pPr>
        <w:ind w:left="426"/>
        <w:jc w:val="both"/>
        <w:rPr>
          <w:rFonts w:ascii="Poppins" w:hAnsi="Poppins" w:cs="Poppins"/>
          <w:sz w:val="18"/>
          <w:szCs w:val="18"/>
        </w:rPr>
      </w:pPr>
    </w:p>
    <w:p w14:paraId="22E8C522" w14:textId="56DF746E" w:rsidR="00C85B7F" w:rsidRDefault="00C85B7F" w:rsidP="00D87FA1">
      <w:pPr>
        <w:ind w:left="426"/>
        <w:jc w:val="both"/>
        <w:rPr>
          <w:rFonts w:ascii="Poppins" w:hAnsi="Poppins" w:cs="Poppins"/>
          <w:sz w:val="18"/>
          <w:szCs w:val="18"/>
        </w:rPr>
      </w:pPr>
    </w:p>
    <w:p w14:paraId="558279F3" w14:textId="098D3EE4" w:rsidR="00C85B7F" w:rsidRDefault="00C85B7F" w:rsidP="00D87FA1">
      <w:pPr>
        <w:ind w:left="426"/>
        <w:jc w:val="both"/>
        <w:rPr>
          <w:rFonts w:ascii="Poppins" w:hAnsi="Poppins" w:cs="Poppins"/>
          <w:sz w:val="18"/>
          <w:szCs w:val="18"/>
        </w:rPr>
      </w:pPr>
    </w:p>
    <w:p w14:paraId="0AB25B9E" w14:textId="77716502" w:rsidR="00C85B7F" w:rsidRDefault="00C85B7F" w:rsidP="00D87FA1">
      <w:pPr>
        <w:ind w:left="426"/>
        <w:jc w:val="both"/>
        <w:rPr>
          <w:rFonts w:ascii="Poppins" w:hAnsi="Poppins" w:cs="Poppins"/>
          <w:sz w:val="18"/>
          <w:szCs w:val="18"/>
        </w:rPr>
      </w:pPr>
    </w:p>
    <w:p w14:paraId="543CE8CC" w14:textId="3FBBC9AE" w:rsidR="00C85B7F" w:rsidRDefault="00C85B7F" w:rsidP="00D87FA1">
      <w:pPr>
        <w:ind w:left="426"/>
        <w:jc w:val="both"/>
        <w:rPr>
          <w:rFonts w:ascii="Poppins" w:hAnsi="Poppins" w:cs="Poppins"/>
          <w:sz w:val="18"/>
          <w:szCs w:val="18"/>
        </w:rPr>
      </w:pPr>
    </w:p>
    <w:p w14:paraId="2234DD72" w14:textId="612031F5" w:rsidR="00C85B7F" w:rsidRDefault="00C85B7F" w:rsidP="00D87FA1">
      <w:pPr>
        <w:ind w:left="426"/>
        <w:jc w:val="both"/>
        <w:rPr>
          <w:rFonts w:ascii="Poppins" w:hAnsi="Poppins" w:cs="Poppins"/>
          <w:sz w:val="18"/>
          <w:szCs w:val="18"/>
        </w:rPr>
      </w:pPr>
    </w:p>
    <w:p w14:paraId="2B297226" w14:textId="700CF617" w:rsidR="00C85B7F" w:rsidRDefault="00C85B7F" w:rsidP="00D87FA1">
      <w:pPr>
        <w:ind w:left="426"/>
        <w:jc w:val="both"/>
        <w:rPr>
          <w:rFonts w:ascii="Poppins" w:hAnsi="Poppins" w:cs="Poppins"/>
          <w:sz w:val="18"/>
          <w:szCs w:val="18"/>
        </w:rPr>
      </w:pPr>
    </w:p>
    <w:p w14:paraId="3C49CBD6" w14:textId="761DB7C4" w:rsidR="00C85B7F" w:rsidRDefault="00C85B7F" w:rsidP="00D87FA1">
      <w:pPr>
        <w:ind w:left="426"/>
        <w:jc w:val="both"/>
        <w:rPr>
          <w:rFonts w:ascii="Poppins" w:hAnsi="Poppins" w:cs="Poppins"/>
          <w:sz w:val="18"/>
          <w:szCs w:val="18"/>
        </w:rPr>
      </w:pPr>
    </w:p>
    <w:p w14:paraId="6D1FD109" w14:textId="78A349C4" w:rsidR="00C85B7F" w:rsidRDefault="00C85B7F" w:rsidP="00D87FA1">
      <w:pPr>
        <w:ind w:left="426"/>
        <w:jc w:val="both"/>
        <w:rPr>
          <w:rFonts w:ascii="Poppins" w:hAnsi="Poppins" w:cs="Poppins"/>
          <w:sz w:val="18"/>
          <w:szCs w:val="18"/>
        </w:rPr>
      </w:pPr>
    </w:p>
    <w:p w14:paraId="2B51DC04" w14:textId="7E724A02" w:rsidR="00C85B7F" w:rsidRDefault="00C85B7F" w:rsidP="00D87FA1">
      <w:pPr>
        <w:ind w:left="426"/>
        <w:jc w:val="both"/>
        <w:rPr>
          <w:rFonts w:ascii="Poppins" w:hAnsi="Poppins" w:cs="Poppins"/>
          <w:sz w:val="18"/>
          <w:szCs w:val="18"/>
        </w:rPr>
      </w:pPr>
    </w:p>
    <w:p w14:paraId="018E36A7" w14:textId="47D344F6" w:rsidR="00C85B7F" w:rsidRDefault="00C85B7F" w:rsidP="00D87FA1">
      <w:pPr>
        <w:ind w:left="426"/>
        <w:jc w:val="both"/>
        <w:rPr>
          <w:rFonts w:ascii="Poppins" w:hAnsi="Poppins" w:cs="Poppins"/>
          <w:sz w:val="18"/>
          <w:szCs w:val="18"/>
        </w:rPr>
      </w:pPr>
    </w:p>
    <w:p w14:paraId="0F09763A" w14:textId="79093A60" w:rsidR="00C85B7F" w:rsidRDefault="00C85B7F" w:rsidP="00D87FA1">
      <w:pPr>
        <w:ind w:left="426"/>
        <w:jc w:val="both"/>
        <w:rPr>
          <w:rFonts w:ascii="Poppins" w:hAnsi="Poppins" w:cs="Poppins"/>
          <w:sz w:val="18"/>
          <w:szCs w:val="18"/>
        </w:rPr>
      </w:pPr>
    </w:p>
    <w:p w14:paraId="3D05A07F" w14:textId="1BEAFEAE" w:rsidR="00C85B7F" w:rsidRDefault="00C85B7F" w:rsidP="00D87FA1">
      <w:pPr>
        <w:ind w:left="426"/>
        <w:jc w:val="both"/>
        <w:rPr>
          <w:rFonts w:ascii="Poppins" w:hAnsi="Poppins" w:cs="Poppins"/>
          <w:sz w:val="18"/>
          <w:szCs w:val="18"/>
        </w:rPr>
      </w:pPr>
    </w:p>
    <w:p w14:paraId="21392B2F" w14:textId="293A78FA" w:rsidR="00C85B7F" w:rsidRDefault="00C85B7F" w:rsidP="00D87FA1">
      <w:pPr>
        <w:ind w:left="426"/>
        <w:jc w:val="both"/>
        <w:rPr>
          <w:rFonts w:ascii="Poppins" w:hAnsi="Poppins" w:cs="Poppins"/>
          <w:sz w:val="18"/>
          <w:szCs w:val="18"/>
        </w:rPr>
      </w:pPr>
    </w:p>
    <w:p w14:paraId="433FCC90" w14:textId="01977D91" w:rsidR="00C85B7F" w:rsidRDefault="00C85B7F" w:rsidP="00D87FA1">
      <w:pPr>
        <w:ind w:left="426"/>
        <w:jc w:val="both"/>
        <w:rPr>
          <w:rFonts w:ascii="Poppins" w:hAnsi="Poppins" w:cs="Poppins"/>
          <w:sz w:val="18"/>
          <w:szCs w:val="18"/>
        </w:rPr>
      </w:pPr>
    </w:p>
    <w:p w14:paraId="2BB8E191" w14:textId="6EB252DD" w:rsidR="00C85B7F" w:rsidRDefault="00C85B7F" w:rsidP="00D87FA1">
      <w:pPr>
        <w:ind w:left="426"/>
        <w:jc w:val="both"/>
        <w:rPr>
          <w:rFonts w:ascii="Poppins" w:hAnsi="Poppins" w:cs="Poppins"/>
          <w:sz w:val="18"/>
          <w:szCs w:val="18"/>
        </w:rPr>
      </w:pPr>
    </w:p>
    <w:p w14:paraId="4A21CFCC" w14:textId="0E2DAFBC" w:rsidR="00C85B7F" w:rsidRDefault="00C85B7F"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DE26A6A"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040AB">
        <w:rPr>
          <w:rFonts w:ascii="Poppins" w:hAnsi="Poppins" w:cs="Poppins"/>
          <w:sz w:val="18"/>
          <w:szCs w:val="18"/>
        </w:rPr>
        <w:t>0</w:t>
      </w:r>
      <w:r w:rsidR="008A0B48">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8A0B48">
        <w:rPr>
          <w:rFonts w:ascii="Poppins" w:hAnsi="Poppins" w:cs="Poppins"/>
          <w:sz w:val="18"/>
          <w:szCs w:val="18"/>
        </w:rPr>
        <w:t>febrero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8A0B48">
        <w:rPr>
          <w:rFonts w:ascii="Poppins" w:hAnsi="Poppins" w:cs="Poppins"/>
          <w:sz w:val="18"/>
          <w:szCs w:val="18"/>
        </w:rPr>
        <w:t>marzo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4F31B37"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655A5E">
        <w:rPr>
          <w:rFonts w:ascii="Poppins" w:hAnsi="Poppins" w:cs="Poppins"/>
          <w:sz w:val="18"/>
          <w:szCs w:val="18"/>
        </w:rPr>
        <w:t>31</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8A0B48">
        <w:rPr>
          <w:rFonts w:ascii="Poppins" w:hAnsi="Poppins" w:cs="Poppins"/>
          <w:sz w:val="18"/>
          <w:szCs w:val="18"/>
        </w:rPr>
        <w:t>marz</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55A5E">
        <w:rPr>
          <w:rFonts w:ascii="Poppins" w:hAnsi="Poppins" w:cs="Poppins"/>
          <w:sz w:val="18"/>
          <w:szCs w:val="18"/>
        </w:rPr>
        <w:t>lunes</w:t>
      </w:r>
      <w:r w:rsidR="00E059C7">
        <w:rPr>
          <w:rFonts w:ascii="Poppins" w:hAnsi="Poppins" w:cs="Poppins"/>
          <w:sz w:val="18"/>
          <w:szCs w:val="18"/>
        </w:rPr>
        <w:t xml:space="preserve"> </w:t>
      </w:r>
      <w:r w:rsidR="00626502">
        <w:rPr>
          <w:rFonts w:ascii="Poppins" w:hAnsi="Poppins" w:cs="Poppins"/>
          <w:sz w:val="18"/>
          <w:szCs w:val="18"/>
        </w:rPr>
        <w:t>6</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55A5E">
        <w:rPr>
          <w:rFonts w:ascii="Poppins" w:hAnsi="Poppins" w:cs="Poppins"/>
          <w:sz w:val="18"/>
          <w:szCs w:val="18"/>
        </w:rPr>
        <w:t>abril</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54E9E18"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655A5E">
        <w:rPr>
          <w:rFonts w:ascii="Poppins" w:hAnsi="Poppins" w:cs="Poppins"/>
          <w:sz w:val="18"/>
          <w:szCs w:val="18"/>
        </w:rPr>
        <w:t>31</w:t>
      </w:r>
      <w:r w:rsidRPr="00A01E92">
        <w:rPr>
          <w:rFonts w:ascii="Poppins" w:hAnsi="Poppins" w:cs="Poppins"/>
          <w:sz w:val="18"/>
          <w:szCs w:val="18"/>
        </w:rPr>
        <w:t>.</w:t>
      </w:r>
      <w:r w:rsidR="005151B0">
        <w:rPr>
          <w:rFonts w:ascii="Poppins" w:hAnsi="Poppins" w:cs="Poppins"/>
          <w:sz w:val="18"/>
          <w:szCs w:val="18"/>
        </w:rPr>
        <w:t>0</w:t>
      </w:r>
      <w:r w:rsidR="00845353">
        <w:rPr>
          <w:rFonts w:ascii="Poppins" w:hAnsi="Poppins" w:cs="Poppins"/>
          <w:sz w:val="18"/>
          <w:szCs w:val="18"/>
        </w:rPr>
        <w:t>3</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460518">
        <w:rPr>
          <w:rFonts w:ascii="Poppins" w:hAnsi="Poppins" w:cs="Poppins"/>
          <w:sz w:val="18"/>
          <w:szCs w:val="18"/>
        </w:rPr>
        <w:t>,</w:t>
      </w:r>
      <w:r w:rsidR="00655A5E">
        <w:rPr>
          <w:rFonts w:ascii="Poppins" w:hAnsi="Poppins" w:cs="Poppins"/>
          <w:sz w:val="18"/>
          <w:szCs w:val="18"/>
        </w:rPr>
        <w:t>3</w:t>
      </w:r>
      <w:r w:rsidR="00C85B7F">
        <w:rPr>
          <w:rFonts w:ascii="Poppins" w:hAnsi="Poppins" w:cs="Poppins"/>
          <w:sz w:val="18"/>
          <w:szCs w:val="18"/>
        </w:rPr>
        <w:t>1</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655A5E">
        <w:rPr>
          <w:rFonts w:ascii="Poppins" w:hAnsi="Poppins" w:cs="Poppins"/>
          <w:sz w:val="18"/>
          <w:szCs w:val="18"/>
        </w:rPr>
        <w:t>0</w:t>
      </w:r>
      <w:r w:rsidR="00465772" w:rsidRPr="00A01E92">
        <w:rPr>
          <w:rFonts w:ascii="Poppins" w:hAnsi="Poppins" w:cs="Poppins"/>
          <w:sz w:val="18"/>
          <w:szCs w:val="18"/>
        </w:rPr>
        <w:t>,</w:t>
      </w:r>
      <w:r w:rsidR="00655A5E">
        <w:rPr>
          <w:rFonts w:ascii="Poppins" w:hAnsi="Poppins" w:cs="Poppins"/>
          <w:sz w:val="18"/>
          <w:szCs w:val="18"/>
        </w:rPr>
        <w:t>6</w:t>
      </w:r>
      <w:r w:rsidR="00640D73">
        <w:rPr>
          <w:rFonts w:ascii="Poppins" w:hAnsi="Poppins" w:cs="Poppins"/>
          <w:sz w:val="18"/>
          <w:szCs w:val="18"/>
        </w:rPr>
        <w:t xml:space="preserve">1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845353" w:rsidRPr="00A01E92">
        <w:rPr>
          <w:rFonts w:ascii="Poppins" w:hAnsi="Poppins" w:cs="Poppins"/>
          <w:sz w:val="18"/>
          <w:szCs w:val="18"/>
        </w:rPr>
        <w:t>,</w:t>
      </w:r>
      <w:r w:rsidR="00655A5E">
        <w:rPr>
          <w:rFonts w:ascii="Poppins" w:hAnsi="Poppins" w:cs="Poppins"/>
          <w:sz w:val="18"/>
          <w:szCs w:val="18"/>
        </w:rPr>
        <w:t>30</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460518">
        <w:rPr>
          <w:rFonts w:ascii="Poppins" w:hAnsi="Poppins" w:cs="Poppins"/>
          <w:sz w:val="18"/>
          <w:szCs w:val="18"/>
        </w:rPr>
        <w:t>+</w:t>
      </w:r>
      <w:r w:rsidR="00655A5E">
        <w:rPr>
          <w:rFonts w:ascii="Poppins" w:hAnsi="Poppins" w:cs="Poppins"/>
          <w:sz w:val="18"/>
          <w:szCs w:val="18"/>
        </w:rPr>
        <w:t>0</w:t>
      </w:r>
      <w:r w:rsidR="00626502">
        <w:rPr>
          <w:rFonts w:ascii="Poppins" w:hAnsi="Poppins" w:cs="Poppins"/>
          <w:sz w:val="18"/>
          <w:szCs w:val="18"/>
        </w:rPr>
        <w:t>,</w:t>
      </w:r>
      <w:r w:rsidR="00655A5E">
        <w:rPr>
          <w:rFonts w:ascii="Poppins" w:hAnsi="Poppins" w:cs="Poppins"/>
          <w:sz w:val="18"/>
          <w:szCs w:val="18"/>
        </w:rPr>
        <w:t>58</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655A5E">
        <w:rPr>
          <w:rFonts w:ascii="Poppins" w:hAnsi="Poppins" w:cs="Poppins"/>
          <w:sz w:val="18"/>
          <w:szCs w:val="18"/>
        </w:rPr>
        <w:t>-0</w:t>
      </w:r>
      <w:r w:rsidR="00B66A52" w:rsidRPr="00A01E92">
        <w:rPr>
          <w:rFonts w:ascii="Poppins" w:hAnsi="Poppins" w:cs="Poppins"/>
          <w:sz w:val="18"/>
          <w:szCs w:val="18"/>
        </w:rPr>
        <w:t>,</w:t>
      </w:r>
      <w:r w:rsidR="00655A5E">
        <w:rPr>
          <w:rFonts w:ascii="Poppins" w:hAnsi="Poppins" w:cs="Poppins"/>
          <w:sz w:val="18"/>
          <w:szCs w:val="18"/>
        </w:rPr>
        <w:t>0</w:t>
      </w:r>
      <w:r w:rsidR="00626502">
        <w:rPr>
          <w:rFonts w:ascii="Poppins" w:hAnsi="Poppins" w:cs="Poppins"/>
          <w:sz w:val="18"/>
          <w:szCs w:val="18"/>
        </w:rPr>
        <w:t>2</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655A5E">
        <w:rPr>
          <w:rFonts w:ascii="Poppins" w:hAnsi="Poppins" w:cs="Poppins"/>
          <w:sz w:val="18"/>
          <w:szCs w:val="18"/>
        </w:rPr>
        <w:t xml:space="preserve"> y</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655A5E">
        <w:rPr>
          <w:rFonts w:ascii="Poppins" w:hAnsi="Poppins" w:cs="Poppins"/>
          <w:sz w:val="18"/>
          <w:szCs w:val="18"/>
        </w:rPr>
        <w:t>-0</w:t>
      </w:r>
      <w:r w:rsidR="00B66A52" w:rsidRPr="00A01E92">
        <w:rPr>
          <w:rFonts w:ascii="Poppins" w:hAnsi="Poppins" w:cs="Poppins"/>
          <w:sz w:val="18"/>
          <w:szCs w:val="18"/>
        </w:rPr>
        <w:t>,</w:t>
      </w:r>
      <w:r w:rsidR="00655A5E">
        <w:rPr>
          <w:rFonts w:ascii="Poppins" w:hAnsi="Poppins" w:cs="Poppins"/>
          <w:sz w:val="18"/>
          <w:szCs w:val="18"/>
        </w:rPr>
        <w:t>0</w:t>
      </w:r>
      <w:r w:rsidR="00626502">
        <w:rPr>
          <w:rFonts w:ascii="Poppins" w:hAnsi="Poppins" w:cs="Poppins"/>
          <w:sz w:val="18"/>
          <w:szCs w:val="18"/>
        </w:rPr>
        <w:t>2</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655A5E">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C5AE5F7"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55A5E">
        <w:rPr>
          <w:rFonts w:ascii="Poppins" w:hAnsi="Poppins" w:cs="Poppins"/>
          <w:sz w:val="18"/>
          <w:szCs w:val="18"/>
        </w:rPr>
        <w:t>16</w:t>
      </w:r>
      <w:r w:rsidR="00E7305B">
        <w:rPr>
          <w:rFonts w:ascii="Poppins" w:hAnsi="Poppins" w:cs="Poppins"/>
          <w:sz w:val="18"/>
          <w:szCs w:val="18"/>
        </w:rPr>
        <w:t>/</w:t>
      </w:r>
      <w:r w:rsidR="006B489A">
        <w:rPr>
          <w:rFonts w:ascii="Poppins" w:hAnsi="Poppins" w:cs="Poppins"/>
          <w:sz w:val="18"/>
          <w:szCs w:val="18"/>
        </w:rPr>
        <w:t>0</w:t>
      </w:r>
      <w:r w:rsidR="00640D73">
        <w:rPr>
          <w:rFonts w:ascii="Poppins" w:hAnsi="Poppins" w:cs="Poppins"/>
          <w:sz w:val="18"/>
          <w:szCs w:val="18"/>
        </w:rPr>
        <w:t>3</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C85B7F">
        <w:rPr>
          <w:rFonts w:ascii="Poppins" w:hAnsi="Poppins" w:cs="Poppins"/>
          <w:sz w:val="18"/>
          <w:szCs w:val="18"/>
        </w:rPr>
        <w:t>2</w:t>
      </w:r>
      <w:r w:rsidR="00655A5E">
        <w:rPr>
          <w:rFonts w:ascii="Poppins" w:hAnsi="Poppins" w:cs="Poppins"/>
          <w:sz w:val="18"/>
          <w:szCs w:val="18"/>
        </w:rPr>
        <w:t>7</w:t>
      </w:r>
      <w:r w:rsidR="00336251" w:rsidRPr="0096213B">
        <w:rPr>
          <w:rFonts w:ascii="Poppins" w:hAnsi="Poppins" w:cs="Poppins"/>
          <w:sz w:val="18"/>
          <w:szCs w:val="18"/>
        </w:rPr>
        <w:t>/</w:t>
      </w:r>
      <w:r w:rsidR="005151B0">
        <w:rPr>
          <w:rFonts w:ascii="Poppins" w:hAnsi="Poppins" w:cs="Poppins"/>
          <w:sz w:val="18"/>
          <w:szCs w:val="18"/>
        </w:rPr>
        <w:t>0</w:t>
      </w:r>
      <w:r w:rsidR="00497CEA">
        <w:rPr>
          <w:rFonts w:ascii="Poppins" w:hAnsi="Poppins" w:cs="Poppins"/>
          <w:sz w:val="18"/>
          <w:szCs w:val="18"/>
        </w:rPr>
        <w:t>3</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9EA8654"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85B7F">
        <w:rPr>
          <w:rFonts w:ascii="Poppins" w:hAnsi="Poppins" w:cs="Poppins"/>
          <w:b/>
          <w:bCs/>
          <w:i/>
          <w:sz w:val="18"/>
          <w:szCs w:val="18"/>
          <w:lang w:eastAsia="es-PE"/>
        </w:rPr>
        <w:t>3</w:t>
      </w:r>
      <w:r w:rsidR="00655A5E">
        <w:rPr>
          <w:rFonts w:ascii="Poppins" w:hAnsi="Poppins" w:cs="Poppins"/>
          <w:b/>
          <w:bCs/>
          <w:i/>
          <w:sz w:val="18"/>
          <w:szCs w:val="18"/>
          <w:lang w:eastAsia="es-PE"/>
        </w:rPr>
        <w:t>0</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A0B48">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7C2698A3" w:rsidR="00A86191" w:rsidRPr="0096213B" w:rsidRDefault="00123B9E"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FEADBF8" wp14:editId="1F0A1D1D">
            <wp:extent cx="5471973" cy="3095969"/>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10524" cy="311778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4658520"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0222E7">
        <w:rPr>
          <w:rFonts w:ascii="Poppins" w:hAnsi="Poppins" w:cs="Poppins"/>
          <w:sz w:val="18"/>
          <w:szCs w:val="18"/>
        </w:rPr>
        <w:t>9</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D1505">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0222E7">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CC0234">
        <w:rPr>
          <w:rFonts w:ascii="Poppins" w:hAnsi="Poppins" w:cs="Poppins"/>
          <w:sz w:val="18"/>
          <w:szCs w:val="18"/>
        </w:rPr>
        <w:t>8</w:t>
      </w:r>
      <w:r w:rsidR="007D1505">
        <w:rPr>
          <w:rFonts w:ascii="Poppins" w:hAnsi="Poppins" w:cs="Poppins"/>
          <w:sz w:val="18"/>
          <w:szCs w:val="18"/>
        </w:rPr>
        <w:t>2</w:t>
      </w:r>
      <w:r w:rsidR="00282C40">
        <w:rPr>
          <w:rFonts w:ascii="Poppins" w:hAnsi="Poppins" w:cs="Poppins"/>
          <w:sz w:val="18"/>
          <w:szCs w:val="18"/>
        </w:rPr>
        <w:t xml:space="preserve">% </w:t>
      </w:r>
      <w:r w:rsidR="007D1505">
        <w:rPr>
          <w:rFonts w:ascii="Poppins" w:hAnsi="Poppins" w:cs="Poppins"/>
          <w:sz w:val="18"/>
          <w:szCs w:val="18"/>
        </w:rPr>
        <w:t xml:space="preserve">y 81%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7D1505">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0136C18B"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3E521A">
        <w:rPr>
          <w:rFonts w:ascii="Poppins" w:hAnsi="Poppins" w:cs="Poppins"/>
          <w:sz w:val="18"/>
          <w:szCs w:val="18"/>
        </w:rPr>
        <w:t>3</w:t>
      </w:r>
      <w:r w:rsidR="007D1505">
        <w:rPr>
          <w:rFonts w:ascii="Poppins" w:hAnsi="Poppins" w:cs="Poppins"/>
          <w:sz w:val="18"/>
          <w:szCs w:val="18"/>
        </w:rPr>
        <w:t>0</w:t>
      </w:r>
      <w:r w:rsidR="00F07057">
        <w:rPr>
          <w:rFonts w:ascii="Poppins" w:hAnsi="Poppins" w:cs="Poppins"/>
          <w:sz w:val="18"/>
          <w:szCs w:val="18"/>
        </w:rPr>
        <w:t xml:space="preserve"> </w:t>
      </w:r>
      <w:r w:rsidRPr="0096213B">
        <w:rPr>
          <w:rFonts w:ascii="Poppins" w:hAnsi="Poppins" w:cs="Poppins"/>
          <w:sz w:val="18"/>
          <w:szCs w:val="18"/>
        </w:rPr>
        <w:t xml:space="preserve">de </w:t>
      </w:r>
      <w:r w:rsidR="008A0B48">
        <w:rPr>
          <w:rFonts w:ascii="Poppins" w:hAnsi="Poppins" w:cs="Poppins"/>
          <w:sz w:val="18"/>
          <w:szCs w:val="18"/>
        </w:rPr>
        <w:t>marz</w:t>
      </w:r>
      <w:r w:rsidR="00EF32FA">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BA1299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227FD3">
        <w:rPr>
          <w:rFonts w:ascii="Poppins" w:hAnsi="Poppins" w:cs="Poppins"/>
          <w:sz w:val="18"/>
          <w:szCs w:val="18"/>
        </w:rPr>
        <w:t>3</w:t>
      </w:r>
      <w:r w:rsidR="007D1505">
        <w:rPr>
          <w:rFonts w:ascii="Poppins" w:hAnsi="Poppins" w:cs="Poppins"/>
          <w:sz w:val="18"/>
          <w:szCs w:val="18"/>
        </w:rPr>
        <w:t>0</w:t>
      </w:r>
      <w:r w:rsidR="00A33C99" w:rsidRPr="0096213B">
        <w:rPr>
          <w:rFonts w:ascii="Poppins" w:hAnsi="Poppins" w:cs="Poppins"/>
          <w:sz w:val="18"/>
          <w:szCs w:val="18"/>
        </w:rPr>
        <w:t>,</w:t>
      </w:r>
      <w:r w:rsidR="007D1505">
        <w:rPr>
          <w:rFonts w:ascii="Poppins" w:hAnsi="Poppins" w:cs="Poppins"/>
          <w:sz w:val="18"/>
          <w:szCs w:val="18"/>
        </w:rPr>
        <w:t>89</w:t>
      </w:r>
      <w:r w:rsidR="00A33C99" w:rsidRPr="0096213B">
        <w:rPr>
          <w:rFonts w:ascii="Poppins" w:hAnsi="Poppins" w:cs="Poppins"/>
          <w:sz w:val="18"/>
          <w:szCs w:val="18"/>
        </w:rPr>
        <w:t xml:space="preserve"> cent$/galón equivalente a </w:t>
      </w:r>
      <w:r w:rsidR="00937A88">
        <w:rPr>
          <w:rFonts w:ascii="Poppins" w:hAnsi="Poppins" w:cs="Poppins"/>
          <w:sz w:val="18"/>
          <w:szCs w:val="18"/>
        </w:rPr>
        <w:t>1</w:t>
      </w:r>
      <w:r w:rsidR="007D1505">
        <w:rPr>
          <w:rFonts w:ascii="Poppins" w:hAnsi="Poppins" w:cs="Poppins"/>
          <w:sz w:val="18"/>
          <w:szCs w:val="18"/>
        </w:rPr>
        <w:t>2</w:t>
      </w:r>
      <w:r w:rsidR="00A33C99" w:rsidRPr="0096213B">
        <w:rPr>
          <w:rFonts w:ascii="Poppins" w:hAnsi="Poppins" w:cs="Poppins"/>
          <w:sz w:val="18"/>
          <w:szCs w:val="18"/>
        </w:rPr>
        <w:t>,</w:t>
      </w:r>
      <w:r w:rsidR="007D1505">
        <w:rPr>
          <w:rFonts w:ascii="Poppins" w:hAnsi="Poppins" w:cs="Poppins"/>
          <w:sz w:val="18"/>
          <w:szCs w:val="18"/>
        </w:rPr>
        <w:t>9</w:t>
      </w:r>
      <w:r w:rsidR="00227FD3">
        <w:rPr>
          <w:rFonts w:ascii="Poppins" w:hAnsi="Poppins" w:cs="Poppins"/>
          <w:sz w:val="18"/>
          <w:szCs w:val="18"/>
        </w:rPr>
        <w:t>7</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B6F7C40"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3E21FC">
        <w:rPr>
          <w:rFonts w:ascii="Poppins" w:hAnsi="Poppins" w:cs="Poppins"/>
          <w:sz w:val="18"/>
          <w:szCs w:val="18"/>
        </w:rPr>
        <w:t>9</w:t>
      </w:r>
      <w:r w:rsidR="00E0028D">
        <w:rPr>
          <w:rFonts w:ascii="Poppins" w:hAnsi="Poppins" w:cs="Poppins"/>
          <w:sz w:val="18"/>
          <w:szCs w:val="18"/>
        </w:rPr>
        <w:t>,</w:t>
      </w:r>
      <w:r w:rsidR="007D1505">
        <w:rPr>
          <w:rFonts w:ascii="Poppins" w:hAnsi="Poppins" w:cs="Poppins"/>
          <w:sz w:val="18"/>
          <w:szCs w:val="18"/>
        </w:rPr>
        <w:t>54</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634A17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7D1505">
        <w:rPr>
          <w:rFonts w:ascii="Poppins" w:hAnsi="Poppins" w:cs="Poppins"/>
          <w:sz w:val="18"/>
          <w:szCs w:val="18"/>
        </w:rPr>
        <w:t>01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227FD3">
        <w:rPr>
          <w:rFonts w:ascii="Poppins" w:hAnsi="Poppins" w:cs="Poppins"/>
          <w:sz w:val="18"/>
          <w:szCs w:val="18"/>
        </w:rPr>
        <w:t>0</w:t>
      </w:r>
      <w:r w:rsidR="00513E2B" w:rsidRPr="0096213B">
        <w:rPr>
          <w:rFonts w:ascii="Poppins" w:hAnsi="Poppins" w:cs="Poppins"/>
          <w:sz w:val="18"/>
          <w:szCs w:val="18"/>
        </w:rPr>
        <w:t>,</w:t>
      </w:r>
      <w:r w:rsidR="00937A88">
        <w:rPr>
          <w:rFonts w:ascii="Poppins" w:hAnsi="Poppins" w:cs="Poppins"/>
          <w:sz w:val="18"/>
          <w:szCs w:val="18"/>
        </w:rPr>
        <w:t>8</w:t>
      </w:r>
      <w:r w:rsidR="007D1505">
        <w:rPr>
          <w:rFonts w:ascii="Poppins" w:hAnsi="Poppins" w:cs="Poppins"/>
          <w:sz w:val="18"/>
          <w:szCs w:val="18"/>
        </w:rPr>
        <w:t>6</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2139888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37A88">
        <w:rPr>
          <w:rFonts w:ascii="Poppins" w:hAnsi="Poppins" w:cs="Poppins"/>
          <w:sz w:val="18"/>
          <w:szCs w:val="18"/>
        </w:rPr>
        <w:t>7</w:t>
      </w:r>
      <w:r w:rsidR="007D1505">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937A88">
        <w:rPr>
          <w:rFonts w:ascii="Poppins" w:hAnsi="Poppins" w:cs="Poppins"/>
          <w:sz w:val="18"/>
          <w:szCs w:val="18"/>
        </w:rPr>
        <w:t>9</w:t>
      </w:r>
      <w:r w:rsidR="008508AE">
        <w:rPr>
          <w:rFonts w:ascii="Poppins" w:hAnsi="Poppins" w:cs="Poppins"/>
          <w:sz w:val="18"/>
          <w:szCs w:val="18"/>
        </w:rPr>
        <w:t>,</w:t>
      </w:r>
      <w:r w:rsidR="00937A88">
        <w:rPr>
          <w:rFonts w:ascii="Poppins" w:hAnsi="Poppins" w:cs="Poppins"/>
          <w:sz w:val="18"/>
          <w:szCs w:val="18"/>
        </w:rPr>
        <w:t>6</w:t>
      </w:r>
      <w:r w:rsidR="007D1505">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2520F0A"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354C69">
        <w:rPr>
          <w:rFonts w:ascii="Poppins" w:hAnsi="Poppins" w:cs="Poppins"/>
          <w:sz w:val="18"/>
          <w:szCs w:val="18"/>
        </w:rPr>
        <w:t>9</w:t>
      </w:r>
      <w:r w:rsidR="00110925">
        <w:rPr>
          <w:rFonts w:ascii="Poppins" w:hAnsi="Poppins" w:cs="Poppins"/>
          <w:sz w:val="18"/>
          <w:szCs w:val="18"/>
        </w:rPr>
        <w:t>,</w:t>
      </w:r>
      <w:r w:rsidR="007D1505">
        <w:rPr>
          <w:rFonts w:ascii="Poppins" w:hAnsi="Poppins" w:cs="Poppins"/>
          <w:sz w:val="18"/>
          <w:szCs w:val="18"/>
        </w:rPr>
        <w:t>54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AFD5941"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227FD3">
        <w:rPr>
          <w:rFonts w:ascii="Poppins" w:hAnsi="Poppins" w:cs="Poppins"/>
          <w:bCs/>
          <w:sz w:val="18"/>
          <w:szCs w:val="18"/>
        </w:rPr>
        <w:t>3</w:t>
      </w:r>
      <w:r w:rsidRPr="004C5B09">
        <w:rPr>
          <w:rFonts w:ascii="Poppins" w:hAnsi="Poppins" w:cs="Poppins"/>
          <w:bCs/>
          <w:sz w:val="18"/>
          <w:szCs w:val="18"/>
        </w:rPr>
        <w:t>,</w:t>
      </w:r>
      <w:r w:rsidR="00B2357A">
        <w:rPr>
          <w:rFonts w:ascii="Poppins" w:hAnsi="Poppins" w:cs="Poppins"/>
          <w:bCs/>
          <w:sz w:val="18"/>
          <w:szCs w:val="18"/>
        </w:rPr>
        <w:t>7</w:t>
      </w:r>
      <w:r w:rsidR="007D1505">
        <w:rPr>
          <w:rFonts w:ascii="Poppins" w:hAnsi="Poppins" w:cs="Poppins"/>
          <w:bCs/>
          <w:sz w:val="18"/>
          <w:szCs w:val="18"/>
        </w:rPr>
        <w:t>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773279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227FD3">
        <w:rPr>
          <w:rFonts w:ascii="Poppins" w:hAnsi="Poppins" w:cs="Poppins"/>
          <w:sz w:val="18"/>
          <w:szCs w:val="18"/>
        </w:rPr>
        <w:t>2</w:t>
      </w:r>
      <w:r w:rsidR="00F66E81" w:rsidRPr="0096213B">
        <w:rPr>
          <w:rFonts w:ascii="Poppins" w:hAnsi="Poppins" w:cs="Poppins"/>
          <w:sz w:val="18"/>
          <w:szCs w:val="18"/>
        </w:rPr>
        <w:t>,</w:t>
      </w:r>
      <w:r w:rsidR="007D1505">
        <w:rPr>
          <w:rFonts w:ascii="Poppins" w:hAnsi="Poppins" w:cs="Poppins"/>
          <w:sz w:val="18"/>
          <w:szCs w:val="18"/>
        </w:rPr>
        <w:t>84</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873C929"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7D1505">
        <w:rPr>
          <w:rFonts w:ascii="Poppins" w:hAnsi="Poppins" w:cs="Poppins"/>
          <w:sz w:val="18"/>
          <w:szCs w:val="18"/>
          <w:lang w:eastAsia="en-US"/>
        </w:rPr>
        <w:t>30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7D1505">
        <w:rPr>
          <w:rFonts w:ascii="Poppins" w:hAnsi="Poppins" w:cs="Poppins"/>
          <w:sz w:val="18"/>
          <w:szCs w:val="18"/>
          <w:lang w:eastAsia="en-US"/>
        </w:rPr>
        <w:t>1</w:t>
      </w:r>
      <w:r w:rsidR="007D44FD" w:rsidRPr="00881E39">
        <w:rPr>
          <w:rFonts w:ascii="Poppins" w:hAnsi="Poppins" w:cs="Poppins"/>
          <w:sz w:val="18"/>
          <w:szCs w:val="18"/>
          <w:lang w:eastAsia="en-US"/>
        </w:rPr>
        <w:t>,</w:t>
      </w:r>
      <w:r w:rsidR="007D1505">
        <w:rPr>
          <w:rFonts w:ascii="Poppins" w:hAnsi="Poppins" w:cs="Poppins"/>
          <w:sz w:val="18"/>
          <w:szCs w:val="18"/>
          <w:lang w:eastAsia="en-US"/>
        </w:rPr>
        <w:t>02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7D1505">
        <w:rPr>
          <w:rFonts w:ascii="Poppins" w:hAnsi="Poppins" w:cs="Poppins"/>
          <w:sz w:val="18"/>
          <w:szCs w:val="18"/>
          <w:lang w:eastAsia="en-US"/>
        </w:rPr>
        <w:t>85</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0A5291FE"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7D1505" w:rsidRPr="007D1505">
              <w:rPr>
                <w:rFonts w:ascii="Poppins" w:hAnsi="Poppins" w:cs="Poppins"/>
                <w:i/>
                <w:iCs/>
                <w:noProof/>
                <w:sz w:val="14"/>
                <w:szCs w:val="14"/>
                <w:lang w:val="es-MX" w:eastAsia="en-US"/>
              </w:rPr>
              <w:drawing>
                <wp:inline distT="0" distB="0" distL="0" distR="0" wp14:anchorId="4162A9F2" wp14:editId="2CD88AD3">
                  <wp:extent cx="8166100" cy="299720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6100" cy="299720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083DDE4" w:rsidR="000F7442" w:rsidRPr="0096213B" w:rsidRDefault="00655A5E" w:rsidP="000F7442">
            <w:pPr>
              <w:jc w:val="center"/>
              <w:rPr>
                <w:rFonts w:ascii="Poppins" w:hAnsi="Poppins" w:cs="Poppins"/>
                <w:sz w:val="8"/>
                <w:szCs w:val="20"/>
              </w:rPr>
            </w:pPr>
            <w:r w:rsidRPr="00655A5E">
              <w:rPr>
                <w:rFonts w:ascii="Poppins" w:hAnsi="Poppins" w:cs="Poppins"/>
                <w:noProof/>
                <w:sz w:val="8"/>
                <w:szCs w:val="20"/>
              </w:rPr>
              <w:drawing>
                <wp:inline distT="0" distB="0" distL="0" distR="0" wp14:anchorId="35D7F4D7" wp14:editId="770C7B5B">
                  <wp:extent cx="3313723" cy="2641305"/>
                  <wp:effectExtent l="0" t="0" r="1270" b="698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21195" cy="2647261"/>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21E87B05" w:rsidR="00EF3BE9" w:rsidRPr="0096213B" w:rsidRDefault="000E1F34"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1F37A804" wp14:editId="46D7964E">
                  <wp:extent cx="5111126" cy="2606242"/>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39003" cy="2620457"/>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1FEFF29D" w:rsidR="00551F16" w:rsidRPr="0096213B" w:rsidRDefault="000E1F3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0E1F34">
        <w:drawing>
          <wp:inline distT="0" distB="0" distL="0" distR="0" wp14:anchorId="235728A2" wp14:editId="3A0379C1">
            <wp:extent cx="5681965" cy="2278213"/>
            <wp:effectExtent l="0" t="0" r="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86827" cy="2280162"/>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0814ED9F" w:rsidR="00F70B88" w:rsidRDefault="00712CE1" w:rsidP="00604758">
      <w:pPr>
        <w:spacing w:line="0" w:lineRule="atLeast"/>
        <w:ind w:right="-567"/>
        <w:jc w:val="both"/>
        <w:rPr>
          <w:rFonts w:ascii="Poppins" w:hAnsi="Poppins" w:cs="Poppins"/>
          <w:noProof/>
          <w:sz w:val="20"/>
          <w:szCs w:val="20"/>
        </w:rPr>
      </w:pPr>
      <w:r w:rsidRPr="00712CE1">
        <w:drawing>
          <wp:inline distT="0" distB="0" distL="0" distR="0" wp14:anchorId="421DCA08" wp14:editId="5554AE09">
            <wp:extent cx="5850255" cy="2071935"/>
            <wp:effectExtent l="0" t="0" r="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4751" cy="2073527"/>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356064E" w:rsidR="00127A54" w:rsidRPr="0096213B" w:rsidRDefault="00712CE1" w:rsidP="006220EA">
      <w:pPr>
        <w:rPr>
          <w:rFonts w:ascii="Poppins" w:hAnsi="Poppins" w:cs="Poppins"/>
          <w:i/>
          <w:sz w:val="14"/>
          <w:szCs w:val="14"/>
        </w:rPr>
      </w:pPr>
      <w:r w:rsidRPr="00712CE1">
        <w:drawing>
          <wp:inline distT="0" distB="0" distL="0" distR="0" wp14:anchorId="4A28B6C2" wp14:editId="14B886FA">
            <wp:extent cx="5850255" cy="7420911"/>
            <wp:effectExtent l="0" t="0" r="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612" cy="7421364"/>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FD0C410" w:rsidR="005048C1" w:rsidRPr="0096213B" w:rsidRDefault="00F91202" w:rsidP="005048C1">
      <w:pPr>
        <w:jc w:val="both"/>
        <w:rPr>
          <w:rFonts w:ascii="Poppins" w:hAnsi="Poppins" w:cs="Poppins"/>
          <w:i/>
          <w:iCs/>
          <w:sz w:val="12"/>
          <w:szCs w:val="12"/>
        </w:rPr>
      </w:pPr>
      <w:r>
        <w:t xml:space="preserve">                       </w:t>
      </w:r>
      <w:r w:rsidR="00712CE1" w:rsidRPr="00712CE1">
        <w:drawing>
          <wp:inline distT="0" distB="0" distL="0" distR="0" wp14:anchorId="415B681E" wp14:editId="43A53268">
            <wp:extent cx="5849680" cy="661548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2858" cy="6619079"/>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1F2EC67" w:rsidR="00812956" w:rsidRDefault="00860C8E" w:rsidP="00842A58">
      <w:pPr>
        <w:pStyle w:val="xl37"/>
        <w:tabs>
          <w:tab w:val="left" w:pos="180"/>
        </w:tabs>
        <w:spacing w:before="0" w:beforeAutospacing="0" w:after="0" w:afterAutospacing="0"/>
        <w:jc w:val="center"/>
        <w:rPr>
          <w:noProof/>
        </w:rPr>
      </w:pPr>
      <w:r w:rsidRPr="00860C8E">
        <w:drawing>
          <wp:inline distT="0" distB="0" distL="0" distR="0" wp14:anchorId="1F63F3E0" wp14:editId="1844B4CC">
            <wp:extent cx="4570887" cy="3244132"/>
            <wp:effectExtent l="0" t="0" r="127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78022" cy="3249196"/>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D1370A8" w:rsidR="001307B8" w:rsidRPr="00A149FB" w:rsidRDefault="00860C8E"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27686AAE" wp14:editId="6042E187">
            <wp:extent cx="4558554" cy="3252789"/>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66817" cy="3258685"/>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2D0EC78E" w:rsidR="006C0944" w:rsidRDefault="007E5402" w:rsidP="00373E46">
      <w:pPr>
        <w:pStyle w:val="xl37"/>
        <w:tabs>
          <w:tab w:val="left" w:pos="180"/>
        </w:tabs>
        <w:spacing w:before="0" w:beforeAutospacing="0" w:after="0" w:afterAutospacing="0"/>
        <w:jc w:val="center"/>
        <w:rPr>
          <w:noProof/>
        </w:rPr>
      </w:pPr>
      <w:r w:rsidRPr="007E5402">
        <w:rPr>
          <w:noProof/>
        </w:rPr>
        <w:drawing>
          <wp:inline distT="0" distB="0" distL="0" distR="0" wp14:anchorId="2B0A5B0B" wp14:editId="4FCA7B2F">
            <wp:extent cx="4570850" cy="3203515"/>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85503" cy="3213785"/>
                    </a:xfrm>
                    <a:prstGeom prst="rect">
                      <a:avLst/>
                    </a:prstGeom>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43D8F65" w:rsidR="00A62725" w:rsidRDefault="00A62725" w:rsidP="00BF0E9E">
      <w:pPr>
        <w:pStyle w:val="xl37"/>
        <w:tabs>
          <w:tab w:val="left" w:pos="180"/>
          <w:tab w:val="left" w:pos="1560"/>
          <w:tab w:val="left" w:pos="8222"/>
        </w:tabs>
        <w:spacing w:before="0" w:beforeAutospacing="0" w:after="0" w:afterAutospacing="0"/>
        <w:jc w:val="center"/>
        <w:rPr>
          <w:noProof/>
        </w:rPr>
      </w:pPr>
    </w:p>
    <w:p w14:paraId="38B2F0A8" w14:textId="5DCB37DA" w:rsidR="00356BB0" w:rsidRDefault="00860C8E"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5C522B69" wp14:editId="6D54558F">
            <wp:extent cx="4627328" cy="3260660"/>
            <wp:effectExtent l="0" t="0" r="190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45984" cy="3273806"/>
                    </a:xfrm>
                    <a:prstGeom prst="rect">
                      <a:avLst/>
                    </a:prstGeom>
                    <a:noFill/>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D13ED3"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FC8444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126D6C">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BD027F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126D6C">
            <w:rPr>
              <w:rFonts w:ascii="Poppins" w:hAnsi="Poppins" w:cs="Poppins"/>
              <w:b/>
              <w:sz w:val="22"/>
              <w:szCs w:val="22"/>
              <w:lang w:val="it-IT"/>
            </w:rPr>
            <w:t>3</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A0D3A4E"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7D1505">
            <w:rPr>
              <w:rFonts w:ascii="Poppins" w:hAnsi="Poppins" w:cs="Poppins"/>
              <w:b/>
              <w:sz w:val="22"/>
              <w:szCs w:val="22"/>
              <w:lang w:val="it-IT"/>
            </w:rPr>
            <w:t>3</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A362F8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0E1F34">
            <w:rPr>
              <w:rFonts w:ascii="Poppins" w:hAnsi="Poppins" w:cs="Poppins"/>
              <w:b/>
              <w:sz w:val="22"/>
              <w:szCs w:val="22"/>
              <w:lang w:val="it-IT"/>
            </w:rPr>
            <w:t>3</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199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9968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20</Pages>
  <Words>4968</Words>
  <Characters>27325</Characters>
  <Application>Microsoft Office Word</Application>
  <DocSecurity>0</DocSecurity>
  <Lines>227</Lines>
  <Paragraphs>64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32229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2026-02-16T14:35:00Z</cp:lastPrinted>
  <dcterms:created xsi:type="dcterms:W3CDTF">2026-04-01T21:20:00Z</dcterms:created>
  <dcterms:modified xsi:type="dcterms:W3CDTF">2026-04-01T23:11:00Z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