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595D028"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w:t>
      </w:r>
      <w:r w:rsidR="008B46C7">
        <w:rPr>
          <w:rFonts w:ascii="Poppins" w:hAnsi="Poppins" w:cs="Poppins"/>
          <w:sz w:val="24"/>
          <w:szCs w:val="22"/>
          <w:u w:val="single"/>
          <w:lang w:val="it-IT"/>
        </w:rPr>
        <w:t>3</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C981AA3"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51B3A">
        <w:rPr>
          <w:rFonts w:ascii="Poppins" w:hAnsi="Poppins" w:cs="Poppins"/>
          <w:b/>
          <w:bCs/>
          <w:sz w:val="22"/>
          <w:szCs w:val="22"/>
        </w:rPr>
        <w:t>2</w:t>
      </w:r>
      <w:r w:rsidR="008B46C7">
        <w:rPr>
          <w:rFonts w:ascii="Poppins" w:hAnsi="Poppins" w:cs="Poppins"/>
          <w:b/>
          <w:bCs/>
          <w:sz w:val="22"/>
          <w:szCs w:val="22"/>
        </w:rPr>
        <w:t>7</w:t>
      </w:r>
      <w:r w:rsidR="00316BFF">
        <w:rPr>
          <w:rFonts w:ascii="Poppins" w:hAnsi="Poppins" w:cs="Poppins"/>
          <w:b/>
          <w:bCs/>
          <w:sz w:val="22"/>
          <w:szCs w:val="22"/>
        </w:rPr>
        <w:t>/</w:t>
      </w:r>
      <w:r w:rsidR="00CD1419">
        <w:rPr>
          <w:rFonts w:ascii="Poppins" w:hAnsi="Poppins" w:cs="Poppins"/>
          <w:b/>
          <w:bCs/>
          <w:sz w:val="22"/>
          <w:szCs w:val="22"/>
        </w:rPr>
        <w:t>1</w:t>
      </w:r>
      <w:r w:rsidR="00222A5F">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75F0876" w:rsidR="00AB06BA" w:rsidRPr="001C2FD3" w:rsidRDefault="00F02F0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B53AC76" wp14:editId="4E304253">
            <wp:extent cx="5407458" cy="3695700"/>
            <wp:effectExtent l="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3554" cy="371353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A585CB5"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F02F0E">
        <w:rPr>
          <w:rFonts w:ascii="Poppins" w:hAnsi="Poppins" w:cs="Poppins"/>
          <w:sz w:val="18"/>
          <w:szCs w:val="18"/>
        </w:rPr>
        <w:t>61</w:t>
      </w:r>
      <w:r w:rsidR="00E23D92" w:rsidRPr="00273F37">
        <w:rPr>
          <w:rFonts w:ascii="Poppins" w:hAnsi="Poppins" w:cs="Poppins"/>
          <w:sz w:val="18"/>
          <w:szCs w:val="18"/>
        </w:rPr>
        <w:t>,</w:t>
      </w:r>
      <w:r w:rsidR="00F02F0E">
        <w:rPr>
          <w:rFonts w:ascii="Poppins" w:hAnsi="Poppins" w:cs="Poppins"/>
          <w:sz w:val="18"/>
          <w:szCs w:val="18"/>
        </w:rPr>
        <w:t>90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8B2403">
        <w:rPr>
          <w:rFonts w:ascii="Poppins" w:hAnsi="Poppins" w:cs="Poppins"/>
          <w:sz w:val="18"/>
          <w:szCs w:val="18"/>
        </w:rPr>
        <w:t>73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F02F0E">
        <w:rPr>
          <w:rFonts w:ascii="Poppins" w:hAnsi="Poppins" w:cs="Poppins"/>
          <w:sz w:val="18"/>
          <w:szCs w:val="18"/>
        </w:rPr>
        <w:t>9</w:t>
      </w:r>
      <w:r w:rsidR="008B2403">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D73F3B">
        <w:rPr>
          <w:rFonts w:ascii="Poppins" w:hAnsi="Poppins" w:cs="Poppins"/>
          <w:sz w:val="18"/>
          <w:szCs w:val="18"/>
        </w:rPr>
        <w:t>2</w:t>
      </w:r>
      <w:r w:rsidR="008B2403">
        <w:rPr>
          <w:rFonts w:ascii="Poppins" w:hAnsi="Poppins" w:cs="Poppins"/>
          <w:sz w:val="18"/>
          <w:szCs w:val="18"/>
        </w:rPr>
        <w:t>7</w:t>
      </w:r>
      <w:r w:rsidR="00941CD2" w:rsidRPr="00273F37">
        <w:rPr>
          <w:rFonts w:ascii="Poppins" w:hAnsi="Poppins" w:cs="Poppins"/>
          <w:sz w:val="18"/>
          <w:szCs w:val="18"/>
        </w:rPr>
        <w:t>,</w:t>
      </w:r>
      <w:r w:rsidR="008B2403">
        <w:rPr>
          <w:rFonts w:ascii="Poppins" w:hAnsi="Poppins" w:cs="Poppins"/>
          <w:sz w:val="18"/>
          <w:szCs w:val="18"/>
        </w:rPr>
        <w:t>6</w:t>
      </w:r>
      <w:r w:rsidR="00F02F0E">
        <w:rPr>
          <w:rFonts w:ascii="Poppins" w:hAnsi="Poppins" w:cs="Poppins"/>
          <w:sz w:val="18"/>
          <w:szCs w:val="18"/>
        </w:rPr>
        <w:t>8</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B06E1A4"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F02F0E" w:rsidRPr="00ED72E4">
        <w:rPr>
          <w:rFonts w:ascii="Poppins" w:hAnsi="Poppins" w:cs="Poppins"/>
          <w:bCs/>
          <w:sz w:val="18"/>
          <w:szCs w:val="18"/>
        </w:rPr>
        <w:t>13</w:t>
      </w:r>
      <w:r w:rsidRPr="00ED72E4">
        <w:rPr>
          <w:rFonts w:ascii="Poppins" w:hAnsi="Poppins" w:cs="Poppins"/>
          <w:bCs/>
          <w:sz w:val="18"/>
          <w:szCs w:val="18"/>
        </w:rPr>
        <w:t>.</w:t>
      </w:r>
      <w:r w:rsidR="00784CB3" w:rsidRPr="00ED72E4">
        <w:rPr>
          <w:rFonts w:ascii="Poppins" w:hAnsi="Poppins" w:cs="Poppins"/>
          <w:bCs/>
          <w:sz w:val="18"/>
          <w:szCs w:val="18"/>
        </w:rPr>
        <w:t>1</w:t>
      </w:r>
      <w:r w:rsidR="000F0295" w:rsidRPr="00ED72E4">
        <w:rPr>
          <w:rFonts w:ascii="Poppins" w:hAnsi="Poppins" w:cs="Poppins"/>
          <w:bCs/>
          <w:sz w:val="18"/>
          <w:szCs w:val="18"/>
        </w:rPr>
        <w:t>0</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F02F0E" w:rsidRPr="00ED72E4">
        <w:rPr>
          <w:rFonts w:ascii="Poppins" w:hAnsi="Poppins" w:cs="Poppins"/>
          <w:bCs/>
          <w:sz w:val="18"/>
          <w:szCs w:val="18"/>
        </w:rPr>
        <w:t>24</w:t>
      </w:r>
      <w:r w:rsidRPr="00ED72E4">
        <w:rPr>
          <w:rFonts w:ascii="Poppins" w:hAnsi="Poppins" w:cs="Poppins"/>
          <w:bCs/>
          <w:sz w:val="18"/>
          <w:szCs w:val="18"/>
        </w:rPr>
        <w:t>.</w:t>
      </w:r>
      <w:r w:rsidR="00C27332" w:rsidRPr="00ED72E4">
        <w:rPr>
          <w:rFonts w:ascii="Poppins" w:hAnsi="Poppins" w:cs="Poppins"/>
          <w:bCs/>
          <w:sz w:val="18"/>
          <w:szCs w:val="18"/>
        </w:rPr>
        <w:t>1</w:t>
      </w:r>
      <w:r w:rsidR="00E23D92" w:rsidRPr="00ED72E4">
        <w:rPr>
          <w:rFonts w:ascii="Poppins" w:hAnsi="Poppins" w:cs="Poppins"/>
          <w:bCs/>
          <w:sz w:val="18"/>
          <w:szCs w:val="18"/>
        </w:rPr>
        <w:t>0</w:t>
      </w:r>
      <w:r w:rsidRPr="00ED72E4">
        <w:rPr>
          <w:rFonts w:ascii="Poppins" w:hAnsi="Poppins" w:cs="Poppins"/>
          <w:bCs/>
          <w:sz w:val="18"/>
          <w:szCs w:val="18"/>
        </w:rPr>
        <w:t>.202</w:t>
      </w:r>
      <w:r w:rsidR="00E23D92" w:rsidRPr="00ED72E4">
        <w:rPr>
          <w:rFonts w:ascii="Poppins" w:hAnsi="Poppins" w:cs="Poppins"/>
          <w:bCs/>
          <w:sz w:val="18"/>
          <w:szCs w:val="18"/>
        </w:rPr>
        <w:t>5</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419FD902" w14:textId="2C550B87" w:rsidR="00E56970" w:rsidRPr="00F02F0E" w:rsidRDefault="00E56970" w:rsidP="00AD0D2A">
      <w:pPr>
        <w:shd w:val="clear" w:color="auto" w:fill="FFFFFF"/>
        <w:ind w:left="425"/>
        <w:jc w:val="both"/>
        <w:rPr>
          <w:rFonts w:ascii="Poppins" w:hAnsi="Poppins" w:cs="Poppins"/>
          <w:sz w:val="18"/>
          <w:szCs w:val="18"/>
          <w:highlight w:val="yellow"/>
        </w:rPr>
      </w:pPr>
    </w:p>
    <w:p w14:paraId="23519AF6" w14:textId="77777777" w:rsidR="00ED72E4" w:rsidRPr="0067087B" w:rsidRDefault="00ED72E4" w:rsidP="00ED72E4">
      <w:pPr>
        <w:jc w:val="both"/>
        <w:rPr>
          <w:rFonts w:ascii="Poppins" w:hAnsi="Poppins" w:cs="Poppins"/>
          <w:sz w:val="18"/>
          <w:szCs w:val="18"/>
          <w:highlight w:val="yellow"/>
        </w:rPr>
      </w:pPr>
    </w:p>
    <w:p w14:paraId="0CB2A550" w14:textId="77777777" w:rsidR="00ED72E4" w:rsidRPr="00D707BF" w:rsidRDefault="00ED72E4" w:rsidP="00ED72E4">
      <w:pPr>
        <w:pStyle w:val="Prrafodelista"/>
        <w:numPr>
          <w:ilvl w:val="0"/>
          <w:numId w:val="30"/>
        </w:numPr>
        <w:ind w:left="425"/>
        <w:contextualSpacing/>
        <w:jc w:val="both"/>
        <w:rPr>
          <w:rFonts w:ascii="Poppins" w:hAnsi="Poppins" w:cs="Poppins"/>
          <w:b/>
          <w:sz w:val="18"/>
          <w:szCs w:val="18"/>
        </w:rPr>
      </w:pPr>
      <w:r w:rsidRPr="00D707BF">
        <w:rPr>
          <w:rFonts w:ascii="Poppins" w:hAnsi="Poppins" w:cs="Poppins"/>
          <w:b/>
          <w:sz w:val="18"/>
          <w:szCs w:val="18"/>
        </w:rPr>
        <w:t>El incremento de los inventarios de propano, así como el descenso de las existencias de crudo, gasolinas y destilado medio, al 17 de octubre del 2025</w:t>
      </w:r>
    </w:p>
    <w:p w14:paraId="3C7CAEA7" w14:textId="77777777" w:rsidR="00ED72E4" w:rsidRPr="00D707BF" w:rsidRDefault="00ED72E4" w:rsidP="00ED72E4">
      <w:pPr>
        <w:shd w:val="clear" w:color="auto" w:fill="FFFFFF"/>
        <w:ind w:left="425"/>
        <w:jc w:val="both"/>
        <w:rPr>
          <w:rFonts w:ascii="Poppins" w:hAnsi="Poppins" w:cs="Poppins"/>
          <w:sz w:val="18"/>
          <w:szCs w:val="18"/>
        </w:rPr>
      </w:pPr>
    </w:p>
    <w:p w14:paraId="1645062D" w14:textId="77777777" w:rsidR="00ED72E4" w:rsidRPr="00D707BF" w:rsidRDefault="00ED72E4" w:rsidP="00ED72E4">
      <w:pPr>
        <w:shd w:val="clear" w:color="auto" w:fill="FFFFFF"/>
        <w:ind w:left="425"/>
        <w:jc w:val="both"/>
        <w:rPr>
          <w:rFonts w:ascii="Poppins" w:hAnsi="Poppins" w:cs="Poppins"/>
          <w:sz w:val="18"/>
          <w:szCs w:val="18"/>
        </w:rPr>
      </w:pPr>
      <w:r w:rsidRPr="00D707BF">
        <w:rPr>
          <w:rFonts w:ascii="Poppins" w:hAnsi="Poppins" w:cs="Poppins"/>
          <w:sz w:val="18"/>
          <w:szCs w:val="18"/>
        </w:rPr>
        <w:t>Los inventarios de petróleo de Estados Unidos se redujeron en 1,0 millones de barriles alcanzando los 422,8 millones de barriles, ubicándose en un -4% por debajo de la media de los últimos 5 años, para esta época del año.</w:t>
      </w:r>
    </w:p>
    <w:p w14:paraId="710AA717" w14:textId="77777777" w:rsidR="00ED72E4" w:rsidRPr="00D707BF" w:rsidRDefault="00ED72E4" w:rsidP="00ED72E4">
      <w:pPr>
        <w:shd w:val="clear" w:color="auto" w:fill="FFFFFF"/>
        <w:ind w:left="425"/>
        <w:jc w:val="both"/>
        <w:rPr>
          <w:rFonts w:ascii="Poppins" w:hAnsi="Poppins" w:cs="Poppins"/>
          <w:sz w:val="18"/>
          <w:szCs w:val="18"/>
        </w:rPr>
      </w:pPr>
    </w:p>
    <w:p w14:paraId="40B906C8" w14:textId="77777777" w:rsidR="00ED72E4" w:rsidRPr="00D707BF" w:rsidRDefault="00ED72E4" w:rsidP="00ED72E4">
      <w:pPr>
        <w:shd w:val="clear" w:color="auto" w:fill="FFFFFF"/>
        <w:ind w:left="425"/>
        <w:jc w:val="both"/>
        <w:rPr>
          <w:rFonts w:ascii="Poppins" w:hAnsi="Poppins" w:cs="Poppins"/>
          <w:sz w:val="18"/>
          <w:szCs w:val="18"/>
        </w:rPr>
      </w:pPr>
      <w:r w:rsidRPr="00D707BF">
        <w:rPr>
          <w:rFonts w:ascii="Poppins" w:hAnsi="Poppins" w:cs="Poppins"/>
          <w:sz w:val="18"/>
          <w:szCs w:val="18"/>
        </w:rPr>
        <w:t>Por su parte, las existencias de gasolinas cayeron en 2,1 millones de barriles, reportando un total de 216,7 millones de barriles. Asimismo, los inventarios de destilados, que incluyen al diésel y al combustible para calefacción decrecieron en 1,5 millones de barriles, ubicándose en 115,6 millones de barriles.</w:t>
      </w:r>
    </w:p>
    <w:p w14:paraId="1545F004" w14:textId="77777777" w:rsidR="00ED72E4" w:rsidRPr="00D707BF" w:rsidRDefault="00ED72E4" w:rsidP="00ED72E4">
      <w:pPr>
        <w:shd w:val="clear" w:color="auto" w:fill="FFFFFF"/>
        <w:ind w:left="425"/>
        <w:jc w:val="both"/>
        <w:rPr>
          <w:rFonts w:ascii="Poppins" w:hAnsi="Poppins" w:cs="Poppins"/>
          <w:sz w:val="18"/>
          <w:szCs w:val="18"/>
        </w:rPr>
      </w:pPr>
    </w:p>
    <w:p w14:paraId="37157643" w14:textId="0527A518" w:rsidR="00ED72E4" w:rsidRDefault="00ED72E4" w:rsidP="00ED72E4">
      <w:pPr>
        <w:shd w:val="clear" w:color="auto" w:fill="FFFFFF"/>
        <w:ind w:left="425"/>
        <w:jc w:val="both"/>
        <w:rPr>
          <w:rFonts w:ascii="Poppins" w:hAnsi="Poppins" w:cs="Poppins"/>
          <w:sz w:val="18"/>
          <w:szCs w:val="18"/>
        </w:rPr>
      </w:pPr>
      <w:r w:rsidRPr="00D707BF">
        <w:rPr>
          <w:rFonts w:ascii="Poppins" w:hAnsi="Poppins" w:cs="Poppins"/>
          <w:sz w:val="18"/>
          <w:szCs w:val="18"/>
        </w:rPr>
        <w:t>Finalmente, las existencias de propano se incrementaron en 0,80 millones de barriles, registrando un nivel de 103,18 millones de barriles.</w:t>
      </w:r>
    </w:p>
    <w:p w14:paraId="5CF53A1F" w14:textId="77777777" w:rsidR="00ED72E4" w:rsidRDefault="00ED72E4" w:rsidP="00ED72E4">
      <w:pPr>
        <w:shd w:val="clear" w:color="auto" w:fill="FFFFFF"/>
        <w:ind w:left="425"/>
        <w:jc w:val="both"/>
        <w:rPr>
          <w:rFonts w:ascii="Poppins" w:hAnsi="Poppins" w:cs="Poppins"/>
          <w:sz w:val="18"/>
          <w:szCs w:val="18"/>
        </w:rPr>
      </w:pPr>
    </w:p>
    <w:p w14:paraId="4D66B3A4" w14:textId="77777777" w:rsidR="00ED72E4" w:rsidRDefault="00ED72E4" w:rsidP="00ED72E4">
      <w:pPr>
        <w:shd w:val="clear" w:color="auto" w:fill="FFFFFF"/>
        <w:ind w:left="425"/>
        <w:jc w:val="both"/>
        <w:rPr>
          <w:rFonts w:ascii="Poppins" w:hAnsi="Poppins" w:cs="Poppins"/>
          <w:sz w:val="18"/>
          <w:szCs w:val="18"/>
        </w:rPr>
      </w:pPr>
    </w:p>
    <w:p w14:paraId="78068978" w14:textId="77777777" w:rsidR="00ED72E4" w:rsidRDefault="00ED72E4" w:rsidP="00ED72E4">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Las s</w:t>
      </w:r>
      <w:r w:rsidRPr="008911A6">
        <w:rPr>
          <w:rFonts w:ascii="Poppins" w:hAnsi="Poppins" w:cs="Poppins"/>
          <w:b/>
          <w:sz w:val="18"/>
          <w:szCs w:val="18"/>
        </w:rPr>
        <w:t>anciones</w:t>
      </w:r>
      <w:r>
        <w:rPr>
          <w:rFonts w:ascii="Poppins" w:hAnsi="Poppins" w:cs="Poppins"/>
          <w:b/>
          <w:sz w:val="18"/>
          <w:szCs w:val="18"/>
        </w:rPr>
        <w:t xml:space="preserve"> de EE.UU. y la Unión Europea a petroleras rusas reactivan los precios</w:t>
      </w:r>
    </w:p>
    <w:p w14:paraId="2DD4BA34" w14:textId="77777777" w:rsidR="00ED72E4" w:rsidRDefault="00ED72E4" w:rsidP="00ED72E4">
      <w:pPr>
        <w:jc w:val="both"/>
        <w:rPr>
          <w:rFonts w:ascii="Poppins" w:hAnsi="Poppins" w:cs="Poppins"/>
          <w:b/>
          <w:sz w:val="18"/>
          <w:szCs w:val="18"/>
        </w:rPr>
      </w:pPr>
    </w:p>
    <w:p w14:paraId="54F82F3C" w14:textId="77777777" w:rsidR="00ED72E4" w:rsidRDefault="00ED72E4" w:rsidP="00ED72E4">
      <w:pPr>
        <w:shd w:val="clear" w:color="auto" w:fill="FFFFFF"/>
        <w:ind w:left="425"/>
        <w:jc w:val="both"/>
        <w:rPr>
          <w:rFonts w:ascii="Poppins" w:hAnsi="Poppins" w:cs="Poppins"/>
          <w:sz w:val="18"/>
          <w:szCs w:val="18"/>
        </w:rPr>
      </w:pPr>
      <w:r w:rsidRPr="008911A6">
        <w:rPr>
          <w:rFonts w:ascii="Poppins" w:hAnsi="Poppins" w:cs="Poppins"/>
          <w:sz w:val="18"/>
          <w:szCs w:val="18"/>
        </w:rPr>
        <w:t xml:space="preserve">Las sanciones coordinadas de </w:t>
      </w:r>
      <w:r>
        <w:rPr>
          <w:rFonts w:ascii="Poppins" w:hAnsi="Poppins" w:cs="Poppins"/>
          <w:sz w:val="18"/>
          <w:szCs w:val="18"/>
        </w:rPr>
        <w:t xml:space="preserve">EE.UU. </w:t>
      </w:r>
      <w:r w:rsidRPr="008911A6">
        <w:rPr>
          <w:rFonts w:ascii="Poppins" w:hAnsi="Poppins" w:cs="Poppins"/>
          <w:sz w:val="18"/>
          <w:szCs w:val="18"/>
        </w:rPr>
        <w:t xml:space="preserve">y la Unión Europea contra Rosneft y </w:t>
      </w:r>
      <w:proofErr w:type="spellStart"/>
      <w:r w:rsidRPr="008911A6">
        <w:rPr>
          <w:rFonts w:ascii="Poppins" w:hAnsi="Poppins" w:cs="Poppins"/>
          <w:sz w:val="18"/>
          <w:szCs w:val="18"/>
        </w:rPr>
        <w:t>Lukoil</w:t>
      </w:r>
      <w:proofErr w:type="spellEnd"/>
      <w:r w:rsidRPr="008911A6">
        <w:rPr>
          <w:rFonts w:ascii="Poppins" w:hAnsi="Poppins" w:cs="Poppins"/>
          <w:sz w:val="18"/>
          <w:szCs w:val="18"/>
        </w:rPr>
        <w:t>, los dos mayores productores de petróleo de Rusia, marcaron un punto de inflexión en l</w:t>
      </w:r>
      <w:r>
        <w:rPr>
          <w:rFonts w:ascii="Poppins" w:hAnsi="Poppins" w:cs="Poppins"/>
          <w:sz w:val="18"/>
          <w:szCs w:val="18"/>
        </w:rPr>
        <w:t xml:space="preserve">a tendencia semanal del </w:t>
      </w:r>
      <w:r w:rsidRPr="008911A6">
        <w:rPr>
          <w:rFonts w:ascii="Poppins" w:hAnsi="Poppins" w:cs="Poppins"/>
          <w:sz w:val="18"/>
          <w:szCs w:val="18"/>
        </w:rPr>
        <w:t>mercado. La medida, anunciada el 23 de octubre de 2025, prohíbe a instituciones financieras, aseguradoras y empresas de transporte occidentales operar con estas compañías o con cargamentos vinculados a ellas</w:t>
      </w:r>
      <w:r>
        <w:rPr>
          <w:rFonts w:ascii="Poppins" w:hAnsi="Poppins" w:cs="Poppins"/>
          <w:sz w:val="18"/>
          <w:szCs w:val="18"/>
        </w:rPr>
        <w:t xml:space="preserve">. </w:t>
      </w:r>
      <w:r w:rsidRPr="008911A6">
        <w:rPr>
          <w:rFonts w:ascii="Poppins" w:hAnsi="Poppins" w:cs="Poppins"/>
          <w:sz w:val="18"/>
          <w:szCs w:val="18"/>
        </w:rPr>
        <w:t xml:space="preserve">El Brent reaccionó con un salto inmediato de +5,4% hasta 65,99 </w:t>
      </w:r>
      <w:r>
        <w:rPr>
          <w:rFonts w:ascii="Poppins" w:hAnsi="Poppins" w:cs="Poppins"/>
          <w:sz w:val="18"/>
          <w:szCs w:val="18"/>
        </w:rPr>
        <w:t>US$/barril</w:t>
      </w:r>
      <w:r w:rsidRPr="008911A6">
        <w:rPr>
          <w:rFonts w:ascii="Poppins" w:hAnsi="Poppins" w:cs="Poppins"/>
          <w:sz w:val="18"/>
          <w:szCs w:val="18"/>
        </w:rPr>
        <w:t xml:space="preserve">, mientras el WTI subió +5,6% a 61,79 </w:t>
      </w:r>
      <w:r>
        <w:rPr>
          <w:rFonts w:ascii="Poppins" w:hAnsi="Poppins" w:cs="Poppins"/>
          <w:sz w:val="18"/>
          <w:szCs w:val="18"/>
        </w:rPr>
        <w:t>US$/barril.</w:t>
      </w:r>
    </w:p>
    <w:p w14:paraId="5039028A" w14:textId="77777777" w:rsidR="00ED72E4" w:rsidRDefault="00ED72E4" w:rsidP="00ED72E4">
      <w:pPr>
        <w:shd w:val="clear" w:color="auto" w:fill="FFFFFF"/>
        <w:ind w:left="425"/>
        <w:jc w:val="both"/>
        <w:rPr>
          <w:rFonts w:ascii="Poppins" w:hAnsi="Poppins" w:cs="Poppins"/>
          <w:sz w:val="18"/>
          <w:szCs w:val="18"/>
        </w:rPr>
      </w:pPr>
    </w:p>
    <w:p w14:paraId="362337A2" w14:textId="0B8424A7" w:rsidR="00ED72E4" w:rsidRDefault="00ED72E4" w:rsidP="00ED72E4">
      <w:pPr>
        <w:shd w:val="clear" w:color="auto" w:fill="FFFFFF"/>
        <w:ind w:left="425"/>
        <w:jc w:val="both"/>
        <w:rPr>
          <w:rFonts w:ascii="Poppins" w:hAnsi="Poppins" w:cs="Poppins"/>
          <w:sz w:val="18"/>
          <w:szCs w:val="18"/>
        </w:rPr>
      </w:pPr>
      <w:r w:rsidRPr="008911A6">
        <w:rPr>
          <w:rFonts w:ascii="Poppins" w:hAnsi="Poppins" w:cs="Poppins"/>
          <w:sz w:val="18"/>
          <w:szCs w:val="18"/>
        </w:rPr>
        <w:t xml:space="preserve">En términos de volumen, la medida afecta potencialmente </w:t>
      </w:r>
      <w:r w:rsidRPr="0092640A">
        <w:rPr>
          <w:rFonts w:ascii="Poppins" w:hAnsi="Poppins" w:cs="Poppins"/>
          <w:sz w:val="18"/>
          <w:szCs w:val="18"/>
        </w:rPr>
        <w:t>a 3,1 millones de bpd de exportaciones combinadas, el equivalente al 6% de la producción mundial, aunque</w:t>
      </w:r>
      <w:r w:rsidRPr="008911A6">
        <w:rPr>
          <w:rFonts w:ascii="Poppins" w:hAnsi="Poppins" w:cs="Poppins"/>
          <w:sz w:val="18"/>
          <w:szCs w:val="18"/>
        </w:rPr>
        <w:t xml:space="preserve"> los operadores no descuentan todavía una pérdida física completa. Según</w:t>
      </w:r>
      <w:r>
        <w:rPr>
          <w:rFonts w:ascii="Poppins" w:hAnsi="Poppins" w:cs="Poppins"/>
          <w:sz w:val="18"/>
          <w:szCs w:val="18"/>
        </w:rPr>
        <w:t xml:space="preserve"> el grupo </w:t>
      </w:r>
      <w:r w:rsidRPr="0092640A">
        <w:rPr>
          <w:rFonts w:ascii="Poppins" w:hAnsi="Poppins" w:cs="Poppins"/>
          <w:sz w:val="18"/>
          <w:szCs w:val="18"/>
        </w:rPr>
        <w:t>bancario</w:t>
      </w:r>
      <w:r>
        <w:rPr>
          <w:rFonts w:ascii="Poppins" w:hAnsi="Poppins" w:cs="Poppins"/>
          <w:sz w:val="18"/>
          <w:szCs w:val="18"/>
        </w:rPr>
        <w:t xml:space="preserve"> y financiero</w:t>
      </w:r>
      <w:r w:rsidRPr="0092640A">
        <w:rPr>
          <w:rFonts w:ascii="Poppins" w:hAnsi="Poppins" w:cs="Poppins"/>
          <w:sz w:val="18"/>
          <w:szCs w:val="18"/>
        </w:rPr>
        <w:t xml:space="preserve"> ING </w:t>
      </w:r>
      <w:proofErr w:type="spellStart"/>
      <w:r w:rsidRPr="0092640A">
        <w:rPr>
          <w:rFonts w:ascii="Poppins" w:hAnsi="Poppins" w:cs="Poppins"/>
          <w:sz w:val="18"/>
          <w:szCs w:val="18"/>
        </w:rPr>
        <w:t>Groep</w:t>
      </w:r>
      <w:proofErr w:type="spellEnd"/>
      <w:r w:rsidRPr="0092640A">
        <w:rPr>
          <w:rFonts w:ascii="Poppins" w:hAnsi="Poppins" w:cs="Poppins"/>
          <w:sz w:val="18"/>
          <w:szCs w:val="18"/>
        </w:rPr>
        <w:t xml:space="preserve"> NV</w:t>
      </w:r>
      <w:r w:rsidRPr="008911A6">
        <w:rPr>
          <w:rFonts w:ascii="Poppins" w:hAnsi="Poppins" w:cs="Poppins"/>
          <w:sz w:val="18"/>
          <w:szCs w:val="18"/>
        </w:rPr>
        <w:t xml:space="preserve">, </w:t>
      </w:r>
      <w:r w:rsidRPr="000C586F">
        <w:rPr>
          <w:rFonts w:ascii="Poppins" w:hAnsi="Poppins" w:cs="Poppins"/>
          <w:i/>
          <w:iCs/>
          <w:sz w:val="18"/>
          <w:szCs w:val="18"/>
        </w:rPr>
        <w:t>“las sanciones abren la puerta a medidas más duras y podrían afectar los flujos de crudo ruso si se amplían a intermediarios o navieras”</w:t>
      </w:r>
      <w:r w:rsidRPr="008911A6">
        <w:rPr>
          <w:rFonts w:ascii="Poppins" w:hAnsi="Poppins" w:cs="Poppins"/>
          <w:sz w:val="18"/>
          <w:szCs w:val="18"/>
        </w:rPr>
        <w:t>. Por su par</w:t>
      </w:r>
      <w:r w:rsidRPr="0092640A">
        <w:rPr>
          <w:rFonts w:ascii="Poppins" w:hAnsi="Poppins" w:cs="Poppins"/>
          <w:sz w:val="18"/>
          <w:szCs w:val="18"/>
        </w:rPr>
        <w:t xml:space="preserve">te, Saxo Bank destacó que el anuncio </w:t>
      </w:r>
      <w:r w:rsidRPr="0092640A">
        <w:rPr>
          <w:rFonts w:ascii="Poppins" w:hAnsi="Poppins" w:cs="Poppins"/>
          <w:i/>
          <w:iCs/>
          <w:sz w:val="18"/>
          <w:szCs w:val="18"/>
        </w:rPr>
        <w:t>“rompe la narrativa del exceso de oferta</w:t>
      </w:r>
      <w:r w:rsidRPr="0092640A">
        <w:rPr>
          <w:rFonts w:ascii="Poppins" w:hAnsi="Poppins" w:cs="Poppins"/>
          <w:sz w:val="18"/>
          <w:szCs w:val="18"/>
        </w:rPr>
        <w:t>” y lleva a los fondos especulativos a reequilibrar posiciones hacia un sesgo neutral o levemente alcista.</w:t>
      </w:r>
    </w:p>
    <w:p w14:paraId="677EC3BA" w14:textId="77777777" w:rsidR="00ED72E4" w:rsidRDefault="00ED72E4" w:rsidP="00ED72E4">
      <w:pPr>
        <w:shd w:val="clear" w:color="auto" w:fill="FFFFFF"/>
        <w:ind w:left="425"/>
        <w:jc w:val="both"/>
        <w:rPr>
          <w:rFonts w:ascii="Poppins" w:hAnsi="Poppins" w:cs="Poppins"/>
          <w:sz w:val="18"/>
          <w:szCs w:val="18"/>
        </w:rPr>
      </w:pPr>
    </w:p>
    <w:p w14:paraId="001A10FB" w14:textId="77777777" w:rsidR="00ED72E4" w:rsidRDefault="00ED72E4" w:rsidP="00ED72E4">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746A21">
        <w:rPr>
          <w:rFonts w:ascii="Poppins" w:hAnsi="Poppins" w:cs="Poppins"/>
          <w:b/>
          <w:sz w:val="18"/>
          <w:szCs w:val="18"/>
        </w:rPr>
        <w:t>U</w:t>
      </w:r>
      <w:r>
        <w:rPr>
          <w:rFonts w:ascii="Poppins" w:hAnsi="Poppins" w:cs="Poppins"/>
          <w:b/>
          <w:sz w:val="18"/>
          <w:szCs w:val="18"/>
        </w:rPr>
        <w:t xml:space="preserve">nión </w:t>
      </w:r>
      <w:r w:rsidRPr="00746A21">
        <w:rPr>
          <w:rFonts w:ascii="Poppins" w:hAnsi="Poppins" w:cs="Poppins"/>
          <w:b/>
          <w:sz w:val="18"/>
          <w:szCs w:val="18"/>
        </w:rPr>
        <w:t>E</w:t>
      </w:r>
      <w:r>
        <w:rPr>
          <w:rFonts w:ascii="Poppins" w:hAnsi="Poppins" w:cs="Poppins"/>
          <w:b/>
          <w:sz w:val="18"/>
          <w:szCs w:val="18"/>
        </w:rPr>
        <w:t xml:space="preserve">uropea </w:t>
      </w:r>
      <w:r w:rsidRPr="00746A21">
        <w:rPr>
          <w:rFonts w:ascii="Poppins" w:hAnsi="Poppins" w:cs="Poppins"/>
          <w:b/>
          <w:sz w:val="18"/>
          <w:szCs w:val="18"/>
        </w:rPr>
        <w:t xml:space="preserve">endurece </w:t>
      </w:r>
      <w:r>
        <w:rPr>
          <w:rFonts w:ascii="Poppins" w:hAnsi="Poppins" w:cs="Poppins"/>
          <w:b/>
          <w:sz w:val="18"/>
          <w:szCs w:val="18"/>
        </w:rPr>
        <w:t>medidas</w:t>
      </w:r>
      <w:r w:rsidRPr="00746A21">
        <w:rPr>
          <w:rFonts w:ascii="Poppins" w:hAnsi="Poppins" w:cs="Poppins"/>
          <w:b/>
          <w:sz w:val="18"/>
          <w:szCs w:val="18"/>
        </w:rPr>
        <w:t xml:space="preserve"> y </w:t>
      </w:r>
      <w:r>
        <w:rPr>
          <w:rFonts w:ascii="Poppins" w:hAnsi="Poppins" w:cs="Poppins"/>
          <w:b/>
          <w:sz w:val="18"/>
          <w:szCs w:val="18"/>
        </w:rPr>
        <w:t xml:space="preserve">le </w:t>
      </w:r>
      <w:r w:rsidRPr="00746A21">
        <w:rPr>
          <w:rFonts w:ascii="Poppins" w:hAnsi="Poppins" w:cs="Poppins"/>
          <w:b/>
          <w:sz w:val="18"/>
          <w:szCs w:val="18"/>
        </w:rPr>
        <w:t>cierra la puerta al diésel de origen ruso desde 2026</w:t>
      </w:r>
    </w:p>
    <w:p w14:paraId="030A1978" w14:textId="77777777" w:rsidR="00ED72E4" w:rsidRDefault="00ED72E4" w:rsidP="00ED72E4">
      <w:pPr>
        <w:jc w:val="both"/>
        <w:rPr>
          <w:rFonts w:ascii="Poppins" w:hAnsi="Poppins" w:cs="Poppins"/>
          <w:b/>
          <w:sz w:val="18"/>
          <w:szCs w:val="18"/>
        </w:rPr>
      </w:pPr>
    </w:p>
    <w:p w14:paraId="357FD17C" w14:textId="77777777" w:rsidR="00ED72E4" w:rsidRPr="00746A21" w:rsidRDefault="00ED72E4" w:rsidP="00ED72E4">
      <w:pPr>
        <w:shd w:val="clear" w:color="auto" w:fill="FFFFFF"/>
        <w:ind w:left="425"/>
        <w:jc w:val="both"/>
        <w:rPr>
          <w:rFonts w:ascii="Poppins" w:hAnsi="Poppins" w:cs="Poppins"/>
          <w:sz w:val="18"/>
          <w:szCs w:val="18"/>
        </w:rPr>
      </w:pPr>
      <w:r w:rsidRPr="00746A21">
        <w:rPr>
          <w:rFonts w:ascii="Poppins" w:hAnsi="Poppins" w:cs="Poppins"/>
          <w:sz w:val="18"/>
          <w:szCs w:val="18"/>
        </w:rPr>
        <w:t xml:space="preserve">La Unión Europea anunció que, a partir del 21 de enero de 2026, los importadores deberán demostrar el origen no ruso de todos los combustibles refinados que ingresen al bloque, prohibiendo el uso del mecanismo de </w:t>
      </w:r>
      <w:r w:rsidRPr="00746A21">
        <w:rPr>
          <w:rFonts w:ascii="Poppins" w:hAnsi="Poppins" w:cs="Poppins"/>
          <w:i/>
          <w:iCs/>
          <w:sz w:val="18"/>
          <w:szCs w:val="18"/>
        </w:rPr>
        <w:t>“balance de masa”</w:t>
      </w:r>
      <w:r w:rsidRPr="00746A21">
        <w:rPr>
          <w:rFonts w:ascii="Poppins" w:hAnsi="Poppins" w:cs="Poppins"/>
          <w:sz w:val="18"/>
          <w:szCs w:val="18"/>
        </w:rPr>
        <w:t xml:space="preserve"> que permitía mezclar crudos rusos y no rusos. La medida, incluida en el paquete 19 de sanciones energéticas, busca frenar la reexportación encubierta de productos provenientes de Rusia a través de India y Turquía, que han suministrado en promedio 400 mil </w:t>
      </w:r>
      <w:r>
        <w:rPr>
          <w:rFonts w:ascii="Poppins" w:hAnsi="Poppins" w:cs="Poppins"/>
          <w:sz w:val="18"/>
          <w:szCs w:val="18"/>
        </w:rPr>
        <w:t>bpd</w:t>
      </w:r>
      <w:r w:rsidRPr="00746A21">
        <w:rPr>
          <w:rFonts w:ascii="Poppins" w:hAnsi="Poppins" w:cs="Poppins"/>
          <w:sz w:val="18"/>
          <w:szCs w:val="18"/>
        </w:rPr>
        <w:t xml:space="preserve"> de diésel y jet fuel a Europa desde 2023.</w:t>
      </w:r>
    </w:p>
    <w:p w14:paraId="03944F71" w14:textId="77777777" w:rsidR="00ED72E4" w:rsidRDefault="00ED72E4" w:rsidP="00ED72E4">
      <w:pPr>
        <w:shd w:val="clear" w:color="auto" w:fill="FFFFFF"/>
        <w:ind w:left="425"/>
        <w:jc w:val="both"/>
        <w:rPr>
          <w:rFonts w:ascii="Poppins" w:hAnsi="Poppins" w:cs="Poppins"/>
          <w:sz w:val="18"/>
          <w:szCs w:val="18"/>
        </w:rPr>
      </w:pPr>
    </w:p>
    <w:p w14:paraId="6BB84796" w14:textId="77777777" w:rsidR="00ED72E4" w:rsidRDefault="00ED72E4" w:rsidP="00ED72E4">
      <w:pPr>
        <w:shd w:val="clear" w:color="auto" w:fill="FFFFFF"/>
        <w:ind w:left="425"/>
        <w:jc w:val="both"/>
        <w:rPr>
          <w:rFonts w:ascii="Poppins" w:hAnsi="Poppins" w:cs="Poppins"/>
          <w:sz w:val="18"/>
          <w:szCs w:val="18"/>
        </w:rPr>
      </w:pPr>
      <w:r w:rsidRPr="009E49C5">
        <w:rPr>
          <w:rFonts w:ascii="Poppins" w:hAnsi="Poppins" w:cs="Poppins"/>
          <w:sz w:val="18"/>
          <w:szCs w:val="18"/>
        </w:rPr>
        <w:t>Analistas de S&amp;P Global y Reuters Energy estiman que la medida reducir</w:t>
      </w:r>
      <w:r>
        <w:rPr>
          <w:rFonts w:ascii="Poppins" w:hAnsi="Poppins" w:cs="Poppins"/>
          <w:sz w:val="18"/>
          <w:szCs w:val="18"/>
        </w:rPr>
        <w:t>ía</w:t>
      </w:r>
      <w:r w:rsidRPr="009E49C5">
        <w:rPr>
          <w:rFonts w:ascii="Poppins" w:hAnsi="Poppins" w:cs="Poppins"/>
          <w:sz w:val="18"/>
          <w:szCs w:val="18"/>
        </w:rPr>
        <w:t xml:space="preserve"> significativamente la flexibilidad del sistema de abastecimiento europeo, que desde el embargo de 2022 dependía en gran medida de los combustibles procesados en refinerías asiáticas con alto contenido de crudo ruso. Este cambio podría </w:t>
      </w:r>
      <w:r>
        <w:rPr>
          <w:rFonts w:ascii="Poppins" w:hAnsi="Poppins" w:cs="Poppins"/>
          <w:sz w:val="18"/>
          <w:szCs w:val="18"/>
        </w:rPr>
        <w:t xml:space="preserve">encarecer el diésel hasta en </w:t>
      </w:r>
      <w:r w:rsidRPr="009E49C5">
        <w:rPr>
          <w:rFonts w:ascii="Poppins" w:hAnsi="Poppins" w:cs="Poppins"/>
          <w:sz w:val="18"/>
          <w:szCs w:val="18"/>
        </w:rPr>
        <w:t>50 dólares por tonelada, especialmente durante los meses invernales</w:t>
      </w:r>
      <w:r>
        <w:rPr>
          <w:rFonts w:ascii="Poppins" w:hAnsi="Poppins" w:cs="Poppins"/>
          <w:sz w:val="18"/>
          <w:szCs w:val="18"/>
        </w:rPr>
        <w:t xml:space="preserve"> de 2026. S</w:t>
      </w:r>
      <w:r w:rsidRPr="009E49C5">
        <w:rPr>
          <w:rFonts w:ascii="Poppins" w:hAnsi="Poppins" w:cs="Poppins"/>
          <w:sz w:val="18"/>
          <w:szCs w:val="18"/>
        </w:rPr>
        <w:t xml:space="preserve">in embargo, </w:t>
      </w:r>
      <w:r>
        <w:rPr>
          <w:rFonts w:ascii="Poppins" w:hAnsi="Poppins" w:cs="Poppins"/>
          <w:sz w:val="18"/>
          <w:szCs w:val="18"/>
        </w:rPr>
        <w:t xml:space="preserve">la Unión Europea </w:t>
      </w:r>
      <w:r w:rsidRPr="009E49C5">
        <w:rPr>
          <w:rFonts w:ascii="Poppins" w:hAnsi="Poppins" w:cs="Poppins"/>
          <w:sz w:val="18"/>
          <w:szCs w:val="18"/>
        </w:rPr>
        <w:t>considera que el endurecimiento de las reglas de trazabilidad es esencial para garantizar la integridad de las sanciones energéticas, incluso a costa de una mayor volatilidad de precios</w:t>
      </w:r>
      <w:r>
        <w:rPr>
          <w:rFonts w:ascii="Poppins" w:hAnsi="Poppins" w:cs="Poppins"/>
          <w:sz w:val="18"/>
          <w:szCs w:val="18"/>
        </w:rPr>
        <w:t>.</w:t>
      </w:r>
    </w:p>
    <w:p w14:paraId="179F45C6" w14:textId="77777777" w:rsidR="00ED72E4" w:rsidRDefault="00ED72E4" w:rsidP="00ED72E4">
      <w:pPr>
        <w:shd w:val="clear" w:color="auto" w:fill="FFFFFF"/>
        <w:ind w:left="425"/>
        <w:jc w:val="both"/>
        <w:rPr>
          <w:rFonts w:ascii="Poppins" w:hAnsi="Poppins" w:cs="Poppins"/>
          <w:sz w:val="18"/>
          <w:szCs w:val="18"/>
        </w:rPr>
      </w:pPr>
    </w:p>
    <w:p w14:paraId="54446F35" w14:textId="77777777" w:rsidR="00ED72E4" w:rsidRPr="00C31740" w:rsidRDefault="00ED72E4" w:rsidP="00ED72E4">
      <w:pPr>
        <w:pStyle w:val="Prrafodelista"/>
        <w:numPr>
          <w:ilvl w:val="0"/>
          <w:numId w:val="30"/>
        </w:numPr>
        <w:ind w:left="425"/>
        <w:contextualSpacing/>
        <w:jc w:val="both"/>
        <w:rPr>
          <w:rFonts w:ascii="Poppins" w:hAnsi="Poppins" w:cs="Poppins"/>
          <w:b/>
          <w:sz w:val="18"/>
          <w:szCs w:val="18"/>
        </w:rPr>
      </w:pPr>
      <w:r w:rsidRPr="00C31740">
        <w:rPr>
          <w:rFonts w:ascii="Poppins" w:hAnsi="Poppins" w:cs="Poppins"/>
          <w:b/>
          <w:sz w:val="18"/>
          <w:szCs w:val="18"/>
        </w:rPr>
        <w:t>EE.UU. impondría mayores aranceles a China desde noviembre</w:t>
      </w:r>
    </w:p>
    <w:p w14:paraId="606B1985" w14:textId="77777777" w:rsidR="00ED72E4" w:rsidRPr="00C31740" w:rsidRDefault="00ED72E4" w:rsidP="00ED72E4">
      <w:pPr>
        <w:shd w:val="clear" w:color="auto" w:fill="FFFFFF"/>
        <w:ind w:left="425"/>
        <w:jc w:val="both"/>
        <w:rPr>
          <w:rFonts w:ascii="Poppins" w:hAnsi="Poppins" w:cs="Poppins"/>
          <w:sz w:val="18"/>
          <w:szCs w:val="18"/>
        </w:rPr>
      </w:pPr>
    </w:p>
    <w:p w14:paraId="07BEF849" w14:textId="77777777" w:rsidR="00ED72E4" w:rsidRPr="00C31740" w:rsidRDefault="00ED72E4" w:rsidP="00ED72E4">
      <w:pPr>
        <w:shd w:val="clear" w:color="auto" w:fill="FFFFFF"/>
        <w:ind w:left="425"/>
        <w:jc w:val="both"/>
        <w:rPr>
          <w:rFonts w:ascii="Poppins" w:hAnsi="Poppins" w:cs="Poppins"/>
          <w:sz w:val="18"/>
          <w:szCs w:val="18"/>
        </w:rPr>
      </w:pPr>
      <w:r w:rsidRPr="00C31740">
        <w:rPr>
          <w:rFonts w:ascii="Poppins" w:hAnsi="Poppins" w:cs="Poppins"/>
          <w:sz w:val="18"/>
          <w:szCs w:val="18"/>
        </w:rPr>
        <w:t xml:space="preserve">Donald Trump anunció el incremento de los aranceles sobre las importaciones chinas del 30% al 100%, con entrada en vigor el 1 de noviembre de 2025, medida que afectaría bienes por más de USD 420 mil millones anuales. Los sectores más impactados serán electrónica, maquinaria industrial, componentes automotrices y materiales intermedios, pilares del comercio global. China calificó la decisión como un acto </w:t>
      </w:r>
      <w:r w:rsidRPr="00C31740">
        <w:rPr>
          <w:rFonts w:ascii="Poppins" w:hAnsi="Poppins" w:cs="Poppins"/>
          <w:i/>
          <w:iCs/>
          <w:sz w:val="18"/>
          <w:szCs w:val="18"/>
        </w:rPr>
        <w:t>“económicamente hostil”</w:t>
      </w:r>
      <w:r w:rsidRPr="00C31740">
        <w:rPr>
          <w:rFonts w:ascii="Poppins" w:hAnsi="Poppins" w:cs="Poppins"/>
          <w:sz w:val="18"/>
          <w:szCs w:val="18"/>
        </w:rPr>
        <w:t xml:space="preserve"> y analiza contramedidas que incluyen limitar exportaciones de tierras raras, litio y productos metalúrgicos estratégicos. </w:t>
      </w:r>
    </w:p>
    <w:p w14:paraId="4447AA63" w14:textId="77777777" w:rsidR="00ED72E4" w:rsidRPr="00C31740" w:rsidRDefault="00ED72E4" w:rsidP="00ED72E4">
      <w:pPr>
        <w:shd w:val="clear" w:color="auto" w:fill="FFFFFF"/>
        <w:ind w:left="425"/>
        <w:jc w:val="both"/>
        <w:rPr>
          <w:rFonts w:ascii="Poppins" w:hAnsi="Poppins" w:cs="Poppins"/>
          <w:sz w:val="18"/>
          <w:szCs w:val="18"/>
        </w:rPr>
      </w:pPr>
    </w:p>
    <w:p w14:paraId="0C6075B4" w14:textId="77777777" w:rsidR="00ED72E4" w:rsidRPr="00C31740" w:rsidRDefault="00ED72E4" w:rsidP="00ED72E4">
      <w:pPr>
        <w:shd w:val="clear" w:color="auto" w:fill="FFFFFF"/>
        <w:ind w:left="425"/>
        <w:jc w:val="both"/>
        <w:rPr>
          <w:rFonts w:ascii="Poppins" w:hAnsi="Poppins" w:cs="Poppins"/>
          <w:sz w:val="18"/>
          <w:szCs w:val="18"/>
        </w:rPr>
      </w:pPr>
      <w:r w:rsidRPr="00C31740">
        <w:rPr>
          <w:rFonts w:ascii="Poppins" w:hAnsi="Poppins" w:cs="Poppins"/>
          <w:sz w:val="18"/>
          <w:szCs w:val="18"/>
        </w:rPr>
        <w:lastRenderedPageBreak/>
        <w:t xml:space="preserve">Según Oxford </w:t>
      </w:r>
      <w:proofErr w:type="spellStart"/>
      <w:r w:rsidRPr="00C31740">
        <w:rPr>
          <w:rFonts w:ascii="Poppins" w:hAnsi="Poppins" w:cs="Poppins"/>
          <w:sz w:val="18"/>
          <w:szCs w:val="18"/>
        </w:rPr>
        <w:t>Economics</w:t>
      </w:r>
      <w:proofErr w:type="spellEnd"/>
      <w:r w:rsidRPr="00C31740">
        <w:rPr>
          <w:rFonts w:ascii="Poppins" w:hAnsi="Poppins" w:cs="Poppins"/>
          <w:sz w:val="18"/>
          <w:szCs w:val="18"/>
        </w:rPr>
        <w:t>, el incremento arancelario podría restar hasta 0,5 puntos porcentuales al PIB mundial en 2026, mientras que el FMI prevé una reducción de entre 300 mil a 400 mil barriles diarios en la demanda global de petróleo para ese mismo año.</w:t>
      </w:r>
    </w:p>
    <w:p w14:paraId="6B9036C8" w14:textId="77777777" w:rsidR="00ED72E4" w:rsidRPr="0021332B" w:rsidRDefault="00ED72E4" w:rsidP="00ED72E4">
      <w:pPr>
        <w:shd w:val="clear" w:color="auto" w:fill="FFFFFF"/>
        <w:ind w:left="425"/>
        <w:jc w:val="both"/>
        <w:rPr>
          <w:rFonts w:ascii="Poppins" w:hAnsi="Poppins" w:cs="Poppins"/>
          <w:sz w:val="18"/>
          <w:szCs w:val="18"/>
          <w:highlight w:val="yellow"/>
        </w:rPr>
      </w:pPr>
    </w:p>
    <w:p w14:paraId="16927FEF" w14:textId="77777777" w:rsidR="00ED72E4" w:rsidRPr="00734D44" w:rsidRDefault="00ED72E4" w:rsidP="00ED72E4">
      <w:pPr>
        <w:pStyle w:val="Prrafodelista"/>
        <w:numPr>
          <w:ilvl w:val="0"/>
          <w:numId w:val="30"/>
        </w:numPr>
        <w:ind w:left="425"/>
        <w:contextualSpacing/>
        <w:jc w:val="both"/>
        <w:rPr>
          <w:rFonts w:ascii="Poppins" w:hAnsi="Poppins" w:cs="Poppins"/>
          <w:b/>
          <w:sz w:val="18"/>
          <w:szCs w:val="18"/>
        </w:rPr>
      </w:pPr>
      <w:r w:rsidRPr="00734D44">
        <w:rPr>
          <w:rFonts w:ascii="Poppins" w:hAnsi="Poppins" w:cs="Poppins"/>
          <w:b/>
          <w:sz w:val="18"/>
          <w:szCs w:val="18"/>
        </w:rPr>
        <w:t xml:space="preserve">El alto el fuego en Gaza eliminó la prima geopolítica temporalmente y provocó la caída de los precios del crudo </w:t>
      </w:r>
      <w:r>
        <w:rPr>
          <w:rFonts w:ascii="Poppins" w:hAnsi="Poppins" w:cs="Poppins"/>
          <w:b/>
          <w:sz w:val="18"/>
          <w:szCs w:val="18"/>
        </w:rPr>
        <w:t>durante</w:t>
      </w:r>
      <w:r w:rsidRPr="00734D44">
        <w:rPr>
          <w:rFonts w:ascii="Poppins" w:hAnsi="Poppins" w:cs="Poppins"/>
          <w:b/>
          <w:sz w:val="18"/>
          <w:szCs w:val="18"/>
        </w:rPr>
        <w:t xml:space="preserve"> octubre</w:t>
      </w:r>
    </w:p>
    <w:p w14:paraId="0D42AF3F" w14:textId="77777777" w:rsidR="00ED72E4" w:rsidRPr="00734D44" w:rsidRDefault="00ED72E4" w:rsidP="00ED72E4">
      <w:pPr>
        <w:ind w:left="65"/>
        <w:jc w:val="both"/>
        <w:rPr>
          <w:rFonts w:ascii="Poppins" w:hAnsi="Poppins" w:cs="Poppins"/>
          <w:b/>
          <w:sz w:val="18"/>
          <w:szCs w:val="18"/>
        </w:rPr>
      </w:pPr>
    </w:p>
    <w:p w14:paraId="5249B8EF" w14:textId="77777777" w:rsidR="00ED72E4" w:rsidRPr="00734D44" w:rsidRDefault="00ED72E4" w:rsidP="00ED72E4">
      <w:pPr>
        <w:shd w:val="clear" w:color="auto" w:fill="FFFFFF"/>
        <w:ind w:left="425"/>
        <w:jc w:val="both"/>
        <w:rPr>
          <w:rFonts w:ascii="Poppins" w:hAnsi="Poppins" w:cs="Poppins"/>
          <w:sz w:val="18"/>
          <w:szCs w:val="18"/>
        </w:rPr>
      </w:pPr>
      <w:r w:rsidRPr="00734D44">
        <w:rPr>
          <w:rFonts w:ascii="Poppins" w:hAnsi="Poppins" w:cs="Poppins"/>
          <w:sz w:val="18"/>
          <w:szCs w:val="18"/>
        </w:rPr>
        <w:t xml:space="preserve">El alto el fuego entre Israel y Hamás, acordado el 9 de octubre de 2025 y en vigor desde el 10 de octubre, fue mediado por Estados Unidos, Egipto y Catar e incluye la liberación de 20 rehenes israelíes y la excarcelación de cientos de prisioneros palestinos. El pacto permitió la reapertura del cruce de </w:t>
      </w:r>
      <w:proofErr w:type="spellStart"/>
      <w:r w:rsidRPr="00734D44">
        <w:rPr>
          <w:rFonts w:ascii="Poppins" w:hAnsi="Poppins" w:cs="Poppins"/>
          <w:sz w:val="18"/>
          <w:szCs w:val="18"/>
        </w:rPr>
        <w:t>Rafah</w:t>
      </w:r>
      <w:proofErr w:type="spellEnd"/>
      <w:r w:rsidRPr="00734D44">
        <w:rPr>
          <w:rFonts w:ascii="Poppins" w:hAnsi="Poppins" w:cs="Poppins"/>
          <w:sz w:val="18"/>
          <w:szCs w:val="18"/>
        </w:rPr>
        <w:t>, por donde ingresan 400 a 600 camiones diarios de ayuda humanitaria, y marcó la primera desescalada sostenida en más de dos años de conflicto.</w:t>
      </w:r>
    </w:p>
    <w:p w14:paraId="714899BD" w14:textId="77777777" w:rsidR="00ED72E4" w:rsidRPr="00734D44" w:rsidRDefault="00ED72E4" w:rsidP="00ED72E4">
      <w:pPr>
        <w:shd w:val="clear" w:color="auto" w:fill="FFFFFF"/>
        <w:ind w:left="425"/>
        <w:jc w:val="both"/>
        <w:rPr>
          <w:rFonts w:ascii="Poppins" w:hAnsi="Poppins" w:cs="Poppins"/>
          <w:sz w:val="18"/>
          <w:szCs w:val="18"/>
        </w:rPr>
      </w:pPr>
    </w:p>
    <w:p w14:paraId="093EDD9A" w14:textId="77777777" w:rsidR="00ED72E4" w:rsidRPr="00734D44" w:rsidRDefault="00ED72E4" w:rsidP="00ED72E4">
      <w:pPr>
        <w:shd w:val="clear" w:color="auto" w:fill="FFFFFF"/>
        <w:ind w:left="425"/>
        <w:jc w:val="both"/>
        <w:rPr>
          <w:rFonts w:ascii="Poppins" w:hAnsi="Poppins" w:cs="Poppins"/>
          <w:sz w:val="18"/>
          <w:szCs w:val="18"/>
        </w:rPr>
      </w:pPr>
      <w:r w:rsidRPr="00734D44">
        <w:rPr>
          <w:rFonts w:ascii="Poppins" w:hAnsi="Poppins" w:cs="Poppins"/>
          <w:sz w:val="18"/>
          <w:szCs w:val="18"/>
        </w:rPr>
        <w:t>La reacción del mercado fue inmediata provocando una corrección inmediata en los precios del petróleo, con el WTI cayendo a 58,90 US$/</w:t>
      </w:r>
      <w:proofErr w:type="spellStart"/>
      <w:r w:rsidRPr="00734D44">
        <w:rPr>
          <w:rFonts w:ascii="Poppins" w:hAnsi="Poppins" w:cs="Poppins"/>
          <w:sz w:val="18"/>
          <w:szCs w:val="18"/>
        </w:rPr>
        <w:t>Bl</w:t>
      </w:r>
      <w:proofErr w:type="spellEnd"/>
      <w:r w:rsidRPr="00734D44">
        <w:rPr>
          <w:rFonts w:ascii="Poppins" w:hAnsi="Poppins" w:cs="Poppins"/>
          <w:sz w:val="18"/>
          <w:szCs w:val="18"/>
        </w:rPr>
        <w:t xml:space="preserve"> y el Brent situándose entre 62,73 y 65,22 US$/</w:t>
      </w:r>
      <w:proofErr w:type="spellStart"/>
      <w:r w:rsidRPr="00734D44">
        <w:rPr>
          <w:rFonts w:ascii="Poppins" w:hAnsi="Poppins" w:cs="Poppins"/>
          <w:sz w:val="18"/>
          <w:szCs w:val="18"/>
        </w:rPr>
        <w:t>Bl</w:t>
      </w:r>
      <w:proofErr w:type="spellEnd"/>
      <w:r w:rsidRPr="00734D44">
        <w:rPr>
          <w:rFonts w:ascii="Poppins" w:hAnsi="Poppins" w:cs="Poppins"/>
          <w:sz w:val="18"/>
          <w:szCs w:val="18"/>
        </w:rPr>
        <w:t xml:space="preserve"> durante esa semana y que correspondían a sus niveles más bajos desde mayo. Con la desactivación del riesgo de una escalada regional, los operadores desmontaron la prima geopolítica que había sostenido los precios durante el mes de setiembre.</w:t>
      </w:r>
    </w:p>
    <w:p w14:paraId="4BC80CD3" w14:textId="77777777" w:rsidR="00ED72E4" w:rsidRPr="0021332B" w:rsidRDefault="00ED72E4" w:rsidP="00ED72E4">
      <w:pPr>
        <w:shd w:val="clear" w:color="auto" w:fill="FFFFFF"/>
        <w:ind w:left="425"/>
        <w:jc w:val="both"/>
        <w:rPr>
          <w:rFonts w:ascii="Poppins" w:hAnsi="Poppins" w:cs="Poppins"/>
          <w:sz w:val="18"/>
          <w:szCs w:val="18"/>
          <w:highlight w:val="yellow"/>
        </w:rPr>
      </w:pPr>
    </w:p>
    <w:p w14:paraId="54A0D71D" w14:textId="77777777" w:rsidR="00ED72E4" w:rsidRPr="00734D44" w:rsidRDefault="00ED72E4" w:rsidP="00ED72E4">
      <w:pPr>
        <w:pStyle w:val="Prrafodelista"/>
        <w:numPr>
          <w:ilvl w:val="0"/>
          <w:numId w:val="30"/>
        </w:numPr>
        <w:ind w:left="425"/>
        <w:contextualSpacing/>
        <w:jc w:val="both"/>
        <w:rPr>
          <w:rFonts w:ascii="Poppins" w:hAnsi="Poppins" w:cs="Poppins"/>
          <w:b/>
          <w:sz w:val="18"/>
          <w:szCs w:val="18"/>
        </w:rPr>
      </w:pPr>
      <w:r w:rsidRPr="00734D44">
        <w:rPr>
          <w:rFonts w:ascii="Poppins" w:hAnsi="Poppins" w:cs="Poppins"/>
          <w:b/>
          <w:sz w:val="18"/>
          <w:szCs w:val="18"/>
        </w:rPr>
        <w:t xml:space="preserve">Menor demanda de China e India y riesgo de desaceleración </w:t>
      </w:r>
    </w:p>
    <w:p w14:paraId="396952EB" w14:textId="77777777" w:rsidR="00ED72E4" w:rsidRPr="00734D44" w:rsidRDefault="00ED72E4" w:rsidP="00ED72E4">
      <w:pPr>
        <w:shd w:val="clear" w:color="auto" w:fill="FFFFFF"/>
        <w:ind w:left="425"/>
        <w:jc w:val="both"/>
        <w:rPr>
          <w:rFonts w:ascii="Poppins" w:hAnsi="Poppins" w:cs="Poppins"/>
          <w:sz w:val="18"/>
          <w:szCs w:val="18"/>
        </w:rPr>
      </w:pPr>
    </w:p>
    <w:p w14:paraId="189EE3FB" w14:textId="77777777" w:rsidR="00ED72E4" w:rsidRPr="00734D44" w:rsidRDefault="00ED72E4" w:rsidP="00ED72E4">
      <w:pPr>
        <w:shd w:val="clear" w:color="auto" w:fill="FFFFFF"/>
        <w:ind w:left="425"/>
        <w:jc w:val="both"/>
        <w:rPr>
          <w:rFonts w:ascii="Poppins" w:hAnsi="Poppins" w:cs="Poppins"/>
          <w:sz w:val="18"/>
          <w:szCs w:val="18"/>
        </w:rPr>
      </w:pPr>
      <w:r w:rsidRPr="00734D44">
        <w:rPr>
          <w:rFonts w:ascii="Poppins" w:hAnsi="Poppins" w:cs="Poppins"/>
          <w:sz w:val="18"/>
          <w:szCs w:val="18"/>
        </w:rPr>
        <w:t xml:space="preserve">La demanda de petróleo en Asia, que representa más del 35% del consumo global, comenzó a desacelerarse con fuerza hacia el cierre del tercer trimestre de 2025. En India, el consumo total de combustibles cayó a 18,63 millones de toneladas métricas en setiembre (−0,5 % mensual), marcando su nivel más bajo en un año. La reducción responde tanto a factores estacionales </w:t>
      </w:r>
      <w:proofErr w:type="spellStart"/>
      <w:r w:rsidRPr="00734D44">
        <w:rPr>
          <w:rFonts w:ascii="Poppins" w:hAnsi="Poppins" w:cs="Poppins"/>
          <w:sz w:val="18"/>
          <w:szCs w:val="18"/>
        </w:rPr>
        <w:t>postmonzón</w:t>
      </w:r>
      <w:proofErr w:type="spellEnd"/>
      <w:r w:rsidRPr="00734D44">
        <w:rPr>
          <w:rFonts w:ascii="Poppins" w:hAnsi="Poppins" w:cs="Poppins"/>
          <w:sz w:val="18"/>
          <w:szCs w:val="18"/>
        </w:rPr>
        <w:t xml:space="preserve"> (que limitan la movilidad y la actividad constructiva) así como a la ampliación del programa E20, que obliga a mezclar 20% de etanol en la gasolina, liberando excedentes para exportación.</w:t>
      </w:r>
    </w:p>
    <w:p w14:paraId="229CC929" w14:textId="77777777" w:rsidR="00ED72E4" w:rsidRPr="00734D44" w:rsidRDefault="00ED72E4" w:rsidP="00ED72E4">
      <w:pPr>
        <w:shd w:val="clear" w:color="auto" w:fill="FFFFFF"/>
        <w:ind w:left="425"/>
        <w:jc w:val="both"/>
        <w:rPr>
          <w:rFonts w:ascii="Poppins" w:hAnsi="Poppins" w:cs="Poppins"/>
          <w:sz w:val="18"/>
          <w:szCs w:val="18"/>
        </w:rPr>
      </w:pPr>
    </w:p>
    <w:p w14:paraId="73DDED7A" w14:textId="77777777" w:rsidR="00ED72E4" w:rsidRPr="00734D44" w:rsidRDefault="00ED72E4" w:rsidP="00ED72E4">
      <w:pPr>
        <w:shd w:val="clear" w:color="auto" w:fill="FFFFFF"/>
        <w:ind w:left="425"/>
        <w:jc w:val="both"/>
        <w:rPr>
          <w:rFonts w:ascii="Poppins" w:hAnsi="Poppins" w:cs="Poppins"/>
          <w:sz w:val="18"/>
          <w:szCs w:val="18"/>
        </w:rPr>
      </w:pPr>
      <w:r w:rsidRPr="00734D44">
        <w:rPr>
          <w:rFonts w:ascii="Poppins" w:hAnsi="Poppins" w:cs="Poppins"/>
          <w:sz w:val="18"/>
          <w:szCs w:val="18"/>
        </w:rPr>
        <w:t>Por su parte, en China, las refinerías redujeron sus nominaciones de crudo saudí para noviembre en unos 300 mil bpd, bajando sus pedidos a 40 millones de barriles, lo que sugiere una moderación del ritmo de importaciones y un mayor interés por crudos con descuento provenientes de Rusia e Irán. El retroceso simultáneo de los dos mayores compradores del mundo acentúa la percepción de sobreoferta global y la actual debilidad de la demanda asiática.</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lastRenderedPageBreak/>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058E9301" w:rsidR="00B2197E" w:rsidRDefault="00B2197E" w:rsidP="00D87FA1">
      <w:pPr>
        <w:ind w:left="426"/>
        <w:jc w:val="both"/>
        <w:rPr>
          <w:rFonts w:ascii="Poppins" w:hAnsi="Poppins" w:cs="Poppins"/>
          <w:sz w:val="18"/>
          <w:szCs w:val="18"/>
        </w:rPr>
      </w:pPr>
    </w:p>
    <w:p w14:paraId="49AA5059" w14:textId="25D94F02" w:rsidR="00784CB3" w:rsidRDefault="00784CB3" w:rsidP="00D87FA1">
      <w:pPr>
        <w:ind w:left="426"/>
        <w:jc w:val="both"/>
        <w:rPr>
          <w:rFonts w:ascii="Poppins" w:hAnsi="Poppins" w:cs="Poppins"/>
          <w:sz w:val="18"/>
          <w:szCs w:val="18"/>
        </w:rPr>
      </w:pPr>
    </w:p>
    <w:p w14:paraId="1CB8D00D" w14:textId="791251C5" w:rsidR="00784CB3" w:rsidRDefault="00784CB3" w:rsidP="00D87FA1">
      <w:pPr>
        <w:ind w:left="426"/>
        <w:jc w:val="both"/>
        <w:rPr>
          <w:rFonts w:ascii="Poppins" w:hAnsi="Poppins" w:cs="Poppins"/>
          <w:sz w:val="18"/>
          <w:szCs w:val="18"/>
        </w:rPr>
      </w:pPr>
    </w:p>
    <w:p w14:paraId="4ED7E49B" w14:textId="4B69F9D5" w:rsidR="00784CB3" w:rsidRDefault="00784CB3" w:rsidP="00D87FA1">
      <w:pPr>
        <w:ind w:left="426"/>
        <w:jc w:val="both"/>
        <w:rPr>
          <w:rFonts w:ascii="Poppins" w:hAnsi="Poppins" w:cs="Poppins"/>
          <w:sz w:val="18"/>
          <w:szCs w:val="18"/>
        </w:rPr>
      </w:pPr>
    </w:p>
    <w:p w14:paraId="3BA22CF5" w14:textId="57A37EE8" w:rsidR="00784CB3" w:rsidRDefault="00784CB3" w:rsidP="00D87FA1">
      <w:pPr>
        <w:ind w:left="426"/>
        <w:jc w:val="both"/>
        <w:rPr>
          <w:rFonts w:ascii="Poppins" w:hAnsi="Poppins" w:cs="Poppins"/>
          <w:sz w:val="18"/>
          <w:szCs w:val="18"/>
        </w:rPr>
      </w:pPr>
    </w:p>
    <w:p w14:paraId="36486432" w14:textId="1238AACF" w:rsidR="00784CB3" w:rsidRDefault="00784CB3" w:rsidP="00D87FA1">
      <w:pPr>
        <w:ind w:left="426"/>
        <w:jc w:val="both"/>
        <w:rPr>
          <w:rFonts w:ascii="Poppins" w:hAnsi="Poppins" w:cs="Poppins"/>
          <w:sz w:val="18"/>
          <w:szCs w:val="18"/>
        </w:rPr>
      </w:pPr>
    </w:p>
    <w:p w14:paraId="22FD761B" w14:textId="70A8B868" w:rsidR="00784CB3" w:rsidRDefault="00784CB3" w:rsidP="00D87FA1">
      <w:pPr>
        <w:ind w:left="426"/>
        <w:jc w:val="both"/>
        <w:rPr>
          <w:rFonts w:ascii="Poppins" w:hAnsi="Poppins" w:cs="Poppins"/>
          <w:sz w:val="18"/>
          <w:szCs w:val="18"/>
        </w:rPr>
      </w:pPr>
    </w:p>
    <w:p w14:paraId="13B75C61" w14:textId="7C5FAC9B" w:rsidR="00784CB3" w:rsidRDefault="00784CB3" w:rsidP="00D87FA1">
      <w:pPr>
        <w:ind w:left="426"/>
        <w:jc w:val="both"/>
        <w:rPr>
          <w:rFonts w:ascii="Poppins" w:hAnsi="Poppins" w:cs="Poppins"/>
          <w:sz w:val="18"/>
          <w:szCs w:val="18"/>
        </w:rPr>
      </w:pPr>
    </w:p>
    <w:p w14:paraId="7D6DBF6D" w14:textId="7655A205" w:rsidR="00784CB3" w:rsidRDefault="00784CB3" w:rsidP="00D87FA1">
      <w:pPr>
        <w:ind w:left="426"/>
        <w:jc w:val="both"/>
        <w:rPr>
          <w:rFonts w:ascii="Poppins" w:hAnsi="Poppins" w:cs="Poppins"/>
          <w:sz w:val="18"/>
          <w:szCs w:val="18"/>
        </w:rPr>
      </w:pPr>
    </w:p>
    <w:p w14:paraId="4E358989" w14:textId="76EA2003" w:rsidR="00784CB3" w:rsidRDefault="00784CB3" w:rsidP="00D87FA1">
      <w:pPr>
        <w:ind w:left="426"/>
        <w:jc w:val="both"/>
        <w:rPr>
          <w:rFonts w:ascii="Poppins" w:hAnsi="Poppins" w:cs="Poppins"/>
          <w:sz w:val="18"/>
          <w:szCs w:val="18"/>
        </w:rPr>
      </w:pPr>
    </w:p>
    <w:p w14:paraId="0EDB0BBA" w14:textId="045DA322" w:rsidR="00784CB3" w:rsidRDefault="00784CB3" w:rsidP="00D87FA1">
      <w:pPr>
        <w:ind w:left="426"/>
        <w:jc w:val="both"/>
        <w:rPr>
          <w:rFonts w:ascii="Poppins" w:hAnsi="Poppins" w:cs="Poppins"/>
          <w:sz w:val="18"/>
          <w:szCs w:val="18"/>
        </w:rPr>
      </w:pPr>
    </w:p>
    <w:p w14:paraId="17480A8C" w14:textId="41C9635E" w:rsidR="00784CB3" w:rsidRDefault="00784CB3" w:rsidP="00D87FA1">
      <w:pPr>
        <w:ind w:left="426"/>
        <w:jc w:val="both"/>
        <w:rPr>
          <w:rFonts w:ascii="Poppins" w:hAnsi="Poppins" w:cs="Poppins"/>
          <w:sz w:val="18"/>
          <w:szCs w:val="18"/>
        </w:rPr>
      </w:pPr>
    </w:p>
    <w:p w14:paraId="65F5E410" w14:textId="253B2EA1" w:rsidR="00784CB3" w:rsidRDefault="00784CB3" w:rsidP="00D87FA1">
      <w:pPr>
        <w:ind w:left="426"/>
        <w:jc w:val="both"/>
        <w:rPr>
          <w:rFonts w:ascii="Poppins" w:hAnsi="Poppins" w:cs="Poppins"/>
          <w:sz w:val="18"/>
          <w:szCs w:val="18"/>
        </w:rPr>
      </w:pPr>
    </w:p>
    <w:p w14:paraId="6A7890C8" w14:textId="2E572EA3" w:rsidR="00784CB3" w:rsidRDefault="00784CB3" w:rsidP="00D87FA1">
      <w:pPr>
        <w:ind w:left="426"/>
        <w:jc w:val="both"/>
        <w:rPr>
          <w:rFonts w:ascii="Poppins" w:hAnsi="Poppins" w:cs="Poppins"/>
          <w:sz w:val="18"/>
          <w:szCs w:val="18"/>
        </w:rPr>
      </w:pPr>
    </w:p>
    <w:p w14:paraId="61A4DEDB" w14:textId="0D0667E1" w:rsidR="00784CB3" w:rsidRDefault="00784CB3" w:rsidP="00D87FA1">
      <w:pPr>
        <w:ind w:left="426"/>
        <w:jc w:val="both"/>
        <w:rPr>
          <w:rFonts w:ascii="Poppins" w:hAnsi="Poppins" w:cs="Poppins"/>
          <w:sz w:val="18"/>
          <w:szCs w:val="18"/>
        </w:rPr>
      </w:pPr>
    </w:p>
    <w:p w14:paraId="49CBE0EE" w14:textId="77777777" w:rsidR="00784CB3" w:rsidRDefault="00784CB3"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A7A04B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C4098">
        <w:rPr>
          <w:rFonts w:ascii="Poppins" w:hAnsi="Poppins" w:cs="Poppins"/>
          <w:sz w:val="18"/>
          <w:szCs w:val="18"/>
        </w:rPr>
        <w:t xml:space="preserve"> y </w:t>
      </w:r>
      <w:r w:rsidR="007C4098" w:rsidRPr="0096213B">
        <w:rPr>
          <w:rFonts w:ascii="Poppins" w:hAnsi="Poppins" w:cs="Poppins"/>
          <w:sz w:val="18"/>
          <w:szCs w:val="18"/>
        </w:rPr>
        <w:t xml:space="preserve">Osinergmin </w:t>
      </w:r>
      <w:proofErr w:type="spellStart"/>
      <w:r w:rsidR="007C4098" w:rsidRPr="0096213B">
        <w:rPr>
          <w:rFonts w:ascii="Poppins" w:hAnsi="Poppins" w:cs="Poppins"/>
          <w:sz w:val="18"/>
          <w:szCs w:val="18"/>
        </w:rPr>
        <w:t>N°</w:t>
      </w:r>
      <w:proofErr w:type="spellEnd"/>
      <w:r w:rsidR="007C4098" w:rsidRPr="0096213B">
        <w:rPr>
          <w:rFonts w:ascii="Poppins" w:hAnsi="Poppins" w:cs="Poppins"/>
          <w:sz w:val="18"/>
          <w:szCs w:val="18"/>
        </w:rPr>
        <w:t xml:space="preserve"> </w:t>
      </w:r>
      <w:r w:rsidR="007C4098">
        <w:rPr>
          <w:rFonts w:ascii="Poppins" w:hAnsi="Poppins" w:cs="Poppins"/>
          <w:sz w:val="18"/>
          <w:szCs w:val="18"/>
        </w:rPr>
        <w:t>029</w:t>
      </w:r>
      <w:r w:rsidR="007C4098" w:rsidRPr="0096213B">
        <w:rPr>
          <w:rFonts w:ascii="Poppins" w:hAnsi="Poppins" w:cs="Poppins"/>
          <w:sz w:val="18"/>
          <w:szCs w:val="18"/>
        </w:rPr>
        <w:t>-202</w:t>
      </w:r>
      <w:r w:rsidR="007C4098">
        <w:rPr>
          <w:rFonts w:ascii="Poppins" w:hAnsi="Poppins" w:cs="Poppins"/>
          <w:sz w:val="18"/>
          <w:szCs w:val="18"/>
        </w:rPr>
        <w:t>5</w:t>
      </w:r>
      <w:r w:rsidR="007C4098"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FA0FB0">
        <w:rPr>
          <w:rFonts w:ascii="Poppins" w:hAnsi="Poppins" w:cs="Poppins"/>
          <w:sz w:val="18"/>
          <w:szCs w:val="18"/>
        </w:rPr>
        <w:t>2</w:t>
      </w:r>
      <w:r w:rsidR="00F02F0E">
        <w:rPr>
          <w:rFonts w:ascii="Poppins" w:hAnsi="Poppins" w:cs="Poppins"/>
          <w:sz w:val="18"/>
          <w:szCs w:val="18"/>
        </w:rPr>
        <w:t>8</w:t>
      </w:r>
      <w:r w:rsidR="007C4098" w:rsidRPr="00581B20">
        <w:rPr>
          <w:rFonts w:ascii="Poppins" w:hAnsi="Poppins" w:cs="Poppins"/>
          <w:sz w:val="18"/>
          <w:szCs w:val="18"/>
        </w:rPr>
        <w:t xml:space="preserve"> de </w:t>
      </w:r>
      <w:r w:rsidR="00C27332">
        <w:rPr>
          <w:rFonts w:ascii="Poppins" w:hAnsi="Poppins" w:cs="Poppins"/>
          <w:sz w:val="18"/>
          <w:szCs w:val="18"/>
        </w:rPr>
        <w:t>octubre</w:t>
      </w:r>
      <w:r w:rsidR="007C4098" w:rsidRPr="00581B20">
        <w:rPr>
          <w:rFonts w:ascii="Poppins" w:hAnsi="Poppins" w:cs="Poppins"/>
          <w:sz w:val="18"/>
          <w:szCs w:val="18"/>
        </w:rPr>
        <w:t xml:space="preserve"> de 2025 hasta el </w:t>
      </w:r>
      <w:r w:rsidR="00F02F0E">
        <w:rPr>
          <w:rFonts w:ascii="Poppins" w:hAnsi="Poppins" w:cs="Poppins"/>
          <w:sz w:val="18"/>
          <w:szCs w:val="18"/>
        </w:rPr>
        <w:t>j</w:t>
      </w:r>
      <w:r w:rsidR="007C4098">
        <w:rPr>
          <w:rFonts w:ascii="Poppins" w:hAnsi="Poppins" w:cs="Poppins"/>
          <w:sz w:val="18"/>
          <w:szCs w:val="18"/>
        </w:rPr>
        <w:t>u</w:t>
      </w:r>
      <w:r w:rsidR="00F02F0E">
        <w:rPr>
          <w:rFonts w:ascii="Poppins" w:hAnsi="Poppins" w:cs="Poppins"/>
          <w:sz w:val="18"/>
          <w:szCs w:val="18"/>
        </w:rPr>
        <w:t>eves</w:t>
      </w:r>
      <w:r w:rsidR="007C4098" w:rsidRPr="00581B20">
        <w:rPr>
          <w:rFonts w:ascii="Poppins" w:hAnsi="Poppins" w:cs="Poppins"/>
          <w:sz w:val="18"/>
          <w:szCs w:val="18"/>
        </w:rPr>
        <w:t xml:space="preserve"> </w:t>
      </w:r>
      <w:r w:rsidR="00F02F0E">
        <w:rPr>
          <w:rFonts w:ascii="Poppins" w:hAnsi="Poppins" w:cs="Poppins"/>
          <w:sz w:val="18"/>
          <w:szCs w:val="18"/>
        </w:rPr>
        <w:t>30</w:t>
      </w:r>
      <w:r w:rsidR="007C4098" w:rsidRPr="00581B20">
        <w:rPr>
          <w:rFonts w:ascii="Poppins" w:hAnsi="Poppins" w:cs="Poppins"/>
          <w:sz w:val="18"/>
          <w:szCs w:val="18"/>
        </w:rPr>
        <w:t xml:space="preserve"> de </w:t>
      </w:r>
      <w:r w:rsidR="00D063A9">
        <w:rPr>
          <w:rFonts w:ascii="Poppins" w:hAnsi="Poppins" w:cs="Poppins"/>
          <w:sz w:val="18"/>
          <w:szCs w:val="18"/>
        </w:rPr>
        <w:t>octubre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36A8D42"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784CB3">
        <w:rPr>
          <w:rFonts w:ascii="Poppins" w:hAnsi="Poppins" w:cs="Poppins"/>
          <w:sz w:val="18"/>
          <w:szCs w:val="18"/>
        </w:rPr>
        <w:t>2</w:t>
      </w:r>
      <w:r w:rsidR="00806E7A">
        <w:rPr>
          <w:rFonts w:ascii="Poppins" w:hAnsi="Poppins" w:cs="Poppins"/>
          <w:sz w:val="18"/>
          <w:szCs w:val="18"/>
        </w:rPr>
        <w:t>8</w:t>
      </w:r>
      <w:r w:rsidRPr="00684D32">
        <w:rPr>
          <w:rFonts w:ascii="Poppins" w:hAnsi="Poppins" w:cs="Poppins"/>
          <w:sz w:val="18"/>
          <w:szCs w:val="18"/>
        </w:rPr>
        <w:t>.</w:t>
      </w:r>
      <w:r w:rsidR="00C27332">
        <w:rPr>
          <w:rFonts w:ascii="Poppins" w:hAnsi="Poppins" w:cs="Poppins"/>
          <w:sz w:val="18"/>
          <w:szCs w:val="18"/>
        </w:rPr>
        <w:t>1</w:t>
      </w:r>
      <w:r w:rsidR="0082707D" w:rsidRPr="00684D32">
        <w:rPr>
          <w:rFonts w:ascii="Poppins" w:hAnsi="Poppins" w:cs="Poppins"/>
          <w:sz w:val="18"/>
          <w:szCs w:val="18"/>
        </w:rPr>
        <w:t>0</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del</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784CB3">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B778BE">
        <w:rPr>
          <w:rFonts w:ascii="Poppins" w:hAnsi="Poppins" w:cs="Poppins"/>
          <w:sz w:val="18"/>
          <w:szCs w:val="18"/>
          <w:lang w:val="es-PE"/>
        </w:rPr>
        <w:t>1</w:t>
      </w:r>
      <w:r w:rsidR="00784CB3">
        <w:rPr>
          <w:rFonts w:ascii="Poppins" w:hAnsi="Poppins" w:cs="Poppins"/>
          <w:sz w:val="18"/>
          <w:szCs w:val="18"/>
          <w:lang w:val="es-PE"/>
        </w:rPr>
        <w:t>0</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784CB3">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B778BE">
        <w:rPr>
          <w:rFonts w:ascii="Poppins" w:hAnsi="Poppins" w:cs="Poppins"/>
          <w:sz w:val="18"/>
          <w:szCs w:val="18"/>
        </w:rPr>
        <w:t>1</w:t>
      </w:r>
      <w:r w:rsidR="00784CB3">
        <w:rPr>
          <w:rFonts w:ascii="Poppins" w:hAnsi="Poppins" w:cs="Poppins"/>
          <w:sz w:val="18"/>
          <w:szCs w:val="18"/>
        </w:rPr>
        <w:t>0</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FA0FB0">
        <w:rPr>
          <w:rFonts w:ascii="Poppins" w:hAnsi="Poppins" w:cs="Poppins"/>
          <w:sz w:val="18"/>
          <w:szCs w:val="18"/>
        </w:rPr>
        <w:t xml:space="preserve"> y</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FA0FB0">
        <w:rPr>
          <w:rFonts w:ascii="Poppins" w:hAnsi="Poppins" w:cs="Poppins"/>
          <w:sz w:val="18"/>
          <w:szCs w:val="18"/>
        </w:rPr>
        <w:t>+</w:t>
      </w:r>
      <w:r w:rsidR="00E621C9" w:rsidRPr="00684D32">
        <w:rPr>
          <w:rFonts w:ascii="Poppins" w:hAnsi="Poppins" w:cs="Poppins"/>
          <w:sz w:val="18"/>
          <w:szCs w:val="18"/>
        </w:rPr>
        <w:t>0,</w:t>
      </w:r>
      <w:r w:rsidR="00EA6962">
        <w:rPr>
          <w:rFonts w:ascii="Poppins" w:hAnsi="Poppins" w:cs="Poppins"/>
          <w:sz w:val="18"/>
          <w:szCs w:val="18"/>
        </w:rPr>
        <w:t>2</w:t>
      </w:r>
      <w:r w:rsidR="00B778BE">
        <w:rPr>
          <w:rFonts w:ascii="Poppins" w:hAnsi="Poppins" w:cs="Poppins"/>
          <w:sz w:val="18"/>
          <w:szCs w:val="18"/>
        </w:rPr>
        <w:t>6</w:t>
      </w:r>
      <w:r w:rsidR="00E621C9" w:rsidRPr="00684D32">
        <w:rPr>
          <w:rFonts w:ascii="Poppins" w:hAnsi="Poppins" w:cs="Poppins"/>
          <w:sz w:val="18"/>
          <w:szCs w:val="18"/>
        </w:rPr>
        <w:t xml:space="preserve"> S/Gln)</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BC93A8C"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878B1">
        <w:rPr>
          <w:rFonts w:ascii="Poppins" w:hAnsi="Poppins" w:cs="Poppins"/>
          <w:sz w:val="18"/>
          <w:szCs w:val="18"/>
        </w:rPr>
        <w:t>13</w:t>
      </w:r>
      <w:r w:rsidR="00336251" w:rsidRPr="0096213B">
        <w:rPr>
          <w:rFonts w:ascii="Poppins" w:hAnsi="Poppins" w:cs="Poppins"/>
          <w:sz w:val="18"/>
          <w:szCs w:val="18"/>
        </w:rPr>
        <w:t>/</w:t>
      </w:r>
      <w:r w:rsidR="000C00CF">
        <w:rPr>
          <w:rFonts w:ascii="Poppins" w:hAnsi="Poppins" w:cs="Poppins"/>
          <w:sz w:val="18"/>
          <w:szCs w:val="18"/>
        </w:rPr>
        <w:t>1</w:t>
      </w:r>
      <w:r w:rsidR="000F0295">
        <w:rPr>
          <w:rFonts w:ascii="Poppins" w:hAnsi="Poppins" w:cs="Poppins"/>
          <w:sz w:val="18"/>
          <w:szCs w:val="18"/>
        </w:rPr>
        <w:t>0</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7878B1">
        <w:rPr>
          <w:rFonts w:ascii="Poppins" w:hAnsi="Poppins" w:cs="Poppins"/>
          <w:sz w:val="18"/>
          <w:szCs w:val="18"/>
        </w:rPr>
        <w:t>24</w:t>
      </w:r>
      <w:r w:rsidR="00336251" w:rsidRPr="0096213B">
        <w:rPr>
          <w:rFonts w:ascii="Poppins" w:hAnsi="Poppins" w:cs="Poppins"/>
          <w:sz w:val="18"/>
          <w:szCs w:val="18"/>
        </w:rPr>
        <w:t>/</w:t>
      </w:r>
      <w:r w:rsidR="00EA6962">
        <w:rPr>
          <w:rFonts w:ascii="Poppins" w:hAnsi="Poppins" w:cs="Poppins"/>
          <w:sz w:val="18"/>
          <w:szCs w:val="18"/>
        </w:rPr>
        <w:t>1</w:t>
      </w:r>
      <w:r w:rsidR="00C41E63">
        <w:rPr>
          <w:rFonts w:ascii="Poppins" w:hAnsi="Poppins" w:cs="Poppins"/>
          <w:sz w:val="18"/>
          <w:szCs w:val="18"/>
        </w:rPr>
        <w:t>0</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7ACA5C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D7010">
        <w:rPr>
          <w:rFonts w:ascii="Poppins" w:hAnsi="Poppins" w:cs="Poppins"/>
          <w:b/>
          <w:bCs/>
          <w:i/>
          <w:sz w:val="18"/>
          <w:szCs w:val="18"/>
          <w:lang w:eastAsia="es-PE"/>
        </w:rPr>
        <w:t>2</w:t>
      </w:r>
      <w:r w:rsidR="00BD6D52">
        <w:rPr>
          <w:rFonts w:ascii="Poppins" w:hAnsi="Poppins" w:cs="Poppins"/>
          <w:b/>
          <w:bCs/>
          <w:i/>
          <w:sz w:val="18"/>
          <w:szCs w:val="18"/>
          <w:lang w:eastAsia="es-PE"/>
        </w:rPr>
        <w:t xml:space="preserve">7 </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C41E63">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B56AD02" w:rsidR="00A86191" w:rsidRPr="0096213B" w:rsidRDefault="007878B1"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B1DADA1" wp14:editId="5DCFEB02">
            <wp:extent cx="5466646" cy="3505200"/>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9699" cy="3519982"/>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03E73CD"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D7010">
        <w:rPr>
          <w:rFonts w:ascii="Poppins" w:hAnsi="Poppins" w:cs="Poppins"/>
          <w:sz w:val="18"/>
          <w:szCs w:val="18"/>
        </w:rPr>
        <w:t>1</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878B1">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7878B1">
        <w:rPr>
          <w:rFonts w:ascii="Poppins" w:hAnsi="Poppins" w:cs="Poppins"/>
          <w:sz w:val="18"/>
          <w:szCs w:val="18"/>
        </w:rPr>
        <w:t>5</w:t>
      </w:r>
      <w:r w:rsidR="00E70A0E">
        <w:rPr>
          <w:rFonts w:ascii="Poppins" w:hAnsi="Poppins" w:cs="Poppins"/>
          <w:sz w:val="18"/>
          <w:szCs w:val="18"/>
        </w:rPr>
        <w:t>%</w:t>
      </w:r>
      <w:r w:rsidR="00DD7010">
        <w:rPr>
          <w:rFonts w:ascii="Poppins" w:hAnsi="Poppins" w:cs="Poppins"/>
          <w:sz w:val="18"/>
          <w:szCs w:val="18"/>
        </w:rPr>
        <w:t xml:space="preserve"> y 8</w:t>
      </w:r>
      <w:r w:rsidR="007878B1">
        <w:rPr>
          <w:rFonts w:ascii="Poppins" w:hAnsi="Poppins" w:cs="Poppins"/>
          <w:sz w:val="18"/>
          <w:szCs w:val="18"/>
        </w:rPr>
        <w:t>4</w:t>
      </w:r>
      <w:r w:rsidR="00DD7010">
        <w:rPr>
          <w:rFonts w:ascii="Poppins" w:hAnsi="Poppins" w:cs="Poppins"/>
          <w:sz w:val="18"/>
          <w:szCs w:val="18"/>
        </w:rPr>
        <w:t>%</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878B1">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3579C1E5"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DD7010">
        <w:rPr>
          <w:rFonts w:ascii="Poppins" w:hAnsi="Poppins" w:cs="Poppins"/>
          <w:sz w:val="18"/>
          <w:szCs w:val="18"/>
        </w:rPr>
        <w:t>2</w:t>
      </w:r>
      <w:r w:rsidR="00AA1E69">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430A46">
        <w:rPr>
          <w:rFonts w:ascii="Poppins" w:hAnsi="Poppins" w:cs="Poppins"/>
          <w:sz w:val="18"/>
          <w:szCs w:val="18"/>
        </w:rPr>
        <w:t>octu</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295226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A1E69">
        <w:rPr>
          <w:rFonts w:ascii="Poppins" w:hAnsi="Poppins" w:cs="Poppins"/>
          <w:sz w:val="18"/>
          <w:szCs w:val="18"/>
        </w:rPr>
        <w:t>3</w:t>
      </w:r>
      <w:r w:rsidR="00A33C99" w:rsidRPr="0096213B">
        <w:rPr>
          <w:rFonts w:ascii="Poppins" w:hAnsi="Poppins" w:cs="Poppins"/>
          <w:sz w:val="18"/>
          <w:szCs w:val="18"/>
        </w:rPr>
        <w:t>,</w:t>
      </w:r>
      <w:r w:rsidR="00AA1E69">
        <w:rPr>
          <w:rFonts w:ascii="Poppins" w:hAnsi="Poppins" w:cs="Poppins"/>
          <w:sz w:val="18"/>
          <w:szCs w:val="18"/>
        </w:rPr>
        <w:t>18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A1E69">
        <w:rPr>
          <w:rFonts w:ascii="Poppins" w:hAnsi="Poppins" w:cs="Poppins"/>
          <w:sz w:val="18"/>
          <w:szCs w:val="18"/>
        </w:rPr>
        <w:t>34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46B52D5"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9D076F">
        <w:rPr>
          <w:rFonts w:ascii="Poppins" w:hAnsi="Poppins" w:cs="Poppins"/>
          <w:sz w:val="18"/>
          <w:szCs w:val="18"/>
        </w:rPr>
        <w:t>6</w:t>
      </w:r>
      <w:r w:rsidR="00E0028D">
        <w:rPr>
          <w:rFonts w:ascii="Poppins" w:hAnsi="Poppins" w:cs="Poppins"/>
          <w:sz w:val="18"/>
          <w:szCs w:val="18"/>
        </w:rPr>
        <w:t>,</w:t>
      </w:r>
      <w:r w:rsidR="009D076F">
        <w:rPr>
          <w:rFonts w:ascii="Poppins" w:hAnsi="Poppins" w:cs="Poppins"/>
          <w:sz w:val="18"/>
          <w:szCs w:val="18"/>
        </w:rPr>
        <w:t>1</w:t>
      </w:r>
      <w:r w:rsidR="00AA1E69">
        <w:rPr>
          <w:rFonts w:ascii="Poppins" w:hAnsi="Poppins" w:cs="Poppins"/>
          <w:sz w:val="18"/>
          <w:szCs w:val="18"/>
        </w:rPr>
        <w:t>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6038FDF"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878B1">
        <w:rPr>
          <w:rFonts w:ascii="Poppins" w:hAnsi="Poppins" w:cs="Poppins"/>
          <w:sz w:val="18"/>
          <w:szCs w:val="18"/>
        </w:rPr>
        <w:t>1</w:t>
      </w:r>
      <w:r w:rsidR="00336251" w:rsidRPr="0096213B">
        <w:rPr>
          <w:rFonts w:ascii="Poppins" w:hAnsi="Poppins" w:cs="Poppins"/>
          <w:sz w:val="18"/>
          <w:szCs w:val="18"/>
        </w:rPr>
        <w:t>,</w:t>
      </w:r>
      <w:r w:rsidR="007878B1">
        <w:rPr>
          <w:rFonts w:ascii="Poppins" w:hAnsi="Poppins" w:cs="Poppins"/>
          <w:sz w:val="18"/>
          <w:szCs w:val="18"/>
        </w:rPr>
        <w:t>5</w:t>
      </w:r>
      <w:r w:rsidR="000E7C8A">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7878B1">
        <w:rPr>
          <w:rFonts w:ascii="Poppins" w:hAnsi="Poppins" w:cs="Poppins"/>
          <w:sz w:val="18"/>
          <w:szCs w:val="18"/>
        </w:rPr>
        <w:t>24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6C120B26"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D076F">
        <w:rPr>
          <w:rFonts w:ascii="Poppins" w:hAnsi="Poppins" w:cs="Poppins"/>
          <w:sz w:val="18"/>
          <w:szCs w:val="18"/>
        </w:rPr>
        <w:t>2</w:t>
      </w:r>
      <w:r w:rsidR="00AA1E69">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AA1E69">
        <w:rPr>
          <w:rFonts w:ascii="Poppins" w:hAnsi="Poppins" w:cs="Poppins"/>
          <w:sz w:val="18"/>
          <w:szCs w:val="18"/>
        </w:rPr>
        <w:t>6</w:t>
      </w:r>
      <w:r w:rsidR="00A33C99" w:rsidRPr="0096213B">
        <w:rPr>
          <w:rFonts w:ascii="Poppins" w:hAnsi="Poppins" w:cs="Poppins"/>
          <w:sz w:val="18"/>
          <w:szCs w:val="18"/>
        </w:rPr>
        <w:t>,</w:t>
      </w:r>
      <w:r w:rsidR="00AA1E69">
        <w:rPr>
          <w:rFonts w:ascii="Poppins" w:hAnsi="Poppins" w:cs="Poppins"/>
          <w:sz w:val="18"/>
          <w:szCs w:val="18"/>
        </w:rPr>
        <w:t>6</w:t>
      </w:r>
      <w:r w:rsidR="009D076F">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FE8BA16"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9D076F">
        <w:rPr>
          <w:rFonts w:ascii="Poppins" w:hAnsi="Poppins" w:cs="Poppins"/>
          <w:sz w:val="18"/>
          <w:szCs w:val="18"/>
        </w:rPr>
        <w:t>6</w:t>
      </w:r>
      <w:r w:rsidRPr="0096213B">
        <w:rPr>
          <w:rFonts w:ascii="Poppins" w:hAnsi="Poppins" w:cs="Poppins"/>
          <w:sz w:val="18"/>
          <w:szCs w:val="18"/>
        </w:rPr>
        <w:t>,</w:t>
      </w:r>
      <w:r w:rsidR="009D076F">
        <w:rPr>
          <w:rFonts w:ascii="Poppins" w:hAnsi="Poppins" w:cs="Poppins"/>
          <w:sz w:val="18"/>
          <w:szCs w:val="18"/>
        </w:rPr>
        <w:t>1</w:t>
      </w:r>
      <w:r w:rsidR="00AA1E69">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288A39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7878B1">
        <w:rPr>
          <w:rFonts w:ascii="Poppins" w:hAnsi="Poppins" w:cs="Poppins"/>
          <w:bCs/>
          <w:sz w:val="18"/>
          <w:szCs w:val="18"/>
        </w:rPr>
        <w:t>49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863DCA1"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0E7C8A">
        <w:rPr>
          <w:rFonts w:ascii="Poppins" w:hAnsi="Poppins" w:cs="Poppins"/>
          <w:sz w:val="18"/>
          <w:szCs w:val="18"/>
        </w:rPr>
        <w:t>4</w:t>
      </w:r>
      <w:r w:rsidR="007878B1">
        <w:rPr>
          <w:rFonts w:ascii="Poppins" w:hAnsi="Poppins" w:cs="Poppins"/>
          <w:sz w:val="18"/>
          <w:szCs w:val="18"/>
        </w:rPr>
        <w:t>5</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7E5343E"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9D076F">
        <w:rPr>
          <w:rFonts w:ascii="Poppins" w:hAnsi="Poppins" w:cs="Poppins"/>
          <w:sz w:val="18"/>
          <w:szCs w:val="18"/>
          <w:lang w:eastAsia="en-US"/>
        </w:rPr>
        <w:t>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0E7C8A">
        <w:rPr>
          <w:rFonts w:ascii="Poppins" w:hAnsi="Poppins" w:cs="Poppins"/>
          <w:sz w:val="18"/>
          <w:szCs w:val="18"/>
          <w:lang w:eastAsia="en-US"/>
        </w:rPr>
        <w:t>6</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E0DEC">
        <w:rPr>
          <w:rFonts w:ascii="Poppins" w:hAnsi="Poppins" w:cs="Poppins"/>
          <w:sz w:val="18"/>
          <w:szCs w:val="18"/>
          <w:lang w:eastAsia="en-US"/>
        </w:rPr>
        <w:t>3</w:t>
      </w:r>
      <w:r w:rsidR="000E7C8A">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29942390" w:rsidR="004C3679" w:rsidRDefault="009C2FE1" w:rsidP="00352553">
            <w:pPr>
              <w:rPr>
                <w:rFonts w:ascii="Poppins" w:hAnsi="Poppins" w:cs="Poppins"/>
                <w:i/>
                <w:iCs/>
                <w:sz w:val="14"/>
                <w:szCs w:val="14"/>
                <w:lang w:val="es-MX" w:eastAsia="en-US"/>
              </w:rPr>
            </w:pPr>
            <w:r w:rsidRPr="009C2FE1">
              <w:rPr>
                <w:rFonts w:ascii="Poppins" w:hAnsi="Poppins" w:cs="Poppins"/>
                <w:i/>
                <w:iCs/>
                <w:noProof/>
                <w:sz w:val="14"/>
                <w:szCs w:val="14"/>
                <w:lang w:val="es-MX" w:eastAsia="en-US"/>
              </w:rPr>
              <w:drawing>
                <wp:inline distT="0" distB="0" distL="0" distR="0" wp14:anchorId="7F11F6DD" wp14:editId="79648607">
                  <wp:extent cx="8172450" cy="28956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2450" cy="289560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BB8EECD" w:rsidR="000F7442" w:rsidRPr="0096213B" w:rsidRDefault="00C7134F" w:rsidP="000F7442">
            <w:pPr>
              <w:jc w:val="center"/>
              <w:rPr>
                <w:rFonts w:ascii="Poppins" w:hAnsi="Poppins" w:cs="Poppins"/>
                <w:sz w:val="8"/>
                <w:szCs w:val="20"/>
              </w:rPr>
            </w:pPr>
            <w:r w:rsidRPr="00C7134F">
              <w:rPr>
                <w:rFonts w:ascii="Poppins" w:hAnsi="Poppins" w:cs="Poppins"/>
                <w:noProof/>
                <w:sz w:val="8"/>
                <w:szCs w:val="20"/>
              </w:rPr>
              <w:drawing>
                <wp:inline distT="0" distB="0" distL="0" distR="0" wp14:anchorId="26229C3E" wp14:editId="72903138">
                  <wp:extent cx="3618865" cy="3076575"/>
                  <wp:effectExtent l="0" t="0" r="63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20141" cy="307766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382796D8" w:rsidR="00EF3BE9" w:rsidRPr="0096213B" w:rsidRDefault="00806E7A"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316D71E6" wp14:editId="0B4F91EE">
                  <wp:extent cx="5266212" cy="282892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8707" cy="284638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2DF9C6EA" w:rsidR="00551F16" w:rsidRPr="0096213B" w:rsidRDefault="00C7134F"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C7134F">
        <w:rPr>
          <w:noProof/>
        </w:rPr>
        <w:drawing>
          <wp:inline distT="0" distB="0" distL="0" distR="0" wp14:anchorId="469C186C" wp14:editId="283AE133">
            <wp:extent cx="5610225" cy="269557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0225" cy="269557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9B6A0DD" w:rsidR="00F70B88" w:rsidRDefault="00F20386" w:rsidP="00604758">
      <w:pPr>
        <w:spacing w:line="0" w:lineRule="atLeast"/>
        <w:ind w:right="-567"/>
        <w:jc w:val="both"/>
        <w:rPr>
          <w:rFonts w:ascii="Poppins" w:hAnsi="Poppins" w:cs="Poppins"/>
          <w:noProof/>
          <w:sz w:val="20"/>
          <w:szCs w:val="20"/>
        </w:rPr>
      </w:pPr>
      <w:r w:rsidRPr="00F20386">
        <w:drawing>
          <wp:inline distT="0" distB="0" distL="0" distR="0" wp14:anchorId="72AC3A80" wp14:editId="5781704F">
            <wp:extent cx="5850255" cy="25050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050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7FE353E" w:rsidR="00127A54" w:rsidRPr="0096213B" w:rsidRDefault="00727374" w:rsidP="006220EA">
      <w:pPr>
        <w:rPr>
          <w:rFonts w:ascii="Poppins" w:hAnsi="Poppins" w:cs="Poppins"/>
          <w:i/>
          <w:sz w:val="14"/>
          <w:szCs w:val="14"/>
        </w:rPr>
      </w:pPr>
      <w:r w:rsidRPr="00727374">
        <w:drawing>
          <wp:inline distT="0" distB="0" distL="0" distR="0" wp14:anchorId="60AB021D" wp14:editId="39CCE1FA">
            <wp:extent cx="5850255" cy="7060565"/>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0C6CE2D" w:rsidR="005048C1" w:rsidRPr="0096213B" w:rsidRDefault="00F91202" w:rsidP="005048C1">
      <w:pPr>
        <w:jc w:val="both"/>
        <w:rPr>
          <w:rFonts w:ascii="Poppins" w:hAnsi="Poppins" w:cs="Poppins"/>
          <w:i/>
          <w:iCs/>
          <w:sz w:val="12"/>
          <w:szCs w:val="12"/>
        </w:rPr>
      </w:pPr>
      <w:r>
        <w:t xml:space="preserve">                       </w:t>
      </w:r>
      <w:r w:rsidR="00F20386" w:rsidRPr="00F20386">
        <w:drawing>
          <wp:inline distT="0" distB="0" distL="0" distR="0" wp14:anchorId="1A2CC2AE" wp14:editId="496E3BDE">
            <wp:extent cx="5850255" cy="64579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4579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0734CC" w:rsidR="00812956" w:rsidRDefault="00300FA6" w:rsidP="00842A58">
      <w:pPr>
        <w:pStyle w:val="xl37"/>
        <w:tabs>
          <w:tab w:val="left" w:pos="180"/>
        </w:tabs>
        <w:spacing w:before="0" w:beforeAutospacing="0" w:after="0" w:afterAutospacing="0"/>
        <w:jc w:val="center"/>
        <w:rPr>
          <w:noProof/>
        </w:rPr>
      </w:pPr>
      <w:r>
        <w:rPr>
          <w:noProof/>
        </w:rPr>
        <w:drawing>
          <wp:inline distT="0" distB="0" distL="0" distR="0" wp14:anchorId="571C76BD" wp14:editId="6D35C9D8">
            <wp:extent cx="5934075" cy="316924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222" cy="3174661"/>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26D48FD" w:rsidR="00842A58" w:rsidRDefault="00300FA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4A8BE3" wp14:editId="0F48C806">
            <wp:extent cx="5772150" cy="308276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2669" cy="3088380"/>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64F9BE29" w:rsidR="006C0944" w:rsidRDefault="00300FA6"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9B744AF" wp14:editId="39BB2D59">
            <wp:extent cx="5590543" cy="3238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6163" cy="3253341"/>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99E9004" w:rsidR="002035C4" w:rsidRDefault="00300FA6" w:rsidP="00373E46">
      <w:pPr>
        <w:pStyle w:val="xl37"/>
        <w:tabs>
          <w:tab w:val="left" w:pos="180"/>
        </w:tabs>
        <w:spacing w:before="0" w:beforeAutospacing="0" w:after="0" w:afterAutospacing="0"/>
        <w:jc w:val="center"/>
        <w:rPr>
          <w:noProof/>
        </w:rPr>
      </w:pPr>
      <w:r>
        <w:rPr>
          <w:noProof/>
        </w:rPr>
        <w:drawing>
          <wp:inline distT="0" distB="0" distL="0" distR="0" wp14:anchorId="1880CDF9" wp14:editId="1296BC84">
            <wp:extent cx="5610225" cy="37528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3752850"/>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1DE240DD" w:rsidR="00300FA6" w:rsidRDefault="00300FA6"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7664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EE20EB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8B46C7">
            <w:rPr>
              <w:rFonts w:ascii="Poppins" w:hAnsi="Poppins" w:cs="Poppins"/>
              <w:b/>
              <w:sz w:val="22"/>
              <w:szCs w:val="22"/>
              <w:lang w:val="it-IT"/>
            </w:rPr>
            <w:t>3</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8CA86F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8B46C7">
            <w:rPr>
              <w:rFonts w:ascii="Poppins" w:hAnsi="Poppins" w:cs="Poppins"/>
              <w:b/>
              <w:sz w:val="22"/>
              <w:szCs w:val="22"/>
              <w:lang w:val="it-IT"/>
            </w:rPr>
            <w:t>3</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B9B7E90"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791732">
            <w:rPr>
              <w:rFonts w:ascii="Poppins" w:hAnsi="Poppins" w:cs="Poppins"/>
              <w:b/>
              <w:sz w:val="22"/>
              <w:szCs w:val="22"/>
              <w:lang w:val="it-IT"/>
            </w:rPr>
            <w:t>4</w:t>
          </w:r>
          <w:r w:rsidR="008B46C7">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14EC6D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8B46C7">
            <w:rPr>
              <w:rFonts w:ascii="Poppins" w:hAnsi="Poppins" w:cs="Poppins"/>
              <w:b/>
              <w:sz w:val="22"/>
              <w:szCs w:val="22"/>
              <w:lang w:val="it-IT"/>
            </w:rPr>
            <w:t>3</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161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19</Pages>
  <Words>4325</Words>
  <Characters>23788</Characters>
  <Application>Microsoft Office Word</Application>
  <DocSecurity>0</DocSecurity>
  <Lines>198</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2025-10-29T22:34:00Z</cp:lastPrinted>
  <dcterms:created xsi:type="dcterms:W3CDTF">2025-10-28T15:20:00Z</dcterms:created>
  <dcterms:modified xsi:type="dcterms:W3CDTF">2025-10-29T22:35:00Z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