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AB9876" w14:textId="66083C19"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 xml:space="preserve">INFORME N° PR </w:t>
      </w:r>
      <w:r w:rsidR="002A50E6">
        <w:rPr>
          <w:rFonts w:asciiTheme="minorHAnsi" w:hAnsiTheme="minorHAnsi" w:cstheme="minorHAnsi"/>
          <w:sz w:val="32"/>
          <w:szCs w:val="28"/>
          <w:u w:val="single"/>
          <w:lang w:val="it-IT"/>
        </w:rPr>
        <w:t>-</w:t>
      </w:r>
      <w:r w:rsidR="005B53D4">
        <w:rPr>
          <w:rFonts w:asciiTheme="minorHAnsi" w:hAnsiTheme="minorHAnsi" w:cstheme="minorHAnsi"/>
          <w:sz w:val="32"/>
          <w:szCs w:val="28"/>
          <w:u w:val="single"/>
          <w:lang w:val="it-IT"/>
        </w:rPr>
        <w:t>1</w:t>
      </w:r>
      <w:r w:rsidR="00913D54">
        <w:rPr>
          <w:rFonts w:asciiTheme="minorHAnsi" w:hAnsiTheme="minorHAnsi" w:cstheme="minorHAnsi"/>
          <w:sz w:val="32"/>
          <w:szCs w:val="28"/>
          <w:u w:val="single"/>
          <w:lang w:val="it-IT"/>
        </w:rPr>
        <w:t>3</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1CCF2EDF"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E812D9">
        <w:rPr>
          <w:rFonts w:asciiTheme="minorHAnsi" w:hAnsiTheme="minorHAnsi" w:cstheme="minorHAnsi"/>
          <w:b/>
          <w:bCs/>
          <w:sz w:val="28"/>
          <w:szCs w:val="28"/>
        </w:rPr>
        <w:t>2</w:t>
      </w:r>
      <w:r w:rsidR="00913D54">
        <w:rPr>
          <w:rFonts w:asciiTheme="minorHAnsi" w:hAnsiTheme="minorHAnsi" w:cstheme="minorHAnsi"/>
          <w:b/>
          <w:bCs/>
          <w:sz w:val="28"/>
          <w:szCs w:val="28"/>
        </w:rPr>
        <w:t>7</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5B53D4">
        <w:rPr>
          <w:rFonts w:asciiTheme="minorHAnsi" w:hAnsiTheme="minorHAnsi" w:cstheme="minorHAnsi"/>
          <w:b/>
          <w:bCs/>
          <w:sz w:val="28"/>
          <w:szCs w:val="28"/>
        </w:rPr>
        <w:t>3</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49F4032F" w:rsidR="00E53D92" w:rsidRPr="002B3648" w:rsidRDefault="006E0AC8"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7F00B1">
        <w:rPr>
          <w:noProof/>
          <w:lang w:val="es-PE" w:eastAsia="es-PE"/>
        </w:rPr>
        <w:drawing>
          <wp:inline distT="0" distB="0" distL="0" distR="0" wp14:anchorId="312AFE3D" wp14:editId="59682DAB">
            <wp:extent cx="5356860" cy="3436620"/>
            <wp:effectExtent l="0" t="0" r="0" b="0"/>
            <wp:docPr id="3"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8"/>
                    <a:stretch>
                      <a:fillRect/>
                    </a:stretch>
                  </pic:blipFill>
                  <pic:spPr>
                    <a:xfrm>
                      <a:off x="0" y="0"/>
                      <a:ext cx="5356860" cy="3436620"/>
                    </a:xfrm>
                    <a:prstGeom prst="rect">
                      <a:avLst/>
                    </a:prstGeom>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2931206D" w14:textId="53E532CF"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w:t>
      </w:r>
      <w:r w:rsidR="00E958BC">
        <w:rPr>
          <w:rFonts w:asciiTheme="minorHAnsi" w:hAnsiTheme="minorHAnsi" w:cstheme="minorHAnsi"/>
          <w:sz w:val="22"/>
          <w:szCs w:val="22"/>
        </w:rPr>
        <w:t xml:space="preserve"> provocada principalmente por el conflicto geopolítico entre Rusia y Ucrania</w:t>
      </w:r>
      <w:r w:rsidRPr="00250238">
        <w:rPr>
          <w:rFonts w:asciiTheme="minorHAnsi" w:hAnsiTheme="minorHAnsi" w:cstheme="minorHAnsi"/>
          <w:sz w:val="22"/>
          <w:szCs w:val="22"/>
        </w:rPr>
        <w:t>; mientras que a partir del segundo semestre los precios se movieron dentro de una banda de menor amplitud, con una tendencia a la baja, particularmente en el caso del petróleo crudo WTI, el GLP y el Residual 3%</w:t>
      </w:r>
      <w:r w:rsidR="00920F05">
        <w:rPr>
          <w:rFonts w:asciiTheme="minorHAnsi" w:hAnsiTheme="minorHAnsi" w:cstheme="minorHAnsi"/>
          <w:sz w:val="22"/>
          <w:szCs w:val="22"/>
        </w:rPr>
        <w:t xml:space="preserve"> de azufre</w:t>
      </w:r>
      <w:r w:rsidRPr="00250238">
        <w:rPr>
          <w:rFonts w:asciiTheme="minorHAnsi" w:hAnsiTheme="minorHAnsi" w:cstheme="minorHAnsi"/>
          <w:sz w:val="22"/>
          <w:szCs w:val="22"/>
        </w:rPr>
        <w:t xml:space="preserve">. </w:t>
      </w:r>
      <w:r w:rsidR="00464566">
        <w:rPr>
          <w:rFonts w:asciiTheme="minorHAnsi" w:hAnsiTheme="minorHAnsi" w:cstheme="minorHAnsi"/>
          <w:sz w:val="22"/>
          <w:szCs w:val="22"/>
        </w:rPr>
        <w:t xml:space="preserve">Durante el 2023, </w:t>
      </w:r>
      <w:r w:rsidR="00464566" w:rsidRPr="00464566">
        <w:rPr>
          <w:rFonts w:asciiTheme="minorHAnsi" w:hAnsiTheme="minorHAnsi" w:cstheme="minorHAnsi"/>
          <w:sz w:val="22"/>
          <w:szCs w:val="22"/>
        </w:rPr>
        <w:t>se registra volatilidad en los precios con periodos de descenso y ascenso semanales</w:t>
      </w:r>
      <w:r w:rsidR="00464566">
        <w:rPr>
          <w:rFonts w:asciiTheme="minorHAnsi" w:hAnsiTheme="minorHAnsi" w:cstheme="minorHAnsi"/>
          <w:sz w:val="22"/>
          <w:szCs w:val="22"/>
        </w:rPr>
        <w:t>, aunque con la irrupción repentina de la Crisis Bancaria, la tendencia general al alza de inicios de año se ha revertido.</w:t>
      </w:r>
    </w:p>
    <w:p w14:paraId="5CB5BC2E" w14:textId="77777777" w:rsidR="00E812D9" w:rsidRDefault="00E812D9" w:rsidP="00E812D9">
      <w:pPr>
        <w:jc w:val="both"/>
        <w:rPr>
          <w:rFonts w:asciiTheme="minorHAnsi" w:hAnsiTheme="minorHAnsi" w:cstheme="minorHAnsi"/>
          <w:sz w:val="22"/>
          <w:szCs w:val="22"/>
        </w:rPr>
      </w:pPr>
    </w:p>
    <w:p w14:paraId="197D44AE" w14:textId="17099D0E"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A</w:t>
      </w:r>
      <w:r w:rsidRPr="00C5275D">
        <w:rPr>
          <w:rFonts w:asciiTheme="minorHAnsi" w:hAnsiTheme="minorHAnsi" w:cstheme="minorHAnsi"/>
          <w:sz w:val="22"/>
          <w:szCs w:val="22"/>
        </w:rPr>
        <w:t xml:space="preserve">l </w:t>
      </w:r>
      <w:r w:rsidR="006E0AC8">
        <w:rPr>
          <w:rFonts w:asciiTheme="minorHAnsi" w:hAnsiTheme="minorHAnsi" w:cstheme="minorHAnsi"/>
          <w:sz w:val="22"/>
          <w:szCs w:val="22"/>
        </w:rPr>
        <w:t>cierre de la última semana del periodo de evaluación</w:t>
      </w:r>
      <w:r w:rsidR="006E0AC8">
        <w:rPr>
          <w:rStyle w:val="Refdenotaalpie"/>
          <w:rFonts w:asciiTheme="minorHAnsi" w:hAnsiTheme="minorHAnsi" w:cstheme="minorHAnsi"/>
          <w:sz w:val="22"/>
          <w:szCs w:val="22"/>
        </w:rPr>
        <w:footnoteReference w:id="2"/>
      </w:r>
      <w:r w:rsidR="006E0AC8">
        <w:rPr>
          <w:rFonts w:asciiTheme="minorHAnsi" w:hAnsiTheme="minorHAnsi" w:cstheme="minorHAnsi"/>
          <w:sz w:val="22"/>
          <w:szCs w:val="22"/>
        </w:rPr>
        <w:t>, el precio del crudo WTI se ubicó en</w:t>
      </w:r>
      <w:r w:rsidR="006E0AC8" w:rsidRPr="00CC0F16">
        <w:rPr>
          <w:rFonts w:asciiTheme="minorHAnsi" w:hAnsiTheme="minorHAnsi" w:cstheme="minorHAnsi"/>
          <w:sz w:val="22"/>
          <w:szCs w:val="22"/>
        </w:rPr>
        <w:t xml:space="preserve"> </w:t>
      </w:r>
      <w:r w:rsidR="006E0AC8">
        <w:rPr>
          <w:rFonts w:asciiTheme="minorHAnsi" w:hAnsiTheme="minorHAnsi" w:cstheme="minorHAnsi"/>
          <w:sz w:val="22"/>
          <w:szCs w:val="22"/>
        </w:rPr>
        <w:t xml:space="preserve">68,60 </w:t>
      </w:r>
      <w:r w:rsidR="006E0AC8" w:rsidRPr="00CC0F16">
        <w:rPr>
          <w:rFonts w:asciiTheme="minorHAnsi" w:hAnsiTheme="minorHAnsi" w:cstheme="minorHAnsi"/>
          <w:sz w:val="22"/>
          <w:szCs w:val="22"/>
        </w:rPr>
        <w:t>US$/</w:t>
      </w:r>
      <w:proofErr w:type="spellStart"/>
      <w:r w:rsidR="006E0AC8" w:rsidRPr="00CC0F16">
        <w:rPr>
          <w:rFonts w:asciiTheme="minorHAnsi" w:hAnsiTheme="minorHAnsi" w:cstheme="minorHAnsi"/>
          <w:sz w:val="22"/>
          <w:szCs w:val="22"/>
        </w:rPr>
        <w:t>Bl</w:t>
      </w:r>
      <w:proofErr w:type="spellEnd"/>
      <w:r w:rsidR="006E0AC8" w:rsidRPr="00CC0F16">
        <w:rPr>
          <w:rFonts w:asciiTheme="minorHAnsi" w:hAnsiTheme="minorHAnsi" w:cstheme="minorHAnsi"/>
          <w:sz w:val="22"/>
          <w:szCs w:val="22"/>
        </w:rPr>
        <w:t>, las gasolinas</w:t>
      </w:r>
      <w:r w:rsidR="006E0AC8">
        <w:rPr>
          <w:rFonts w:asciiTheme="minorHAnsi" w:hAnsiTheme="minorHAnsi" w:cstheme="minorHAnsi"/>
          <w:sz w:val="22"/>
          <w:szCs w:val="22"/>
        </w:rPr>
        <w:t xml:space="preserve"> registraron un precio superior a 100 US$/</w:t>
      </w:r>
      <w:proofErr w:type="spellStart"/>
      <w:r w:rsidR="006E0AC8">
        <w:rPr>
          <w:rFonts w:asciiTheme="minorHAnsi" w:hAnsiTheme="minorHAnsi" w:cstheme="minorHAnsi"/>
          <w:sz w:val="22"/>
          <w:szCs w:val="22"/>
        </w:rPr>
        <w:t>Bl</w:t>
      </w:r>
      <w:proofErr w:type="spellEnd"/>
      <w:r w:rsidR="006E0AC8" w:rsidRPr="00CC0F16">
        <w:rPr>
          <w:rFonts w:asciiTheme="minorHAnsi" w:hAnsiTheme="minorHAnsi" w:cstheme="minorHAnsi"/>
          <w:sz w:val="22"/>
          <w:szCs w:val="22"/>
        </w:rPr>
        <w:t xml:space="preserve"> </w:t>
      </w:r>
      <w:r w:rsidR="006E0AC8">
        <w:rPr>
          <w:rFonts w:asciiTheme="minorHAnsi" w:hAnsiTheme="minorHAnsi" w:cstheme="minorHAnsi"/>
          <w:sz w:val="22"/>
          <w:szCs w:val="22"/>
        </w:rPr>
        <w:t>y los destilados medios registraron</w:t>
      </w:r>
      <w:r w:rsidR="006E0AC8" w:rsidRPr="00CC0F16">
        <w:rPr>
          <w:rFonts w:asciiTheme="minorHAnsi" w:hAnsiTheme="minorHAnsi" w:cstheme="minorHAnsi"/>
          <w:sz w:val="22"/>
          <w:szCs w:val="22"/>
        </w:rPr>
        <w:t xml:space="preserve"> niveles </w:t>
      </w:r>
      <w:r w:rsidR="006E0AC8">
        <w:rPr>
          <w:rFonts w:asciiTheme="minorHAnsi" w:hAnsiTheme="minorHAnsi" w:cstheme="minorHAnsi"/>
          <w:sz w:val="22"/>
          <w:szCs w:val="22"/>
        </w:rPr>
        <w:t>por encima de</w:t>
      </w:r>
      <w:r w:rsidR="006E0AC8" w:rsidRPr="00CC0F16">
        <w:rPr>
          <w:rFonts w:asciiTheme="minorHAnsi" w:hAnsiTheme="minorHAnsi" w:cstheme="minorHAnsi"/>
          <w:sz w:val="22"/>
          <w:szCs w:val="22"/>
        </w:rPr>
        <w:t xml:space="preserve"> los </w:t>
      </w:r>
      <w:r w:rsidR="006E0AC8">
        <w:rPr>
          <w:rFonts w:asciiTheme="minorHAnsi" w:hAnsiTheme="minorHAnsi" w:cstheme="minorHAnsi"/>
          <w:sz w:val="22"/>
          <w:szCs w:val="22"/>
        </w:rPr>
        <w:t>110 US$/</w:t>
      </w:r>
      <w:proofErr w:type="spellStart"/>
      <w:r w:rsidR="006E0AC8">
        <w:rPr>
          <w:rFonts w:asciiTheme="minorHAnsi" w:hAnsiTheme="minorHAnsi" w:cstheme="minorHAnsi"/>
          <w:sz w:val="22"/>
          <w:szCs w:val="22"/>
        </w:rPr>
        <w:t>Bl</w:t>
      </w:r>
      <w:proofErr w:type="spellEnd"/>
      <w:r w:rsidR="006E0AC8">
        <w:rPr>
          <w:rFonts w:asciiTheme="minorHAnsi" w:hAnsiTheme="minorHAnsi" w:cstheme="minorHAnsi"/>
          <w:sz w:val="22"/>
          <w:szCs w:val="22"/>
        </w:rPr>
        <w:t>. Para el mismo periodo, el precio del GLP cerró la semana en 33,35 US$/</w:t>
      </w:r>
      <w:proofErr w:type="spellStart"/>
      <w:r w:rsidR="006E0AC8">
        <w:rPr>
          <w:rFonts w:asciiTheme="minorHAnsi" w:hAnsiTheme="minorHAnsi" w:cstheme="minorHAnsi"/>
          <w:sz w:val="22"/>
          <w:szCs w:val="22"/>
        </w:rPr>
        <w:t>Bl</w:t>
      </w:r>
      <w:proofErr w:type="spellEnd"/>
      <w:r w:rsidRPr="00C5275D">
        <w:rPr>
          <w:rFonts w:asciiTheme="minorHAnsi" w:hAnsiTheme="minorHAnsi" w:cstheme="minorHAnsi"/>
          <w:sz w:val="22"/>
          <w:szCs w:val="22"/>
        </w:rPr>
        <w:t>.</w:t>
      </w:r>
    </w:p>
    <w:p w14:paraId="75C0834D" w14:textId="77777777" w:rsidR="00E812D9" w:rsidRDefault="00E812D9" w:rsidP="00E812D9">
      <w:pPr>
        <w:jc w:val="both"/>
        <w:rPr>
          <w:rFonts w:asciiTheme="minorHAnsi" w:hAnsiTheme="minorHAnsi" w:cstheme="minorHAnsi"/>
          <w:sz w:val="22"/>
          <w:szCs w:val="22"/>
        </w:rPr>
      </w:pPr>
    </w:p>
    <w:p w14:paraId="677A628F" w14:textId="4E7522EF"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semanas del </w:t>
      </w:r>
      <w:r w:rsidR="006E0AC8">
        <w:rPr>
          <w:rFonts w:asciiTheme="minorHAnsi" w:hAnsiTheme="minorHAnsi" w:cstheme="minorHAnsi"/>
          <w:sz w:val="22"/>
          <w:szCs w:val="22"/>
        </w:rPr>
        <w:t>13</w:t>
      </w:r>
      <w:r w:rsidRPr="00431A8E">
        <w:rPr>
          <w:rFonts w:asciiTheme="minorHAnsi" w:hAnsiTheme="minorHAnsi" w:cstheme="minorHAnsi"/>
          <w:sz w:val="22"/>
          <w:szCs w:val="22"/>
        </w:rPr>
        <w:t>.</w:t>
      </w:r>
      <w:r>
        <w:rPr>
          <w:rFonts w:asciiTheme="minorHAnsi" w:hAnsiTheme="minorHAnsi" w:cstheme="minorHAnsi"/>
          <w:sz w:val="22"/>
          <w:szCs w:val="22"/>
        </w:rPr>
        <w:t>03</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xml:space="preserve"> al </w:t>
      </w:r>
      <w:r w:rsidR="006E0AC8">
        <w:rPr>
          <w:rFonts w:asciiTheme="minorHAnsi" w:hAnsiTheme="minorHAnsi" w:cstheme="minorHAnsi"/>
          <w:sz w:val="22"/>
          <w:szCs w:val="22"/>
        </w:rPr>
        <w:t>24</w:t>
      </w:r>
      <w:r w:rsidRPr="00431A8E">
        <w:rPr>
          <w:rFonts w:asciiTheme="minorHAnsi" w:hAnsiTheme="minorHAnsi" w:cstheme="minorHAnsi"/>
          <w:sz w:val="22"/>
          <w:szCs w:val="22"/>
        </w:rPr>
        <w:t>.0</w:t>
      </w:r>
      <w:r>
        <w:rPr>
          <w:rFonts w:asciiTheme="minorHAnsi" w:hAnsiTheme="minorHAnsi" w:cstheme="minorHAnsi"/>
          <w:sz w:val="22"/>
          <w:szCs w:val="22"/>
        </w:rPr>
        <w:t>3</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los principales factores que incidieron en la variación de los precios del petróleo crudo y combustibles fueron los siguientes:</w:t>
      </w:r>
    </w:p>
    <w:p w14:paraId="00AFB9CA" w14:textId="633C9590" w:rsidR="00107E57" w:rsidRDefault="00107E57" w:rsidP="006E0AC8">
      <w:pPr>
        <w:pStyle w:val="Prrafodelista"/>
        <w:ind w:left="426"/>
        <w:jc w:val="both"/>
        <w:rPr>
          <w:rFonts w:asciiTheme="minorHAnsi" w:hAnsiTheme="minorHAnsi" w:cstheme="minorHAnsi"/>
          <w:sz w:val="22"/>
          <w:szCs w:val="22"/>
        </w:rPr>
      </w:pPr>
    </w:p>
    <w:p w14:paraId="744C4754" w14:textId="77777777" w:rsidR="00107E57" w:rsidRPr="00523CA0" w:rsidRDefault="00107E57" w:rsidP="00107E57">
      <w:pPr>
        <w:pStyle w:val="Prrafodelista"/>
        <w:numPr>
          <w:ilvl w:val="0"/>
          <w:numId w:val="13"/>
        </w:numPr>
        <w:ind w:left="426"/>
        <w:contextualSpacing/>
        <w:jc w:val="both"/>
        <w:rPr>
          <w:rFonts w:asciiTheme="minorHAnsi" w:hAnsiTheme="minorHAnsi" w:cstheme="minorHAnsi"/>
          <w:b/>
          <w:bCs/>
          <w:sz w:val="22"/>
          <w:szCs w:val="22"/>
        </w:rPr>
      </w:pPr>
      <w:r w:rsidRPr="00523CA0">
        <w:rPr>
          <w:rFonts w:asciiTheme="minorHAnsi" w:hAnsiTheme="minorHAnsi" w:cstheme="minorHAnsi"/>
          <w:b/>
          <w:bCs/>
          <w:sz w:val="22"/>
          <w:szCs w:val="22"/>
        </w:rPr>
        <w:t>El aumento de los inventarios de crudo; así como la disminución de las existencias de propano, gasolinas y destilados, al 17 de marzo del 2023.</w:t>
      </w:r>
    </w:p>
    <w:p w14:paraId="2D595BF3" w14:textId="77777777" w:rsidR="00107E57" w:rsidRPr="00CB611A" w:rsidRDefault="00107E57" w:rsidP="00107E57">
      <w:pPr>
        <w:pStyle w:val="Prrafodelista"/>
        <w:ind w:left="426"/>
        <w:jc w:val="both"/>
        <w:rPr>
          <w:highlight w:val="yellow"/>
        </w:rPr>
      </w:pPr>
    </w:p>
    <w:p w14:paraId="58294B9F" w14:textId="77777777" w:rsidR="00107E57" w:rsidRPr="00523CA0" w:rsidRDefault="00107E57" w:rsidP="00107E57">
      <w:pPr>
        <w:pStyle w:val="Prrafodelista"/>
        <w:ind w:left="426"/>
        <w:jc w:val="both"/>
        <w:rPr>
          <w:rFonts w:asciiTheme="minorHAnsi" w:hAnsiTheme="minorHAnsi" w:cstheme="minorHAnsi"/>
          <w:sz w:val="22"/>
          <w:szCs w:val="22"/>
        </w:rPr>
      </w:pPr>
      <w:r w:rsidRPr="00523CA0">
        <w:rPr>
          <w:rFonts w:asciiTheme="minorHAnsi" w:hAnsiTheme="minorHAnsi" w:cstheme="minorHAnsi"/>
          <w:sz w:val="22"/>
          <w:szCs w:val="22"/>
        </w:rPr>
        <w:t>Los inventarios de petróleo en Estados Unidos subieron en 1,1 millones barriles, ubicándose en un +8% por encima de la media de los últimos 5 años, lo que representa 481,2 millones de barriles.</w:t>
      </w:r>
    </w:p>
    <w:p w14:paraId="43470481" w14:textId="77777777" w:rsidR="00107E57" w:rsidRPr="00523CA0" w:rsidRDefault="00107E57" w:rsidP="00107E57">
      <w:pPr>
        <w:pStyle w:val="Prrafodelista"/>
        <w:ind w:left="426"/>
        <w:jc w:val="both"/>
        <w:rPr>
          <w:rFonts w:asciiTheme="minorHAnsi" w:hAnsiTheme="minorHAnsi" w:cstheme="minorHAnsi"/>
          <w:sz w:val="22"/>
          <w:szCs w:val="22"/>
        </w:rPr>
      </w:pPr>
    </w:p>
    <w:p w14:paraId="1684985D" w14:textId="77777777" w:rsidR="00107E57" w:rsidRPr="00523CA0" w:rsidRDefault="00107E57" w:rsidP="00107E57">
      <w:pPr>
        <w:pStyle w:val="Prrafodelista"/>
        <w:ind w:left="426"/>
        <w:jc w:val="both"/>
        <w:rPr>
          <w:rFonts w:asciiTheme="minorHAnsi" w:hAnsiTheme="minorHAnsi" w:cstheme="minorHAnsi"/>
          <w:sz w:val="22"/>
          <w:szCs w:val="22"/>
        </w:rPr>
      </w:pPr>
      <w:r w:rsidRPr="00523CA0">
        <w:rPr>
          <w:rFonts w:asciiTheme="minorHAnsi" w:hAnsiTheme="minorHAnsi" w:cstheme="minorHAnsi"/>
          <w:sz w:val="22"/>
          <w:szCs w:val="22"/>
        </w:rPr>
        <w:t>Las existencias de gasolina se redujeron en 6,4 millones de barriles, reportando un total de 229,6 millones de barriles; mientras los inventarios de destilados, que incluyen al diésel y al combustible para calefacción, bajaron 3,3 millones de barriles, con un total de 116,4 millones de barriles. Finalmente, las existencias de propano disminuyeron 2,27 millones de barriles, ubicándose en los 58,70 millones de barriles.</w:t>
      </w:r>
    </w:p>
    <w:p w14:paraId="77D5F6E8" w14:textId="77777777" w:rsidR="00107E57" w:rsidRPr="00CB611A" w:rsidRDefault="00107E57" w:rsidP="00107E57">
      <w:pPr>
        <w:pStyle w:val="Prrafodelista"/>
        <w:ind w:left="426"/>
        <w:jc w:val="both"/>
        <w:rPr>
          <w:highlight w:val="yellow"/>
        </w:rPr>
      </w:pPr>
    </w:p>
    <w:p w14:paraId="666E1B4A" w14:textId="77777777" w:rsidR="00107E57" w:rsidRPr="00523CA0" w:rsidRDefault="00107E57" w:rsidP="00107E57">
      <w:pPr>
        <w:pStyle w:val="Prrafodelista"/>
        <w:numPr>
          <w:ilvl w:val="0"/>
          <w:numId w:val="13"/>
        </w:numPr>
        <w:ind w:left="426"/>
        <w:contextualSpacing/>
        <w:jc w:val="both"/>
        <w:rPr>
          <w:rFonts w:asciiTheme="minorHAnsi" w:hAnsiTheme="minorHAnsi" w:cstheme="minorHAnsi"/>
          <w:b/>
          <w:bCs/>
          <w:sz w:val="22"/>
          <w:szCs w:val="22"/>
        </w:rPr>
      </w:pPr>
      <w:r w:rsidRPr="00523CA0">
        <w:rPr>
          <w:rFonts w:asciiTheme="minorHAnsi" w:hAnsiTheme="minorHAnsi" w:cstheme="minorHAnsi"/>
          <w:b/>
          <w:bCs/>
          <w:sz w:val="22"/>
          <w:szCs w:val="22"/>
        </w:rPr>
        <w:t>El desplome de las acciones de los bancos europeos, los riesgos de crédito del sector bancario y el aumento de las tasas de interés de la FED, aspectos que limitaron las perspectivas de la demanda de petróleo y combustibles.</w:t>
      </w:r>
    </w:p>
    <w:p w14:paraId="2919CD36" w14:textId="77777777" w:rsidR="00107E57" w:rsidRDefault="00107E57" w:rsidP="00107E57">
      <w:pPr>
        <w:jc w:val="both"/>
        <w:rPr>
          <w:b/>
          <w:bCs/>
          <w:highlight w:val="yellow"/>
        </w:rPr>
      </w:pPr>
    </w:p>
    <w:p w14:paraId="5DE25699" w14:textId="77777777" w:rsidR="00107E57" w:rsidRPr="00523CA0" w:rsidRDefault="00107E57" w:rsidP="00107E57">
      <w:pPr>
        <w:pStyle w:val="Prrafodelista"/>
        <w:ind w:left="426"/>
        <w:jc w:val="both"/>
        <w:rPr>
          <w:rFonts w:asciiTheme="minorHAnsi" w:hAnsiTheme="minorHAnsi" w:cstheme="minorHAnsi"/>
          <w:sz w:val="22"/>
          <w:szCs w:val="22"/>
        </w:rPr>
      </w:pPr>
      <w:r w:rsidRPr="00523CA0">
        <w:rPr>
          <w:rFonts w:asciiTheme="minorHAnsi" w:hAnsiTheme="minorHAnsi" w:cstheme="minorHAnsi"/>
          <w:sz w:val="22"/>
          <w:szCs w:val="22"/>
        </w:rPr>
        <w:t>El Presidente de la Reserva Federal señaló que las tensiones en el sector bancario podrían desencadenar una contracción del crédito, con implicaciones “significativas” para una economía que, según las previsiones de las autoridades de la FED, se desacelerará este 2023 aún más de lo que se pensaba. En esa línea y como una acción “coherente” conforme a los señalado por especialistas económicos, se elevaron las tasas de interés en 25 puntos básicos, confirmando una ralentización en la subida de los tipos de interés, que en su propuesta inicial abarcaba los 50 puntos básicos de incremento; aunque aún se sigue en la política de enfrentar la inflación mediante subidas de tipos y que algunas voces más firmes esperaban que la FED pudiera detener dichas alzas de manera inminente e incluso comenzar a reducirlas.</w:t>
      </w:r>
    </w:p>
    <w:p w14:paraId="4F211E72" w14:textId="77777777" w:rsidR="00107E57" w:rsidRPr="00523CA0" w:rsidRDefault="00107E57" w:rsidP="00107E57">
      <w:pPr>
        <w:pStyle w:val="Prrafodelista"/>
        <w:ind w:left="426"/>
        <w:jc w:val="both"/>
        <w:rPr>
          <w:rFonts w:asciiTheme="minorHAnsi" w:hAnsiTheme="minorHAnsi" w:cstheme="minorHAnsi"/>
          <w:sz w:val="22"/>
          <w:szCs w:val="22"/>
        </w:rPr>
      </w:pPr>
    </w:p>
    <w:p w14:paraId="4499E6B6" w14:textId="77777777" w:rsidR="00107E57" w:rsidRPr="00523CA0" w:rsidRDefault="00107E57" w:rsidP="00107E57">
      <w:pPr>
        <w:pStyle w:val="Prrafodelista"/>
        <w:ind w:left="426"/>
        <w:jc w:val="both"/>
        <w:rPr>
          <w:rFonts w:asciiTheme="minorHAnsi" w:hAnsiTheme="minorHAnsi" w:cstheme="minorHAnsi"/>
          <w:sz w:val="22"/>
          <w:szCs w:val="22"/>
        </w:rPr>
      </w:pPr>
      <w:r w:rsidRPr="00523CA0">
        <w:rPr>
          <w:rFonts w:asciiTheme="minorHAnsi" w:hAnsiTheme="minorHAnsi" w:cstheme="minorHAnsi"/>
          <w:sz w:val="22"/>
          <w:szCs w:val="22"/>
        </w:rPr>
        <w:t xml:space="preserve">Durante la primera semana del periodo de evaluación, la volatilidad en el sector financiero desencadenó una aversión generalizada al riesgo. Los tres índices de Wall Street cayeron con fuerza en las operaciones del día, presionados por los valores financieros, al producirse la quiebra de Silicon Valley Bank (SVB) y </w:t>
      </w:r>
      <w:proofErr w:type="spellStart"/>
      <w:r w:rsidRPr="00523CA0">
        <w:rPr>
          <w:rFonts w:asciiTheme="minorHAnsi" w:hAnsiTheme="minorHAnsi" w:cstheme="minorHAnsi"/>
          <w:sz w:val="22"/>
          <w:szCs w:val="22"/>
        </w:rPr>
        <w:t>Signature</w:t>
      </w:r>
      <w:proofErr w:type="spellEnd"/>
      <w:r w:rsidRPr="00523CA0">
        <w:rPr>
          <w:rFonts w:asciiTheme="minorHAnsi" w:hAnsiTheme="minorHAnsi" w:cstheme="minorHAnsi"/>
          <w:sz w:val="22"/>
          <w:szCs w:val="22"/>
        </w:rPr>
        <w:t xml:space="preserve"> Bank; y por los problemas de </w:t>
      </w:r>
      <w:proofErr w:type="spellStart"/>
      <w:r w:rsidRPr="00523CA0">
        <w:rPr>
          <w:rFonts w:asciiTheme="minorHAnsi" w:hAnsiTheme="minorHAnsi" w:cstheme="minorHAnsi"/>
          <w:sz w:val="22"/>
          <w:szCs w:val="22"/>
        </w:rPr>
        <w:t>Credit</w:t>
      </w:r>
      <w:proofErr w:type="spellEnd"/>
      <w:r w:rsidRPr="00523CA0">
        <w:rPr>
          <w:rFonts w:asciiTheme="minorHAnsi" w:hAnsiTheme="minorHAnsi" w:cstheme="minorHAnsi"/>
          <w:sz w:val="22"/>
          <w:szCs w:val="22"/>
        </w:rPr>
        <w:t xml:space="preserve"> </w:t>
      </w:r>
      <w:proofErr w:type="spellStart"/>
      <w:r w:rsidRPr="00523CA0">
        <w:rPr>
          <w:rFonts w:asciiTheme="minorHAnsi" w:hAnsiTheme="minorHAnsi" w:cstheme="minorHAnsi"/>
          <w:sz w:val="22"/>
          <w:szCs w:val="22"/>
        </w:rPr>
        <w:t>Suisse</w:t>
      </w:r>
      <w:proofErr w:type="spellEnd"/>
      <w:r w:rsidRPr="00523CA0">
        <w:rPr>
          <w:rFonts w:asciiTheme="minorHAnsi" w:hAnsiTheme="minorHAnsi" w:cstheme="minorHAnsi"/>
          <w:sz w:val="22"/>
          <w:szCs w:val="22"/>
        </w:rPr>
        <w:t xml:space="preserve"> y </w:t>
      </w:r>
      <w:proofErr w:type="spellStart"/>
      <w:r w:rsidRPr="00523CA0">
        <w:rPr>
          <w:rFonts w:asciiTheme="minorHAnsi" w:hAnsiTheme="minorHAnsi" w:cstheme="minorHAnsi"/>
          <w:sz w:val="22"/>
          <w:szCs w:val="22"/>
        </w:rPr>
        <w:t>First</w:t>
      </w:r>
      <w:proofErr w:type="spellEnd"/>
      <w:r w:rsidRPr="00523CA0">
        <w:rPr>
          <w:rFonts w:asciiTheme="minorHAnsi" w:hAnsiTheme="minorHAnsi" w:cstheme="minorHAnsi"/>
          <w:sz w:val="22"/>
          <w:szCs w:val="22"/>
        </w:rPr>
        <w:t xml:space="preserve"> </w:t>
      </w:r>
      <w:proofErr w:type="spellStart"/>
      <w:r w:rsidRPr="00523CA0">
        <w:rPr>
          <w:rFonts w:asciiTheme="minorHAnsi" w:hAnsiTheme="minorHAnsi" w:cstheme="minorHAnsi"/>
          <w:sz w:val="22"/>
          <w:szCs w:val="22"/>
        </w:rPr>
        <w:t>Republic</w:t>
      </w:r>
      <w:proofErr w:type="spellEnd"/>
      <w:r w:rsidRPr="00523CA0">
        <w:rPr>
          <w:rFonts w:asciiTheme="minorHAnsi" w:hAnsiTheme="minorHAnsi" w:cstheme="minorHAnsi"/>
          <w:sz w:val="22"/>
          <w:szCs w:val="22"/>
        </w:rPr>
        <w:t xml:space="preserve"> Bank. Sin embargo, en el transcurso de la última semana, se han realizado acciones para frenar la crisis, entre ellas, la realizada por la Unión de Bancos Suizos (UBS), la mayor institución financiera de ese país, que decidió comprar al </w:t>
      </w:r>
      <w:proofErr w:type="spellStart"/>
      <w:r w:rsidRPr="00523CA0">
        <w:rPr>
          <w:rFonts w:asciiTheme="minorHAnsi" w:hAnsiTheme="minorHAnsi" w:cstheme="minorHAnsi"/>
          <w:sz w:val="22"/>
          <w:szCs w:val="22"/>
        </w:rPr>
        <w:t>Credit</w:t>
      </w:r>
      <w:proofErr w:type="spellEnd"/>
      <w:r w:rsidRPr="00523CA0">
        <w:rPr>
          <w:rFonts w:asciiTheme="minorHAnsi" w:hAnsiTheme="minorHAnsi" w:cstheme="minorHAnsi"/>
          <w:sz w:val="22"/>
          <w:szCs w:val="22"/>
        </w:rPr>
        <w:t xml:space="preserve"> </w:t>
      </w:r>
      <w:proofErr w:type="spellStart"/>
      <w:r w:rsidRPr="00523CA0">
        <w:rPr>
          <w:rFonts w:asciiTheme="minorHAnsi" w:hAnsiTheme="minorHAnsi" w:cstheme="minorHAnsi"/>
          <w:sz w:val="22"/>
          <w:szCs w:val="22"/>
        </w:rPr>
        <w:t>Suisse</w:t>
      </w:r>
      <w:proofErr w:type="spellEnd"/>
      <w:r w:rsidRPr="00523CA0">
        <w:rPr>
          <w:rFonts w:asciiTheme="minorHAnsi" w:hAnsiTheme="minorHAnsi" w:cstheme="minorHAnsi"/>
          <w:sz w:val="22"/>
          <w:szCs w:val="22"/>
        </w:rPr>
        <w:t xml:space="preserve">, así como, la efectuada por 11 bancos de primer orden (Bank of </w:t>
      </w:r>
      <w:proofErr w:type="spellStart"/>
      <w:r w:rsidRPr="00523CA0">
        <w:rPr>
          <w:rFonts w:asciiTheme="minorHAnsi" w:hAnsiTheme="minorHAnsi" w:cstheme="minorHAnsi"/>
          <w:sz w:val="22"/>
          <w:szCs w:val="22"/>
        </w:rPr>
        <w:t>America</w:t>
      </w:r>
      <w:proofErr w:type="spellEnd"/>
      <w:r w:rsidRPr="00523CA0">
        <w:rPr>
          <w:rFonts w:asciiTheme="minorHAnsi" w:hAnsiTheme="minorHAnsi" w:cstheme="minorHAnsi"/>
          <w:sz w:val="22"/>
          <w:szCs w:val="22"/>
        </w:rPr>
        <w:t xml:space="preserve">, City </w:t>
      </w:r>
      <w:proofErr w:type="spellStart"/>
      <w:r w:rsidRPr="00523CA0">
        <w:rPr>
          <w:rFonts w:asciiTheme="minorHAnsi" w:hAnsiTheme="minorHAnsi" w:cstheme="minorHAnsi"/>
          <w:sz w:val="22"/>
          <w:szCs w:val="22"/>
        </w:rPr>
        <w:t>Group</w:t>
      </w:r>
      <w:proofErr w:type="spellEnd"/>
      <w:r w:rsidRPr="00523CA0">
        <w:rPr>
          <w:rFonts w:asciiTheme="minorHAnsi" w:hAnsiTheme="minorHAnsi" w:cstheme="minorHAnsi"/>
          <w:sz w:val="22"/>
          <w:szCs w:val="22"/>
        </w:rPr>
        <w:t xml:space="preserve">, JP Morgan, entre otros) que colocaron 30 mil millones de dólares al </w:t>
      </w:r>
      <w:proofErr w:type="spellStart"/>
      <w:r w:rsidRPr="00523CA0">
        <w:rPr>
          <w:rFonts w:asciiTheme="minorHAnsi" w:hAnsiTheme="minorHAnsi" w:cstheme="minorHAnsi"/>
          <w:sz w:val="22"/>
          <w:szCs w:val="22"/>
        </w:rPr>
        <w:t>First</w:t>
      </w:r>
      <w:proofErr w:type="spellEnd"/>
      <w:r w:rsidRPr="00523CA0">
        <w:rPr>
          <w:rFonts w:asciiTheme="minorHAnsi" w:hAnsiTheme="minorHAnsi" w:cstheme="minorHAnsi"/>
          <w:sz w:val="22"/>
          <w:szCs w:val="22"/>
        </w:rPr>
        <w:t xml:space="preserve"> </w:t>
      </w:r>
      <w:proofErr w:type="spellStart"/>
      <w:r w:rsidRPr="00523CA0">
        <w:rPr>
          <w:rFonts w:asciiTheme="minorHAnsi" w:hAnsiTheme="minorHAnsi" w:cstheme="minorHAnsi"/>
          <w:sz w:val="22"/>
          <w:szCs w:val="22"/>
        </w:rPr>
        <w:t>Republic</w:t>
      </w:r>
      <w:proofErr w:type="spellEnd"/>
      <w:r w:rsidRPr="00523CA0">
        <w:rPr>
          <w:rFonts w:asciiTheme="minorHAnsi" w:hAnsiTheme="minorHAnsi" w:cstheme="minorHAnsi"/>
          <w:sz w:val="22"/>
          <w:szCs w:val="22"/>
        </w:rPr>
        <w:t xml:space="preserve"> Bank. Aún existe incertidumbre sobre el efecto que estos hechos sean suficientes, dado que posterior a estos rescates, las acciones de ambos bancos siguieron cayendo, así como sus calificaciones crediticias.</w:t>
      </w:r>
    </w:p>
    <w:p w14:paraId="5F34B227" w14:textId="77777777" w:rsidR="00107E57" w:rsidRDefault="00107E57" w:rsidP="00107E57">
      <w:pPr>
        <w:pStyle w:val="Prrafodelista"/>
        <w:ind w:left="426"/>
        <w:jc w:val="both"/>
      </w:pPr>
    </w:p>
    <w:p w14:paraId="03A35A70" w14:textId="77777777" w:rsidR="00107E57" w:rsidRPr="00523CA0" w:rsidRDefault="00107E57" w:rsidP="00107E57">
      <w:pPr>
        <w:pStyle w:val="Prrafodelista"/>
        <w:numPr>
          <w:ilvl w:val="0"/>
          <w:numId w:val="13"/>
        </w:numPr>
        <w:ind w:left="426"/>
        <w:contextualSpacing/>
        <w:jc w:val="both"/>
        <w:rPr>
          <w:rFonts w:asciiTheme="minorHAnsi" w:hAnsiTheme="minorHAnsi" w:cstheme="minorHAnsi"/>
          <w:b/>
          <w:bCs/>
          <w:sz w:val="22"/>
          <w:szCs w:val="22"/>
        </w:rPr>
      </w:pPr>
      <w:r w:rsidRPr="00523CA0">
        <w:rPr>
          <w:rFonts w:asciiTheme="minorHAnsi" w:hAnsiTheme="minorHAnsi" w:cstheme="minorHAnsi"/>
          <w:b/>
          <w:bCs/>
          <w:sz w:val="22"/>
          <w:szCs w:val="22"/>
        </w:rPr>
        <w:t>Confirmación de la Secretaría de Energía de EE.UU. de una nueva liberación de crudo de las Reservas Estratégicas.</w:t>
      </w:r>
    </w:p>
    <w:p w14:paraId="2CD12D1E" w14:textId="77777777" w:rsidR="00107E57" w:rsidRDefault="00107E57" w:rsidP="00107E57">
      <w:pPr>
        <w:jc w:val="both"/>
        <w:rPr>
          <w:b/>
          <w:bCs/>
          <w:highlight w:val="yellow"/>
        </w:rPr>
      </w:pPr>
    </w:p>
    <w:p w14:paraId="6FBC94BD" w14:textId="77777777" w:rsidR="00107E57" w:rsidRPr="00523CA0" w:rsidRDefault="00107E57" w:rsidP="00107E57">
      <w:pPr>
        <w:pStyle w:val="Prrafodelista"/>
        <w:ind w:left="426"/>
        <w:jc w:val="both"/>
        <w:rPr>
          <w:rFonts w:asciiTheme="minorHAnsi" w:hAnsiTheme="minorHAnsi" w:cstheme="minorHAnsi"/>
          <w:sz w:val="22"/>
          <w:szCs w:val="22"/>
        </w:rPr>
      </w:pPr>
      <w:r w:rsidRPr="00523CA0">
        <w:rPr>
          <w:rFonts w:asciiTheme="minorHAnsi" w:hAnsiTheme="minorHAnsi" w:cstheme="minorHAnsi"/>
          <w:sz w:val="22"/>
          <w:szCs w:val="22"/>
        </w:rPr>
        <w:t xml:space="preserve">El Departamento de Energía de EE.UU. representado por Jennifer </w:t>
      </w:r>
      <w:proofErr w:type="spellStart"/>
      <w:r w:rsidRPr="00523CA0">
        <w:rPr>
          <w:rFonts w:asciiTheme="minorHAnsi" w:hAnsiTheme="minorHAnsi" w:cstheme="minorHAnsi"/>
          <w:sz w:val="22"/>
          <w:szCs w:val="22"/>
        </w:rPr>
        <w:t>Granholm</w:t>
      </w:r>
      <w:proofErr w:type="spellEnd"/>
      <w:r w:rsidRPr="00523CA0">
        <w:rPr>
          <w:rFonts w:asciiTheme="minorHAnsi" w:hAnsiTheme="minorHAnsi" w:cstheme="minorHAnsi"/>
          <w:sz w:val="22"/>
          <w:szCs w:val="22"/>
        </w:rPr>
        <w:t xml:space="preserve">, planea proceder a una liberación adicional de 26 millones de barriles de las Reservas Estratégicas, que se entregarían entre el 1 de abril al 30 de junio, generando expectativas en el mercado sobre un posible exceso de oferta. </w:t>
      </w:r>
    </w:p>
    <w:p w14:paraId="30A30362" w14:textId="77777777" w:rsidR="00107E57" w:rsidRPr="00523CA0" w:rsidRDefault="00107E57" w:rsidP="00107E57">
      <w:pPr>
        <w:pStyle w:val="Prrafodelista"/>
        <w:ind w:left="426"/>
        <w:jc w:val="both"/>
        <w:rPr>
          <w:rFonts w:asciiTheme="minorHAnsi" w:hAnsiTheme="minorHAnsi" w:cstheme="minorHAnsi"/>
          <w:sz w:val="22"/>
          <w:szCs w:val="22"/>
        </w:rPr>
      </w:pPr>
    </w:p>
    <w:p w14:paraId="78C58FA7" w14:textId="77777777" w:rsidR="00107E57" w:rsidRPr="00523CA0" w:rsidRDefault="00107E57" w:rsidP="00107E57">
      <w:pPr>
        <w:pStyle w:val="Prrafodelista"/>
        <w:ind w:left="426"/>
        <w:jc w:val="both"/>
        <w:rPr>
          <w:rFonts w:asciiTheme="minorHAnsi" w:hAnsiTheme="minorHAnsi" w:cstheme="minorHAnsi"/>
          <w:sz w:val="22"/>
          <w:szCs w:val="22"/>
        </w:rPr>
      </w:pPr>
      <w:r w:rsidRPr="00523CA0">
        <w:rPr>
          <w:rFonts w:asciiTheme="minorHAnsi" w:hAnsiTheme="minorHAnsi" w:cstheme="minorHAnsi"/>
          <w:sz w:val="22"/>
          <w:szCs w:val="22"/>
        </w:rPr>
        <w:t>Asimismo, se ratificó de la misma fuente, la poca probabilidad que EE.UU. recurra a las compras de crudo para recuperar los inventarios de las Reservas Estratégicas de Petróleo (SPR), esto debido al retiro de crudo antes mencionado y al mantenimiento continuo en dos instalaciones de almacenamiento (</w:t>
      </w:r>
      <w:proofErr w:type="spellStart"/>
      <w:r w:rsidRPr="00523CA0">
        <w:rPr>
          <w:rFonts w:asciiTheme="minorHAnsi" w:hAnsiTheme="minorHAnsi" w:cstheme="minorHAnsi"/>
          <w:sz w:val="22"/>
          <w:szCs w:val="22"/>
        </w:rPr>
        <w:t>Bayou</w:t>
      </w:r>
      <w:proofErr w:type="spellEnd"/>
      <w:r w:rsidRPr="00523CA0">
        <w:rPr>
          <w:rFonts w:asciiTheme="minorHAnsi" w:hAnsiTheme="minorHAnsi" w:cstheme="minorHAnsi"/>
          <w:sz w:val="22"/>
          <w:szCs w:val="22"/>
        </w:rPr>
        <w:t xml:space="preserve"> </w:t>
      </w:r>
      <w:proofErr w:type="spellStart"/>
      <w:r w:rsidRPr="00523CA0">
        <w:rPr>
          <w:rFonts w:asciiTheme="minorHAnsi" w:hAnsiTheme="minorHAnsi" w:cstheme="minorHAnsi"/>
          <w:sz w:val="22"/>
          <w:szCs w:val="22"/>
        </w:rPr>
        <w:t>Choctaw</w:t>
      </w:r>
      <w:proofErr w:type="spellEnd"/>
      <w:r w:rsidRPr="00523CA0">
        <w:rPr>
          <w:rFonts w:asciiTheme="minorHAnsi" w:hAnsiTheme="minorHAnsi" w:cstheme="minorHAnsi"/>
          <w:sz w:val="22"/>
          <w:szCs w:val="22"/>
        </w:rPr>
        <w:t xml:space="preserve"> y Bryan </w:t>
      </w:r>
      <w:proofErr w:type="spellStart"/>
      <w:r w:rsidRPr="00523CA0">
        <w:rPr>
          <w:rFonts w:asciiTheme="minorHAnsi" w:hAnsiTheme="minorHAnsi" w:cstheme="minorHAnsi"/>
          <w:sz w:val="22"/>
          <w:szCs w:val="22"/>
        </w:rPr>
        <w:t>Mound</w:t>
      </w:r>
      <w:proofErr w:type="spellEnd"/>
      <w:r w:rsidRPr="00523CA0">
        <w:rPr>
          <w:rFonts w:asciiTheme="minorHAnsi" w:hAnsiTheme="minorHAnsi" w:cstheme="minorHAnsi"/>
          <w:sz w:val="22"/>
          <w:szCs w:val="22"/>
        </w:rPr>
        <w:t xml:space="preserve">), eventos que representan obstáculos para comenzar un plan de compra en el 2023. Esta noticia se contrapone a los planes de </w:t>
      </w:r>
      <w:proofErr w:type="spellStart"/>
      <w:r w:rsidRPr="00523CA0">
        <w:rPr>
          <w:rFonts w:asciiTheme="minorHAnsi" w:hAnsiTheme="minorHAnsi" w:cstheme="minorHAnsi"/>
          <w:sz w:val="22"/>
          <w:szCs w:val="22"/>
        </w:rPr>
        <w:t>Joe</w:t>
      </w:r>
      <w:proofErr w:type="spellEnd"/>
      <w:r w:rsidRPr="00523CA0">
        <w:rPr>
          <w:rFonts w:asciiTheme="minorHAnsi" w:hAnsiTheme="minorHAnsi" w:cstheme="minorHAnsi"/>
          <w:sz w:val="22"/>
          <w:szCs w:val="22"/>
        </w:rPr>
        <w:t xml:space="preserve"> </w:t>
      </w:r>
      <w:proofErr w:type="spellStart"/>
      <w:r w:rsidRPr="00523CA0">
        <w:rPr>
          <w:rFonts w:asciiTheme="minorHAnsi" w:hAnsiTheme="minorHAnsi" w:cstheme="minorHAnsi"/>
          <w:sz w:val="22"/>
          <w:szCs w:val="22"/>
        </w:rPr>
        <w:t>Biden</w:t>
      </w:r>
      <w:proofErr w:type="spellEnd"/>
      <w:r w:rsidRPr="00523CA0">
        <w:rPr>
          <w:rFonts w:asciiTheme="minorHAnsi" w:hAnsiTheme="minorHAnsi" w:cstheme="minorHAnsi"/>
          <w:sz w:val="22"/>
          <w:szCs w:val="22"/>
        </w:rPr>
        <w:t xml:space="preserve"> expuestos el año pasado de comenzar a reponer stocks de la SPR cuando los precios spot estuvieran por debajo de los 72 US$/</w:t>
      </w:r>
      <w:proofErr w:type="spellStart"/>
      <w:r w:rsidRPr="00523CA0">
        <w:rPr>
          <w:rFonts w:asciiTheme="minorHAnsi" w:hAnsiTheme="minorHAnsi" w:cstheme="minorHAnsi"/>
          <w:sz w:val="22"/>
          <w:szCs w:val="22"/>
        </w:rPr>
        <w:t>Bl</w:t>
      </w:r>
      <w:proofErr w:type="spellEnd"/>
      <w:r w:rsidRPr="00523CA0">
        <w:rPr>
          <w:rFonts w:asciiTheme="minorHAnsi" w:hAnsiTheme="minorHAnsi" w:cstheme="minorHAnsi"/>
          <w:sz w:val="22"/>
          <w:szCs w:val="22"/>
        </w:rPr>
        <w:t xml:space="preserve">, situación que, con el recrudecimiento de la Crisis Bancaria, ocurre actualmente. </w:t>
      </w:r>
    </w:p>
    <w:p w14:paraId="4E24FDB1" w14:textId="77777777" w:rsidR="00107E57" w:rsidRDefault="00107E57" w:rsidP="00107E57">
      <w:pPr>
        <w:pStyle w:val="Prrafodelista"/>
        <w:ind w:left="426"/>
        <w:jc w:val="both"/>
      </w:pPr>
    </w:p>
    <w:p w14:paraId="7C254B3C" w14:textId="1ADB18C7" w:rsidR="00107E57" w:rsidRPr="00523CA0" w:rsidRDefault="00107E57" w:rsidP="00107E57">
      <w:pPr>
        <w:pStyle w:val="Prrafodelista"/>
        <w:numPr>
          <w:ilvl w:val="0"/>
          <w:numId w:val="13"/>
        </w:numPr>
        <w:ind w:left="426"/>
        <w:contextualSpacing/>
        <w:jc w:val="both"/>
        <w:rPr>
          <w:rFonts w:asciiTheme="minorHAnsi" w:hAnsiTheme="minorHAnsi" w:cstheme="minorHAnsi"/>
          <w:b/>
          <w:bCs/>
          <w:sz w:val="22"/>
          <w:szCs w:val="22"/>
        </w:rPr>
      </w:pPr>
      <w:r w:rsidRPr="00523CA0">
        <w:rPr>
          <w:rFonts w:asciiTheme="minorHAnsi" w:hAnsiTheme="minorHAnsi" w:cstheme="minorHAnsi"/>
          <w:b/>
          <w:bCs/>
          <w:sz w:val="22"/>
          <w:szCs w:val="22"/>
        </w:rPr>
        <w:t>El G7 pospondría la revisión del precio tope al petróleo ruso, que fuera programado para el mes de marzo</w:t>
      </w:r>
      <w:r w:rsidR="00464566">
        <w:rPr>
          <w:rFonts w:asciiTheme="minorHAnsi" w:hAnsiTheme="minorHAnsi" w:cstheme="minorHAnsi"/>
          <w:b/>
          <w:bCs/>
          <w:sz w:val="22"/>
          <w:szCs w:val="22"/>
        </w:rPr>
        <w:t>.</w:t>
      </w:r>
      <w:r w:rsidRPr="00523CA0">
        <w:rPr>
          <w:rFonts w:asciiTheme="minorHAnsi" w:hAnsiTheme="minorHAnsi" w:cstheme="minorHAnsi"/>
          <w:b/>
          <w:bCs/>
          <w:sz w:val="22"/>
          <w:szCs w:val="22"/>
        </w:rPr>
        <w:t xml:space="preserve"> </w:t>
      </w:r>
    </w:p>
    <w:p w14:paraId="3DC43821" w14:textId="77777777" w:rsidR="00107E57" w:rsidRDefault="00107E57" w:rsidP="00107E57">
      <w:pPr>
        <w:pStyle w:val="Prrafodelista"/>
        <w:ind w:left="426"/>
        <w:jc w:val="both"/>
        <w:rPr>
          <w:rFonts w:ascii="Arial" w:hAnsi="Arial" w:cs="Arial"/>
          <w:color w:val="333333"/>
          <w:sz w:val="23"/>
          <w:szCs w:val="23"/>
          <w:shd w:val="clear" w:color="auto" w:fill="FFFFFF"/>
        </w:rPr>
      </w:pPr>
    </w:p>
    <w:p w14:paraId="2BAA233B" w14:textId="77777777" w:rsidR="00107E57" w:rsidRPr="00523CA0" w:rsidRDefault="00107E57" w:rsidP="00107E57">
      <w:pPr>
        <w:pStyle w:val="Prrafodelista"/>
        <w:ind w:left="426"/>
        <w:jc w:val="both"/>
        <w:rPr>
          <w:rFonts w:asciiTheme="minorHAnsi" w:hAnsiTheme="minorHAnsi" w:cstheme="minorHAnsi"/>
          <w:sz w:val="22"/>
          <w:szCs w:val="22"/>
        </w:rPr>
      </w:pPr>
      <w:r w:rsidRPr="00523CA0">
        <w:rPr>
          <w:rFonts w:asciiTheme="minorHAnsi" w:hAnsiTheme="minorHAnsi" w:cstheme="minorHAnsi"/>
          <w:sz w:val="22"/>
          <w:szCs w:val="22"/>
        </w:rPr>
        <w:t>El Poder ejecutivo del G7 informó a sus estados miembros de la Unión Europea sobre el poco interés de modificar el nivel de precio actual de 60 US$/</w:t>
      </w:r>
      <w:proofErr w:type="spellStart"/>
      <w:r w:rsidRPr="00523CA0">
        <w:rPr>
          <w:rFonts w:asciiTheme="minorHAnsi" w:hAnsiTheme="minorHAnsi" w:cstheme="minorHAnsi"/>
          <w:sz w:val="22"/>
          <w:szCs w:val="22"/>
        </w:rPr>
        <w:t>Bl</w:t>
      </w:r>
      <w:proofErr w:type="spellEnd"/>
      <w:r w:rsidRPr="00523CA0">
        <w:rPr>
          <w:rFonts w:asciiTheme="minorHAnsi" w:hAnsiTheme="minorHAnsi" w:cstheme="minorHAnsi"/>
          <w:sz w:val="22"/>
          <w:szCs w:val="22"/>
        </w:rPr>
        <w:t xml:space="preserve"> impuesto en esta etapa con el argumento que el tope funciona, ya que los ingresos de Rusia han disminuido y sus costos han aumentado. Esto sucede aun con el acuerdo existente de revisión del nivel de precio a mediados de marzo y de las propuestas de algunas naciones bálticas, entre ellas Polonia, de reducir el tope a por lo menos los 49 US$/</w:t>
      </w:r>
      <w:proofErr w:type="spellStart"/>
      <w:r w:rsidRPr="00523CA0">
        <w:rPr>
          <w:rFonts w:asciiTheme="minorHAnsi" w:hAnsiTheme="minorHAnsi" w:cstheme="minorHAnsi"/>
          <w:sz w:val="22"/>
          <w:szCs w:val="22"/>
        </w:rPr>
        <w:t>Bl</w:t>
      </w:r>
      <w:proofErr w:type="spellEnd"/>
      <w:r w:rsidRPr="00523CA0">
        <w:rPr>
          <w:rFonts w:asciiTheme="minorHAnsi" w:hAnsiTheme="minorHAnsi" w:cstheme="minorHAnsi"/>
          <w:sz w:val="22"/>
          <w:szCs w:val="22"/>
        </w:rPr>
        <w:t xml:space="preserve">. </w:t>
      </w:r>
    </w:p>
    <w:p w14:paraId="39164EB9" w14:textId="77777777" w:rsidR="00107E57" w:rsidRPr="00523CA0" w:rsidRDefault="00107E57" w:rsidP="00107E57">
      <w:pPr>
        <w:pStyle w:val="Prrafodelista"/>
        <w:ind w:left="426"/>
        <w:jc w:val="both"/>
        <w:rPr>
          <w:rFonts w:asciiTheme="minorHAnsi" w:hAnsiTheme="minorHAnsi" w:cstheme="minorHAnsi"/>
          <w:sz w:val="22"/>
          <w:szCs w:val="22"/>
        </w:rPr>
      </w:pPr>
    </w:p>
    <w:p w14:paraId="27D6E334" w14:textId="77777777" w:rsidR="00107E57" w:rsidRPr="00523CA0" w:rsidRDefault="00107E57" w:rsidP="00107E57">
      <w:pPr>
        <w:pStyle w:val="Prrafodelista"/>
        <w:ind w:left="426"/>
        <w:jc w:val="both"/>
        <w:rPr>
          <w:rFonts w:asciiTheme="minorHAnsi" w:hAnsiTheme="minorHAnsi" w:cstheme="minorHAnsi"/>
          <w:sz w:val="22"/>
          <w:szCs w:val="22"/>
        </w:rPr>
      </w:pPr>
      <w:r w:rsidRPr="00523CA0">
        <w:rPr>
          <w:rFonts w:asciiTheme="minorHAnsi" w:hAnsiTheme="minorHAnsi" w:cstheme="minorHAnsi"/>
          <w:sz w:val="22"/>
          <w:szCs w:val="22"/>
        </w:rPr>
        <w:t>Asimismo, un informe de la Agencia Internacional de Energía (AIE) de la semana del 20 de marzo, mostró que el crudo y los productos derivados del petróleo rusos fueron vendidos por menos del precio tope el mes de febrero. El precio de exportación promedio ponderado del crudo ruso fue de 52,48 US$/</w:t>
      </w:r>
      <w:proofErr w:type="spellStart"/>
      <w:r w:rsidRPr="00523CA0">
        <w:rPr>
          <w:rFonts w:asciiTheme="minorHAnsi" w:hAnsiTheme="minorHAnsi" w:cstheme="minorHAnsi"/>
          <w:sz w:val="22"/>
          <w:szCs w:val="22"/>
        </w:rPr>
        <w:t>Bl</w:t>
      </w:r>
      <w:proofErr w:type="spellEnd"/>
      <w:r w:rsidRPr="00523CA0">
        <w:rPr>
          <w:rFonts w:asciiTheme="minorHAnsi" w:hAnsiTheme="minorHAnsi" w:cstheme="minorHAnsi"/>
          <w:sz w:val="22"/>
          <w:szCs w:val="22"/>
        </w:rPr>
        <w:t>, excluyendo los costos de envío y seguro. El crudo Ural, la mezcla de exportación clave de Rusia, se vendió a 45,27 US$/</w:t>
      </w:r>
      <w:proofErr w:type="spellStart"/>
      <w:r w:rsidRPr="00523CA0">
        <w:rPr>
          <w:rFonts w:asciiTheme="minorHAnsi" w:hAnsiTheme="minorHAnsi" w:cstheme="minorHAnsi"/>
          <w:sz w:val="22"/>
          <w:szCs w:val="22"/>
        </w:rPr>
        <w:t>Bl</w:t>
      </w:r>
      <w:proofErr w:type="spellEnd"/>
      <w:r w:rsidRPr="00523CA0">
        <w:rPr>
          <w:rFonts w:asciiTheme="minorHAnsi" w:hAnsiTheme="minorHAnsi" w:cstheme="minorHAnsi"/>
          <w:sz w:val="22"/>
          <w:szCs w:val="22"/>
        </w:rPr>
        <w:t xml:space="preserve"> en el mercado del mar Negro, mientras que las mezclas como ESPO, </w:t>
      </w:r>
      <w:proofErr w:type="spellStart"/>
      <w:r w:rsidRPr="00523CA0">
        <w:rPr>
          <w:rFonts w:asciiTheme="minorHAnsi" w:hAnsiTheme="minorHAnsi" w:cstheme="minorHAnsi"/>
          <w:sz w:val="22"/>
          <w:szCs w:val="22"/>
        </w:rPr>
        <w:t>Sakhalin</w:t>
      </w:r>
      <w:proofErr w:type="spellEnd"/>
      <w:r w:rsidRPr="00523CA0">
        <w:rPr>
          <w:rFonts w:asciiTheme="minorHAnsi" w:hAnsiTheme="minorHAnsi" w:cstheme="minorHAnsi"/>
          <w:sz w:val="22"/>
          <w:szCs w:val="22"/>
        </w:rPr>
        <w:t xml:space="preserve"> y </w:t>
      </w:r>
      <w:proofErr w:type="spellStart"/>
      <w:r w:rsidRPr="00523CA0">
        <w:rPr>
          <w:rFonts w:asciiTheme="minorHAnsi" w:hAnsiTheme="minorHAnsi" w:cstheme="minorHAnsi"/>
          <w:sz w:val="22"/>
          <w:szCs w:val="22"/>
        </w:rPr>
        <w:t>Sokol</w:t>
      </w:r>
      <w:proofErr w:type="spellEnd"/>
      <w:r w:rsidRPr="00523CA0">
        <w:rPr>
          <w:rFonts w:asciiTheme="minorHAnsi" w:hAnsiTheme="minorHAnsi" w:cstheme="minorHAnsi"/>
          <w:sz w:val="22"/>
          <w:szCs w:val="22"/>
        </w:rPr>
        <w:t>, para ser enviadas a Asia, cotizaron muy por encima del tope.</w:t>
      </w:r>
    </w:p>
    <w:p w14:paraId="79D70D1E" w14:textId="77777777" w:rsidR="00107E57" w:rsidRDefault="00107E57" w:rsidP="00107E57">
      <w:pPr>
        <w:pStyle w:val="Prrafodelista"/>
        <w:ind w:left="426"/>
        <w:jc w:val="both"/>
      </w:pPr>
    </w:p>
    <w:p w14:paraId="4A1F1FD3" w14:textId="62523B25" w:rsidR="00107E57" w:rsidRPr="00523CA0" w:rsidRDefault="00107E57" w:rsidP="00107E57">
      <w:pPr>
        <w:pStyle w:val="Prrafodelista"/>
        <w:numPr>
          <w:ilvl w:val="0"/>
          <w:numId w:val="13"/>
        </w:numPr>
        <w:ind w:left="426"/>
        <w:contextualSpacing/>
        <w:jc w:val="both"/>
        <w:rPr>
          <w:rFonts w:asciiTheme="minorHAnsi" w:hAnsiTheme="minorHAnsi" w:cstheme="minorHAnsi"/>
          <w:b/>
          <w:bCs/>
          <w:sz w:val="22"/>
          <w:szCs w:val="22"/>
        </w:rPr>
      </w:pPr>
      <w:r w:rsidRPr="00523CA0">
        <w:rPr>
          <w:rFonts w:asciiTheme="minorHAnsi" w:hAnsiTheme="minorHAnsi" w:cstheme="minorHAnsi"/>
          <w:b/>
          <w:bCs/>
          <w:sz w:val="22"/>
          <w:szCs w:val="22"/>
        </w:rPr>
        <w:t>El optimismo sobre la recuperación de la demanda en China y la mayor demanda de gasolinas</w:t>
      </w:r>
      <w:r w:rsidR="00464566">
        <w:rPr>
          <w:rFonts w:asciiTheme="minorHAnsi" w:hAnsiTheme="minorHAnsi" w:cstheme="minorHAnsi"/>
          <w:b/>
          <w:bCs/>
          <w:sz w:val="22"/>
          <w:szCs w:val="22"/>
        </w:rPr>
        <w:t>.</w:t>
      </w:r>
    </w:p>
    <w:p w14:paraId="2714B918" w14:textId="77777777" w:rsidR="00107E57" w:rsidRDefault="00107E57" w:rsidP="00107E57">
      <w:pPr>
        <w:jc w:val="both"/>
        <w:rPr>
          <w:b/>
          <w:bCs/>
          <w:highlight w:val="yellow"/>
        </w:rPr>
      </w:pPr>
    </w:p>
    <w:p w14:paraId="610DA695" w14:textId="77777777" w:rsidR="00107E57" w:rsidRPr="00523CA0" w:rsidRDefault="00107E57" w:rsidP="00107E57">
      <w:pPr>
        <w:pStyle w:val="Prrafodelista"/>
        <w:ind w:left="426"/>
        <w:jc w:val="both"/>
        <w:rPr>
          <w:rFonts w:asciiTheme="minorHAnsi" w:hAnsiTheme="minorHAnsi" w:cstheme="minorHAnsi"/>
          <w:sz w:val="22"/>
          <w:szCs w:val="22"/>
        </w:rPr>
      </w:pPr>
      <w:r w:rsidRPr="00523CA0">
        <w:rPr>
          <w:rFonts w:asciiTheme="minorHAnsi" w:hAnsiTheme="minorHAnsi" w:cstheme="minorHAnsi"/>
          <w:sz w:val="22"/>
          <w:szCs w:val="22"/>
        </w:rPr>
        <w:t>Goldman Sachs afirmó que la demanda de China, el mayor importador petrolero mundial, seguía aumentando en todo el complejo de materias primas, con una demanda de petróleo que superaba los 16 millones de barriles diarios.</w:t>
      </w:r>
    </w:p>
    <w:p w14:paraId="63BC8C4D" w14:textId="77777777" w:rsidR="00107E57" w:rsidRPr="00523CA0" w:rsidRDefault="00107E57" w:rsidP="00107E57">
      <w:pPr>
        <w:pStyle w:val="Prrafodelista"/>
        <w:ind w:left="426"/>
        <w:jc w:val="both"/>
        <w:rPr>
          <w:rFonts w:asciiTheme="minorHAnsi" w:hAnsiTheme="minorHAnsi" w:cstheme="minorHAnsi"/>
          <w:sz w:val="22"/>
          <w:szCs w:val="22"/>
        </w:rPr>
      </w:pPr>
    </w:p>
    <w:p w14:paraId="535F4E92" w14:textId="77777777" w:rsidR="00107E57" w:rsidRPr="00523CA0" w:rsidRDefault="00107E57" w:rsidP="00107E57">
      <w:pPr>
        <w:pStyle w:val="Prrafodelista"/>
        <w:ind w:left="426"/>
        <w:jc w:val="both"/>
        <w:rPr>
          <w:rFonts w:asciiTheme="minorHAnsi" w:hAnsiTheme="minorHAnsi" w:cstheme="minorHAnsi"/>
          <w:sz w:val="22"/>
          <w:szCs w:val="22"/>
        </w:rPr>
      </w:pPr>
      <w:r w:rsidRPr="00523CA0">
        <w:rPr>
          <w:rFonts w:asciiTheme="minorHAnsi" w:hAnsiTheme="minorHAnsi" w:cstheme="minorHAnsi"/>
          <w:sz w:val="22"/>
          <w:szCs w:val="22"/>
        </w:rPr>
        <w:t>Por otro lado, la mayor demanda de gasolina animará a las refinerías a utilizar más crudo para convertirlo en el combustible de transporte por carretera, brindando soporte a los precios.</w:t>
      </w:r>
    </w:p>
    <w:p w14:paraId="0A5626C3" w14:textId="77777777" w:rsidR="00107E57" w:rsidRPr="00523CA0" w:rsidRDefault="00107E57" w:rsidP="00107E57">
      <w:pPr>
        <w:pStyle w:val="Prrafodelista"/>
        <w:ind w:left="426"/>
        <w:jc w:val="both"/>
        <w:rPr>
          <w:rFonts w:asciiTheme="minorHAnsi" w:hAnsiTheme="minorHAnsi" w:cstheme="minorHAnsi"/>
          <w:sz w:val="22"/>
          <w:szCs w:val="22"/>
        </w:rPr>
      </w:pPr>
    </w:p>
    <w:p w14:paraId="2619B3A6" w14:textId="77777777" w:rsidR="00107E57" w:rsidRPr="00523CA0" w:rsidRDefault="00107E57" w:rsidP="00107E57">
      <w:pPr>
        <w:pStyle w:val="Prrafodelista"/>
        <w:ind w:left="426"/>
        <w:jc w:val="both"/>
        <w:rPr>
          <w:rFonts w:asciiTheme="minorHAnsi" w:hAnsiTheme="minorHAnsi" w:cstheme="minorHAnsi"/>
          <w:sz w:val="22"/>
          <w:szCs w:val="22"/>
        </w:rPr>
      </w:pPr>
      <w:r w:rsidRPr="00523CA0">
        <w:rPr>
          <w:rFonts w:asciiTheme="minorHAnsi" w:hAnsiTheme="minorHAnsi" w:cstheme="minorHAnsi"/>
          <w:sz w:val="22"/>
          <w:szCs w:val="22"/>
        </w:rPr>
        <w:t>La Agencia Internacional de la Energía (AIE) señaló que China representará casi la mitad del crecimiento de la demanda de petróleo en 2023, pero la contención de la producción de la OPEP podría significar un déficit de suministro en el segundo semestre del 2023. En ese sentido, se prevé que la oferta de la OPEP se contraiga, con Rusia presionada por las sanciones. La oferta mundial de petróleo parece que superará a la demanda hasta la primera mitad de 2023, pero el equilibrio podría cambiar rápidamente a déficit a medida que se recupere la demanda y se cierre parte de la producción rusa.</w:t>
      </w:r>
    </w:p>
    <w:p w14:paraId="430DB29C" w14:textId="77777777" w:rsidR="00107E57" w:rsidRPr="00CB611A" w:rsidRDefault="00107E57" w:rsidP="00107E57">
      <w:pPr>
        <w:pStyle w:val="Prrafodelista"/>
        <w:ind w:left="426"/>
        <w:jc w:val="both"/>
        <w:rPr>
          <w:highlight w:val="yellow"/>
        </w:rPr>
      </w:pPr>
    </w:p>
    <w:p w14:paraId="7F89D333" w14:textId="77777777" w:rsidR="00107E57" w:rsidRPr="00523CA0" w:rsidRDefault="00107E57" w:rsidP="00107E57">
      <w:pPr>
        <w:pStyle w:val="Prrafodelista"/>
        <w:numPr>
          <w:ilvl w:val="0"/>
          <w:numId w:val="13"/>
        </w:numPr>
        <w:ind w:left="426"/>
        <w:contextualSpacing/>
        <w:jc w:val="both"/>
        <w:rPr>
          <w:rFonts w:asciiTheme="minorHAnsi" w:hAnsiTheme="minorHAnsi" w:cstheme="minorHAnsi"/>
          <w:b/>
          <w:bCs/>
          <w:sz w:val="22"/>
          <w:szCs w:val="22"/>
        </w:rPr>
      </w:pPr>
      <w:r w:rsidRPr="00523CA0">
        <w:rPr>
          <w:rFonts w:asciiTheme="minorHAnsi" w:hAnsiTheme="minorHAnsi" w:cstheme="minorHAnsi"/>
          <w:b/>
          <w:bCs/>
          <w:sz w:val="22"/>
          <w:szCs w:val="22"/>
        </w:rPr>
        <w:t>Disminución de la oferta rusa vía marítima a partir de marzo de 2023 debido a las sanciones de Occidente.</w:t>
      </w:r>
    </w:p>
    <w:p w14:paraId="65784522" w14:textId="77777777" w:rsidR="00107E57" w:rsidRPr="00CB611A" w:rsidRDefault="00107E57" w:rsidP="00107E57">
      <w:pPr>
        <w:pStyle w:val="Prrafodelista"/>
        <w:ind w:left="426"/>
        <w:jc w:val="both"/>
        <w:rPr>
          <w:b/>
          <w:bCs/>
          <w:highlight w:val="yellow"/>
        </w:rPr>
      </w:pPr>
    </w:p>
    <w:p w14:paraId="5201220F" w14:textId="77777777" w:rsidR="00107E57" w:rsidRPr="00523CA0" w:rsidRDefault="00107E57" w:rsidP="00107E57">
      <w:pPr>
        <w:pStyle w:val="Prrafodelista"/>
        <w:ind w:left="426"/>
        <w:jc w:val="both"/>
        <w:rPr>
          <w:rFonts w:asciiTheme="minorHAnsi" w:hAnsiTheme="minorHAnsi" w:cstheme="minorHAnsi"/>
          <w:sz w:val="22"/>
          <w:szCs w:val="22"/>
        </w:rPr>
      </w:pPr>
      <w:r w:rsidRPr="00523CA0">
        <w:rPr>
          <w:rFonts w:asciiTheme="minorHAnsi" w:hAnsiTheme="minorHAnsi" w:cstheme="minorHAnsi"/>
          <w:sz w:val="22"/>
          <w:szCs w:val="22"/>
        </w:rPr>
        <w:t>El primer ministro ruso, Alexander Novak anunció la semana pasada que Rusia reducirá voluntariamente la producción en 500 000 barriles diarios en marzo 2023, para contribuir al restablecimiento de las relaciones de mercado. La decisión de Rusia de recortar la producción de petróleo se anunció sólo 9 días después de que un panel de la OPEP, del que Rusia forma parte, respaldara la actual política de producción del grupo de productores de petróleo, dejando en vigor los recortes de producción acordados el año pasado.</w:t>
      </w:r>
    </w:p>
    <w:p w14:paraId="2635AD76" w14:textId="77777777" w:rsidR="00107E57" w:rsidRPr="0089702E" w:rsidRDefault="00107E57" w:rsidP="006E0AC8">
      <w:pPr>
        <w:pStyle w:val="Prrafodelista"/>
        <w:ind w:left="426"/>
        <w:jc w:val="both"/>
        <w:rPr>
          <w:rFonts w:asciiTheme="minorHAnsi" w:hAnsiTheme="minorHAnsi" w:cstheme="minorHAnsi"/>
          <w:sz w:val="22"/>
          <w:szCs w:val="22"/>
        </w:rPr>
      </w:pPr>
    </w:p>
    <w:p w14:paraId="0B18F734" w14:textId="7A0F3A7D" w:rsidR="007F6458" w:rsidRPr="007F6458" w:rsidRDefault="007F6458" w:rsidP="007F6458">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475EEA7C" w14:textId="20615074" w:rsidR="008A748B" w:rsidRDefault="00303B42" w:rsidP="00F02322">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5140D6" w:rsidRPr="00FD6B4B">
        <w:rPr>
          <w:rFonts w:asciiTheme="minorHAnsi" w:hAnsiTheme="minorHAnsi" w:cstheme="minorHAnsi"/>
          <w:sz w:val="22"/>
          <w:szCs w:val="22"/>
        </w:rPr>
        <w:t>Diésel</w:t>
      </w:r>
      <w:r w:rsidR="00FD6B4B" w:rsidRPr="00FD6B4B">
        <w:rPr>
          <w:rFonts w:asciiTheme="minorHAnsi" w:hAnsiTheme="minorHAnsi" w:cstheme="minorHAnsi"/>
          <w:sz w:val="22"/>
          <w:szCs w:val="22"/>
        </w:rPr>
        <w:t xml:space="preserve"> BX destinado al uso vehicular en </w:t>
      </w:r>
      <w:r w:rsidR="008A748B" w:rsidRPr="00FD6B4B">
        <w:rPr>
          <w:rFonts w:asciiTheme="minorHAnsi" w:hAnsiTheme="minorHAnsi" w:cstheme="minorHAnsi"/>
          <w:sz w:val="22"/>
          <w:szCs w:val="22"/>
        </w:rPr>
        <w:t>la lista de productos afectos al FEPC.</w:t>
      </w:r>
    </w:p>
    <w:p w14:paraId="4A22C02B" w14:textId="77777777" w:rsidR="00FD6B4B" w:rsidRDefault="00FD6B4B" w:rsidP="00F02322">
      <w:pPr>
        <w:pStyle w:val="Prrafodelista"/>
        <w:ind w:left="568" w:hanging="426"/>
        <w:rPr>
          <w:rFonts w:asciiTheme="minorHAnsi" w:hAnsiTheme="minorHAnsi" w:cstheme="minorHAnsi"/>
          <w:sz w:val="22"/>
          <w:szCs w:val="22"/>
        </w:rPr>
      </w:pPr>
    </w:p>
    <w:p w14:paraId="3F78A2E0" w14:textId="218E3C98" w:rsidR="0020425C" w:rsidRPr="00E812D9" w:rsidRDefault="00FD6B4B" w:rsidP="00F77F13">
      <w:pPr>
        <w:pStyle w:val="Textonotapie"/>
        <w:numPr>
          <w:ilvl w:val="0"/>
          <w:numId w:val="2"/>
        </w:numPr>
        <w:spacing w:before="0" w:after="0"/>
        <w:ind w:left="568" w:hanging="426"/>
        <w:rPr>
          <w:rFonts w:asciiTheme="minorHAnsi" w:hAnsiTheme="minorHAnsi" w:cstheme="minorHAnsi"/>
          <w:sz w:val="22"/>
          <w:szCs w:val="22"/>
        </w:rPr>
      </w:pPr>
      <w:r w:rsidRPr="00E812D9">
        <w:rPr>
          <w:rFonts w:asciiTheme="minorHAnsi" w:hAnsiTheme="minorHAnsi" w:cstheme="minorHAnsi"/>
          <w:sz w:val="22"/>
          <w:szCs w:val="22"/>
        </w:rPr>
        <w:t xml:space="preserve">Mediante </w:t>
      </w:r>
      <w:r w:rsidR="00303B42" w:rsidRPr="00E812D9">
        <w:rPr>
          <w:rFonts w:asciiTheme="minorHAnsi" w:hAnsiTheme="minorHAnsi" w:cstheme="minorHAnsi"/>
          <w:sz w:val="22"/>
          <w:szCs w:val="22"/>
        </w:rPr>
        <w:t>el Decreto Supremo</w:t>
      </w:r>
      <w:r w:rsidR="003C6C63" w:rsidRPr="00E812D9">
        <w:rPr>
          <w:rFonts w:asciiTheme="minorHAnsi" w:hAnsiTheme="minorHAnsi" w:cstheme="minorHAnsi"/>
          <w:sz w:val="22"/>
          <w:szCs w:val="22"/>
        </w:rPr>
        <w:t xml:space="preserve"> N° 002-2022-EM, se incluyó al </w:t>
      </w:r>
      <w:r w:rsidR="00955351" w:rsidRPr="00E812D9">
        <w:rPr>
          <w:rFonts w:asciiTheme="minorHAnsi" w:hAnsiTheme="minorHAnsi" w:cstheme="minorHAnsi"/>
          <w:sz w:val="22"/>
          <w:szCs w:val="22"/>
        </w:rPr>
        <w:t>Diésel</w:t>
      </w:r>
      <w:r w:rsidR="003C6C63" w:rsidRPr="00E812D9">
        <w:rPr>
          <w:rFonts w:asciiTheme="minorHAnsi" w:hAnsiTheme="minorHAnsi" w:cstheme="minorHAnsi"/>
          <w:sz w:val="22"/>
          <w:szCs w:val="22"/>
        </w:rPr>
        <w:t xml:space="preserve"> 2 destinado al uso vehicular, en la lista de productos afectos al FEPC</w:t>
      </w:r>
      <w:r w:rsidR="009427C6" w:rsidRPr="00E812D9">
        <w:rPr>
          <w:rFonts w:asciiTheme="minorHAnsi" w:hAnsiTheme="minorHAnsi" w:cstheme="minorHAnsi"/>
          <w:sz w:val="22"/>
          <w:szCs w:val="22"/>
        </w:rPr>
        <w:t>. Dicha inclusión se realiz</w:t>
      </w:r>
      <w:r w:rsidR="00567AE0" w:rsidRPr="00E812D9">
        <w:rPr>
          <w:rFonts w:asciiTheme="minorHAnsi" w:hAnsiTheme="minorHAnsi" w:cstheme="minorHAnsi"/>
          <w:sz w:val="22"/>
          <w:szCs w:val="22"/>
        </w:rPr>
        <w:t>ó</w:t>
      </w:r>
      <w:r w:rsidR="009427C6" w:rsidRPr="00E812D9">
        <w:rPr>
          <w:rFonts w:asciiTheme="minorHAnsi" w:hAnsiTheme="minorHAnsi" w:cstheme="minorHAnsi"/>
          <w:sz w:val="22"/>
          <w:szCs w:val="22"/>
        </w:rPr>
        <w:t xml:space="preserve"> durante el plazo que el MINEM autorice su comercialización, en aplicación del artículo 2 del Decreto Supremo Nº 001-2011-EM, por una afectación de alcance nacional.</w:t>
      </w:r>
    </w:p>
    <w:p w14:paraId="61F15353" w14:textId="77777777" w:rsidR="0020425C" w:rsidRDefault="0020425C" w:rsidP="00F02322">
      <w:pPr>
        <w:pStyle w:val="Prrafodelista"/>
        <w:ind w:left="568" w:hanging="426"/>
        <w:rPr>
          <w:rFonts w:asciiTheme="minorHAnsi" w:hAnsiTheme="minorHAnsi" w:cstheme="minorHAnsi"/>
          <w:sz w:val="22"/>
          <w:szCs w:val="22"/>
        </w:rPr>
      </w:pPr>
    </w:p>
    <w:p w14:paraId="1E583194" w14:textId="5EB072D1" w:rsidR="0020425C" w:rsidRDefault="0074476A" w:rsidP="00F02322">
      <w:pPr>
        <w:pStyle w:val="Textonotapie"/>
        <w:numPr>
          <w:ilvl w:val="0"/>
          <w:numId w:val="2"/>
        </w:numPr>
        <w:spacing w:before="0" w:after="0"/>
        <w:ind w:left="568" w:hanging="426"/>
      </w:pPr>
      <w:r>
        <w:rPr>
          <w:rFonts w:asciiTheme="minorHAnsi" w:hAnsiTheme="minorHAnsi" w:cstheme="minorHAnsi"/>
          <w:sz w:val="22"/>
          <w:szCs w:val="22"/>
        </w:rPr>
        <w:t>M</w:t>
      </w:r>
      <w:r w:rsidR="0020425C" w:rsidRPr="0020425C">
        <w:rPr>
          <w:rFonts w:asciiTheme="minorHAnsi" w:hAnsiTheme="minorHAnsi" w:cstheme="minorHAnsi"/>
          <w:sz w:val="22"/>
          <w:szCs w:val="22"/>
        </w:rPr>
        <w:t>ediante Decreto Supremo N° 007-2022-EM, publicado el 26 de junio de 2022, se modificó el numeral 1.1 del artículo 1 del Decreto 002 precisando la inclusión de las Gasolinas de 90 y 84 octanos, Gasohol de 84 octanos y GLP-G en la lista de Productos sujetos al Fondo establecida en el literal m) del artículo 2 del DU 010 hasta el 30 de septiembre de 2022</w:t>
      </w:r>
      <w:r w:rsidR="0020425C">
        <w:rPr>
          <w:rFonts w:asciiTheme="minorHAnsi" w:hAnsiTheme="minorHAnsi" w:cstheme="minorHAnsi"/>
          <w:sz w:val="22"/>
          <w:szCs w:val="22"/>
        </w:rPr>
        <w:t>.</w:t>
      </w:r>
    </w:p>
    <w:p w14:paraId="03C9F47A" w14:textId="77777777" w:rsidR="00F60765" w:rsidRDefault="00F60765" w:rsidP="00F02322">
      <w:pPr>
        <w:pStyle w:val="Textonotapie"/>
        <w:spacing w:before="0" w:after="0"/>
        <w:ind w:left="568" w:hanging="426"/>
        <w:rPr>
          <w:rFonts w:asciiTheme="minorHAnsi" w:hAnsiTheme="minorHAnsi" w:cstheme="minorHAnsi"/>
          <w:sz w:val="22"/>
          <w:szCs w:val="22"/>
        </w:rPr>
      </w:pPr>
    </w:p>
    <w:p w14:paraId="3C8B4389" w14:textId="590C6561" w:rsidR="0074476A" w:rsidRDefault="0074476A" w:rsidP="0074476A">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Posteriormente</w:t>
      </w:r>
      <w:r w:rsidRPr="0020425C">
        <w:rPr>
          <w:rFonts w:asciiTheme="minorHAnsi" w:hAnsiTheme="minorHAnsi" w:cstheme="minorHAnsi"/>
          <w:sz w:val="22"/>
          <w:szCs w:val="22"/>
        </w:rPr>
        <w:t>, mediante Decreto Supremo N° 0</w:t>
      </w:r>
      <w:r>
        <w:rPr>
          <w:rFonts w:asciiTheme="minorHAnsi" w:hAnsiTheme="minorHAnsi" w:cstheme="minorHAnsi"/>
          <w:sz w:val="22"/>
          <w:szCs w:val="22"/>
        </w:rPr>
        <w:t>11</w:t>
      </w:r>
      <w:r w:rsidRPr="0020425C">
        <w:rPr>
          <w:rFonts w:asciiTheme="minorHAnsi" w:hAnsiTheme="minorHAnsi" w:cstheme="minorHAnsi"/>
          <w:sz w:val="22"/>
          <w:szCs w:val="22"/>
        </w:rPr>
        <w:t xml:space="preserve">-2022-EM, publicado el </w:t>
      </w:r>
      <w:r>
        <w:rPr>
          <w:rFonts w:asciiTheme="minorHAnsi" w:hAnsiTheme="minorHAnsi" w:cstheme="minorHAnsi"/>
          <w:sz w:val="22"/>
          <w:szCs w:val="22"/>
        </w:rPr>
        <w:t>18</w:t>
      </w:r>
      <w:r w:rsidRPr="0020425C">
        <w:rPr>
          <w:rFonts w:asciiTheme="minorHAnsi" w:hAnsiTheme="minorHAnsi" w:cstheme="minorHAnsi"/>
          <w:sz w:val="22"/>
          <w:szCs w:val="22"/>
        </w:rPr>
        <w:t xml:space="preserve"> de </w:t>
      </w:r>
      <w:r>
        <w:rPr>
          <w:rFonts w:asciiTheme="minorHAnsi" w:hAnsiTheme="minorHAnsi" w:cstheme="minorHAnsi"/>
          <w:sz w:val="22"/>
          <w:szCs w:val="22"/>
        </w:rPr>
        <w:t>septiembre</w:t>
      </w:r>
      <w:r w:rsidRPr="0020425C">
        <w:rPr>
          <w:rFonts w:asciiTheme="minorHAnsi" w:hAnsiTheme="minorHAnsi" w:cstheme="minorHAnsi"/>
          <w:sz w:val="22"/>
          <w:szCs w:val="22"/>
        </w:rPr>
        <w:t xml:space="preserve"> de 2022, se modificó el numeral 1.1 del artículo 1 del Decreto 002 precisando la inclusión de las Gasolinas de 90 y 84 octanos, Gasohol de 84 octanos y GLP-G en la lista de Productos sujetos al Fondo establecida en el literal m) del artículo 2 del DU 010 hasta el 3</w:t>
      </w:r>
      <w:r>
        <w:rPr>
          <w:rFonts w:asciiTheme="minorHAnsi" w:hAnsiTheme="minorHAnsi" w:cstheme="minorHAnsi"/>
          <w:sz w:val="22"/>
          <w:szCs w:val="22"/>
        </w:rPr>
        <w:t>1</w:t>
      </w:r>
      <w:r w:rsidRPr="0020425C">
        <w:rPr>
          <w:rFonts w:asciiTheme="minorHAnsi" w:hAnsiTheme="minorHAnsi" w:cstheme="minorHAnsi"/>
          <w:sz w:val="22"/>
          <w:szCs w:val="22"/>
        </w:rPr>
        <w:t xml:space="preserve"> de </w:t>
      </w:r>
      <w:r>
        <w:rPr>
          <w:rFonts w:asciiTheme="minorHAnsi" w:hAnsiTheme="minorHAnsi" w:cstheme="minorHAnsi"/>
          <w:sz w:val="22"/>
          <w:szCs w:val="22"/>
        </w:rPr>
        <w:t>dici</w:t>
      </w:r>
      <w:r w:rsidRPr="0020425C">
        <w:rPr>
          <w:rFonts w:asciiTheme="minorHAnsi" w:hAnsiTheme="minorHAnsi" w:cstheme="minorHAnsi"/>
          <w:sz w:val="22"/>
          <w:szCs w:val="22"/>
        </w:rPr>
        <w:t>embre de 2022</w:t>
      </w:r>
      <w:r>
        <w:rPr>
          <w:rFonts w:asciiTheme="minorHAnsi" w:hAnsiTheme="minorHAnsi" w:cstheme="minorHAnsi"/>
          <w:sz w:val="22"/>
          <w:szCs w:val="22"/>
        </w:rPr>
        <w:t>.</w:t>
      </w:r>
    </w:p>
    <w:p w14:paraId="5EFC9D28" w14:textId="77777777" w:rsidR="004D4B7D" w:rsidRDefault="004D4B7D" w:rsidP="004D4B7D">
      <w:pPr>
        <w:pStyle w:val="Prrafodelista"/>
        <w:rPr>
          <w:rFonts w:asciiTheme="minorHAnsi" w:hAnsiTheme="minorHAnsi" w:cstheme="minorHAnsi"/>
          <w:sz w:val="22"/>
          <w:szCs w:val="22"/>
        </w:rPr>
      </w:pPr>
    </w:p>
    <w:p w14:paraId="0A45E724" w14:textId="77777777" w:rsidR="004D4B7D" w:rsidRPr="00562D12" w:rsidRDefault="004D4B7D" w:rsidP="004D4B7D">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Posteriormente</w:t>
      </w:r>
      <w:r w:rsidRPr="0020425C">
        <w:rPr>
          <w:rFonts w:asciiTheme="minorHAnsi" w:hAnsiTheme="minorHAnsi" w:cstheme="minorHAnsi"/>
          <w:sz w:val="22"/>
          <w:szCs w:val="22"/>
        </w:rPr>
        <w:t>, mediante Decreto Supremo N° 0</w:t>
      </w:r>
      <w:r>
        <w:rPr>
          <w:rFonts w:asciiTheme="minorHAnsi" w:hAnsiTheme="minorHAnsi" w:cstheme="minorHAnsi"/>
          <w:sz w:val="22"/>
          <w:szCs w:val="22"/>
        </w:rPr>
        <w:t>17</w:t>
      </w:r>
      <w:r w:rsidRPr="0020425C">
        <w:rPr>
          <w:rFonts w:asciiTheme="minorHAnsi" w:hAnsiTheme="minorHAnsi" w:cstheme="minorHAnsi"/>
          <w:sz w:val="22"/>
          <w:szCs w:val="22"/>
        </w:rPr>
        <w:t xml:space="preserve">-2022-EM, publicado el </w:t>
      </w:r>
      <w:r>
        <w:rPr>
          <w:rFonts w:asciiTheme="minorHAnsi" w:hAnsiTheme="minorHAnsi" w:cstheme="minorHAnsi"/>
          <w:sz w:val="22"/>
          <w:szCs w:val="22"/>
        </w:rPr>
        <w:t>29</w:t>
      </w:r>
      <w:r w:rsidRPr="0020425C">
        <w:rPr>
          <w:rFonts w:asciiTheme="minorHAnsi" w:hAnsiTheme="minorHAnsi" w:cstheme="minorHAnsi"/>
          <w:sz w:val="22"/>
          <w:szCs w:val="22"/>
        </w:rPr>
        <w:t xml:space="preserve"> de </w:t>
      </w:r>
      <w:r>
        <w:rPr>
          <w:rFonts w:asciiTheme="minorHAnsi" w:hAnsiTheme="minorHAnsi" w:cstheme="minorHAnsi"/>
          <w:sz w:val="22"/>
          <w:szCs w:val="22"/>
        </w:rPr>
        <w:t>diciembre</w:t>
      </w:r>
      <w:r w:rsidRPr="0020425C">
        <w:rPr>
          <w:rFonts w:asciiTheme="minorHAnsi" w:hAnsiTheme="minorHAnsi" w:cstheme="minorHAnsi"/>
          <w:sz w:val="22"/>
          <w:szCs w:val="22"/>
        </w:rPr>
        <w:t xml:space="preserve"> de 2022, se modificó el numeral 1.1 del artículo 1 del Decreto 002 </w:t>
      </w:r>
      <w:r>
        <w:rPr>
          <w:rFonts w:asciiTheme="minorHAnsi" w:hAnsiTheme="minorHAnsi" w:cstheme="minorHAnsi"/>
          <w:sz w:val="22"/>
          <w:szCs w:val="22"/>
        </w:rPr>
        <w:t xml:space="preserve">extendiendo la inclusión del </w:t>
      </w:r>
      <w:r w:rsidRPr="0020425C">
        <w:rPr>
          <w:rFonts w:asciiTheme="minorHAnsi" w:hAnsiTheme="minorHAnsi" w:cstheme="minorHAnsi"/>
          <w:sz w:val="22"/>
          <w:szCs w:val="22"/>
        </w:rPr>
        <w:t>GLP-G en la lista de Productos sujetos al Fondo establecida en el literal m) del artículo 2 del DU 010 hasta el 3</w:t>
      </w:r>
      <w:r>
        <w:rPr>
          <w:rFonts w:asciiTheme="minorHAnsi" w:hAnsiTheme="minorHAnsi" w:cstheme="minorHAnsi"/>
          <w:sz w:val="22"/>
          <w:szCs w:val="22"/>
        </w:rPr>
        <w:t>1</w:t>
      </w:r>
      <w:r w:rsidRPr="0020425C">
        <w:rPr>
          <w:rFonts w:asciiTheme="minorHAnsi" w:hAnsiTheme="minorHAnsi" w:cstheme="minorHAnsi"/>
          <w:sz w:val="22"/>
          <w:szCs w:val="22"/>
        </w:rPr>
        <w:t xml:space="preserve"> de </w:t>
      </w:r>
      <w:r>
        <w:rPr>
          <w:rFonts w:asciiTheme="minorHAnsi" w:hAnsiTheme="minorHAnsi" w:cstheme="minorHAnsi"/>
          <w:sz w:val="22"/>
          <w:szCs w:val="22"/>
        </w:rPr>
        <w:t>marzo</w:t>
      </w:r>
      <w:r w:rsidRPr="0020425C">
        <w:rPr>
          <w:rFonts w:asciiTheme="minorHAnsi" w:hAnsiTheme="minorHAnsi" w:cstheme="minorHAnsi"/>
          <w:sz w:val="22"/>
          <w:szCs w:val="22"/>
        </w:rPr>
        <w:t xml:space="preserve"> de 202</w:t>
      </w:r>
      <w:r>
        <w:rPr>
          <w:rFonts w:asciiTheme="minorHAnsi" w:hAnsiTheme="minorHAnsi" w:cstheme="minorHAnsi"/>
          <w:sz w:val="22"/>
          <w:szCs w:val="22"/>
        </w:rPr>
        <w:t>3.</w:t>
      </w:r>
    </w:p>
    <w:p w14:paraId="7A953DAE" w14:textId="77777777" w:rsidR="004D4B7D" w:rsidRDefault="004D4B7D" w:rsidP="0074476A">
      <w:pPr>
        <w:pStyle w:val="Textonotapie"/>
        <w:tabs>
          <w:tab w:val="left" w:pos="709"/>
        </w:tabs>
        <w:spacing w:before="0" w:after="0"/>
        <w:ind w:left="568"/>
        <w:rPr>
          <w:rFonts w:asciiTheme="minorHAnsi" w:hAnsiTheme="minorHAnsi" w:cstheme="minorHAnsi"/>
          <w:sz w:val="22"/>
          <w:szCs w:val="22"/>
        </w:rPr>
      </w:pPr>
    </w:p>
    <w:p w14:paraId="24F917D0" w14:textId="680B4020"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Mediante Resolución N° 0</w:t>
      </w:r>
      <w:r w:rsidR="004D4B7D" w:rsidRPr="004D4B7D">
        <w:rPr>
          <w:rFonts w:asciiTheme="minorHAnsi" w:hAnsiTheme="minorHAnsi" w:cstheme="minorHAnsi"/>
          <w:sz w:val="22"/>
          <w:szCs w:val="22"/>
        </w:rPr>
        <w:t>0</w:t>
      </w:r>
      <w:r w:rsidR="00641324">
        <w:rPr>
          <w:rFonts w:asciiTheme="minorHAnsi" w:hAnsiTheme="minorHAnsi" w:cstheme="minorHAnsi"/>
          <w:sz w:val="22"/>
          <w:szCs w:val="22"/>
        </w:rPr>
        <w:t>5</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el Gas Licuado de Petróleo destinado a granel (GLP-G)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4D4B7D" w:rsidRPr="004D4B7D">
        <w:rPr>
          <w:rFonts w:asciiTheme="minorHAnsi" w:hAnsiTheme="minorHAnsi" w:cstheme="minorHAnsi"/>
          <w:sz w:val="22"/>
          <w:szCs w:val="22"/>
        </w:rPr>
        <w:t>2</w:t>
      </w:r>
      <w:r w:rsidR="0079081F">
        <w:rPr>
          <w:rFonts w:asciiTheme="minorHAnsi" w:hAnsiTheme="minorHAnsi" w:cstheme="minorHAnsi"/>
          <w:sz w:val="22"/>
          <w:szCs w:val="22"/>
        </w:rPr>
        <w:t>4</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febrero</w:t>
      </w:r>
      <w:r w:rsidR="009C0925" w:rsidRPr="004D4B7D">
        <w:rPr>
          <w:rFonts w:asciiTheme="minorHAnsi" w:hAnsiTheme="minorHAnsi" w:cstheme="minorHAnsi"/>
          <w:sz w:val="22"/>
          <w:szCs w:val="22"/>
        </w:rPr>
        <w:t xml:space="preserve"> hasta el jueves </w:t>
      </w:r>
      <w:r w:rsidR="0079081F">
        <w:rPr>
          <w:rFonts w:asciiTheme="minorHAnsi" w:hAnsiTheme="minorHAnsi" w:cstheme="minorHAnsi"/>
          <w:sz w:val="22"/>
          <w:szCs w:val="22"/>
        </w:rPr>
        <w:t>30</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marz</w:t>
      </w:r>
      <w:r w:rsidR="009C0925" w:rsidRPr="004D4B7D">
        <w:rPr>
          <w:rFonts w:asciiTheme="minorHAnsi" w:hAnsiTheme="minorHAnsi" w:cstheme="minorHAnsi"/>
          <w:sz w:val="22"/>
          <w:szCs w:val="22"/>
        </w:rPr>
        <w:t>o de 2023.</w:t>
      </w:r>
      <w:r w:rsidR="00641324">
        <w:rPr>
          <w:rFonts w:asciiTheme="minorHAnsi" w:hAnsiTheme="minorHAnsi" w:cstheme="minorHAnsi"/>
          <w:sz w:val="22"/>
          <w:szCs w:val="22"/>
        </w:rPr>
        <w:t xml:space="preserve"> Asimismo, se fijó la Banda de Precios para el Petróleo Industrial N°</w:t>
      </w:r>
      <w:r w:rsidR="001C64F2">
        <w:rPr>
          <w:rFonts w:asciiTheme="minorHAnsi" w:hAnsiTheme="minorHAnsi" w:cstheme="minorHAnsi"/>
          <w:sz w:val="22"/>
          <w:szCs w:val="22"/>
        </w:rPr>
        <w:t xml:space="preserve"> </w:t>
      </w:r>
      <w:r w:rsidR="00641324">
        <w:rPr>
          <w:rFonts w:asciiTheme="minorHAnsi" w:hAnsiTheme="minorHAnsi" w:cstheme="minorHAnsi"/>
          <w:sz w:val="22"/>
          <w:szCs w:val="22"/>
        </w:rPr>
        <w:t>6 utilizado en actividades de generación eléctrica en sistemas eléctricos Aislados, con vigencia a partir del 24 de febrero de 2023 hasta el 27 de abril de 2023</w:t>
      </w:r>
      <w:r w:rsidR="0079081F">
        <w:rPr>
          <w:rFonts w:asciiTheme="minorHAnsi" w:hAnsiTheme="minorHAnsi" w:cstheme="minorHAnsi"/>
          <w:sz w:val="22"/>
          <w:szCs w:val="22"/>
        </w:rPr>
        <w:t>.</w:t>
      </w:r>
    </w:p>
    <w:p w14:paraId="394E0522" w14:textId="6879FC79" w:rsidR="00162126" w:rsidRDefault="00162126" w:rsidP="004D4B7D">
      <w:pPr>
        <w:pStyle w:val="Textonotapie"/>
        <w:tabs>
          <w:tab w:val="left" w:pos="709"/>
        </w:tabs>
        <w:spacing w:before="0" w:after="0"/>
        <w:ind w:left="568"/>
        <w:rPr>
          <w:rFonts w:asciiTheme="minorHAnsi" w:hAnsiTheme="minorHAnsi" w:cstheme="minorHAnsi"/>
          <w:sz w:val="22"/>
          <w:szCs w:val="22"/>
        </w:rPr>
      </w:pPr>
    </w:p>
    <w:p w14:paraId="5AAD8AFE" w14:textId="73A6C02C"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de la Gerencia de Regulación Tarifaria Osinergmin N° 0</w:t>
      </w:r>
      <w:r>
        <w:rPr>
          <w:rFonts w:asciiTheme="minorHAnsi" w:hAnsiTheme="minorHAnsi" w:cstheme="minorHAnsi"/>
          <w:sz w:val="22"/>
          <w:szCs w:val="22"/>
        </w:rPr>
        <w:t>05</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 xml:space="preserve">-OS/GRT,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martes </w:t>
      </w:r>
      <w:r w:rsidR="00954A3E" w:rsidRPr="00294829">
        <w:rPr>
          <w:rFonts w:asciiTheme="minorHAnsi" w:hAnsiTheme="minorHAnsi" w:cstheme="minorHAnsi"/>
          <w:sz w:val="22"/>
          <w:szCs w:val="22"/>
        </w:rPr>
        <w:t>21</w:t>
      </w:r>
      <w:r w:rsidRPr="00294829">
        <w:rPr>
          <w:rFonts w:asciiTheme="minorHAnsi" w:hAnsiTheme="minorHAnsi" w:cstheme="minorHAnsi"/>
          <w:sz w:val="22"/>
          <w:szCs w:val="22"/>
        </w:rPr>
        <w:t xml:space="preserve"> al lunes 2</w:t>
      </w:r>
      <w:r w:rsidR="00954A3E" w:rsidRPr="00294829">
        <w:rPr>
          <w:rFonts w:asciiTheme="minorHAnsi" w:hAnsiTheme="minorHAnsi" w:cstheme="minorHAnsi"/>
          <w:sz w:val="22"/>
          <w:szCs w:val="22"/>
        </w:rPr>
        <w:t>7</w:t>
      </w:r>
      <w:r w:rsidRPr="00294829">
        <w:rPr>
          <w:rFonts w:asciiTheme="minorHAnsi" w:hAnsiTheme="minorHAnsi" w:cstheme="minorHAnsi"/>
          <w:sz w:val="22"/>
          <w:szCs w:val="22"/>
        </w:rPr>
        <w:t xml:space="preserve"> de marzo de 2023</w:t>
      </w:r>
      <w:bookmarkStart w:id="1" w:name="_GoBack"/>
      <w:bookmarkEnd w:id="1"/>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2C4AC7AC" w14:textId="4B4A1D2C" w:rsidR="009D32AB" w:rsidRDefault="00E812D9" w:rsidP="00FC618C">
      <w:pPr>
        <w:pStyle w:val="Sangradetextonormal"/>
        <w:numPr>
          <w:ilvl w:val="0"/>
          <w:numId w:val="16"/>
        </w:numPr>
        <w:ind w:left="568" w:hanging="426"/>
        <w:rPr>
          <w:rFonts w:asciiTheme="minorHAnsi" w:hAnsiTheme="minorHAnsi" w:cstheme="minorHAnsi"/>
          <w:sz w:val="22"/>
          <w:szCs w:val="22"/>
        </w:rPr>
      </w:pPr>
      <w:r w:rsidRPr="00232A32">
        <w:rPr>
          <w:rFonts w:asciiTheme="minorHAnsi" w:hAnsiTheme="minorHAnsi" w:cstheme="minorHAnsi"/>
          <w:sz w:val="22"/>
          <w:szCs w:val="22"/>
        </w:rPr>
        <w:t xml:space="preserve">El día </w:t>
      </w:r>
      <w:r w:rsidR="001C64F2">
        <w:rPr>
          <w:rFonts w:asciiTheme="minorHAnsi" w:hAnsiTheme="minorHAnsi" w:cstheme="minorHAnsi"/>
          <w:sz w:val="22"/>
          <w:szCs w:val="22"/>
        </w:rPr>
        <w:t>24</w:t>
      </w:r>
      <w:r w:rsidRPr="00232A32">
        <w:rPr>
          <w:rFonts w:asciiTheme="minorHAnsi" w:hAnsiTheme="minorHAnsi" w:cstheme="minorHAnsi"/>
          <w:sz w:val="22"/>
          <w:szCs w:val="22"/>
        </w:rPr>
        <w:t>.</w:t>
      </w:r>
      <w:r>
        <w:rPr>
          <w:rFonts w:asciiTheme="minorHAnsi" w:hAnsiTheme="minorHAnsi" w:cstheme="minorHAnsi"/>
          <w:sz w:val="22"/>
          <w:szCs w:val="22"/>
        </w:rPr>
        <w:t>03</w:t>
      </w:r>
      <w:r w:rsidRPr="00232A32">
        <w:rPr>
          <w:rFonts w:asciiTheme="minorHAnsi" w:hAnsiTheme="minorHAnsi" w:cstheme="minorHAnsi"/>
          <w:sz w:val="22"/>
          <w:szCs w:val="22"/>
        </w:rPr>
        <w:t>.202</w:t>
      </w:r>
      <w:r>
        <w:rPr>
          <w:rFonts w:asciiTheme="minorHAnsi" w:hAnsiTheme="minorHAnsi" w:cstheme="minorHAnsi"/>
          <w:sz w:val="22"/>
          <w:szCs w:val="22"/>
        </w:rPr>
        <w:t>3</w:t>
      </w:r>
      <w:r w:rsidRPr="00232A32">
        <w:rPr>
          <w:rFonts w:asciiTheme="minorHAnsi" w:hAnsiTheme="minorHAnsi" w:cstheme="minorHAnsi"/>
          <w:sz w:val="22"/>
          <w:szCs w:val="22"/>
        </w:rPr>
        <w:t xml:space="preserve">, PETROPERÚ publicó su lista de precios de venta de combustibles. Se registraron variaciones en los precios </w:t>
      </w:r>
      <w:r w:rsidR="00954A3E">
        <w:rPr>
          <w:rFonts w:asciiTheme="minorHAnsi" w:hAnsiTheme="minorHAnsi" w:cstheme="minorHAnsi"/>
          <w:sz w:val="22"/>
          <w:szCs w:val="22"/>
        </w:rPr>
        <w:t xml:space="preserve">(sin incluir impuestos) </w:t>
      </w:r>
      <w:r w:rsidRPr="00232A32">
        <w:rPr>
          <w:rFonts w:asciiTheme="minorHAnsi" w:hAnsiTheme="minorHAnsi" w:cstheme="minorHAnsi"/>
          <w:sz w:val="22"/>
          <w:szCs w:val="22"/>
        </w:rPr>
        <w:t xml:space="preserve">de la </w:t>
      </w:r>
      <w:r>
        <w:rPr>
          <w:rFonts w:asciiTheme="minorHAnsi" w:hAnsiTheme="minorHAnsi" w:cstheme="minorHAnsi"/>
          <w:sz w:val="22"/>
          <w:szCs w:val="22"/>
        </w:rPr>
        <w:t>G</w:t>
      </w:r>
      <w:r w:rsidRPr="00232A32">
        <w:rPr>
          <w:rFonts w:asciiTheme="minorHAnsi" w:hAnsiTheme="minorHAnsi" w:cstheme="minorHAnsi"/>
          <w:sz w:val="22"/>
          <w:szCs w:val="22"/>
        </w:rPr>
        <w:t xml:space="preserve">asolina </w:t>
      </w:r>
      <w:r>
        <w:rPr>
          <w:rFonts w:asciiTheme="minorHAnsi" w:hAnsiTheme="minorHAnsi" w:cstheme="minorHAnsi"/>
          <w:sz w:val="22"/>
          <w:szCs w:val="22"/>
        </w:rPr>
        <w:t>Premium</w:t>
      </w:r>
      <w:r w:rsidRPr="00232A32">
        <w:rPr>
          <w:rFonts w:asciiTheme="minorHAnsi" w:hAnsiTheme="minorHAnsi" w:cstheme="minorHAnsi"/>
          <w:sz w:val="22"/>
          <w:szCs w:val="22"/>
        </w:rPr>
        <w:t xml:space="preserve"> (</w:t>
      </w:r>
      <w:r w:rsidR="001C64F2">
        <w:rPr>
          <w:rFonts w:asciiTheme="minorHAnsi" w:hAnsiTheme="minorHAnsi" w:cstheme="minorHAnsi"/>
          <w:sz w:val="22"/>
          <w:szCs w:val="22"/>
        </w:rPr>
        <w:t xml:space="preserve">-0,19 </w:t>
      </w:r>
      <w:r w:rsidRPr="00232A32">
        <w:rPr>
          <w:rFonts w:asciiTheme="minorHAnsi" w:hAnsiTheme="minorHAnsi" w:cstheme="minorHAnsi"/>
          <w:sz w:val="22"/>
          <w:szCs w:val="22"/>
        </w:rPr>
        <w:t>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xml:space="preserve">), </w:t>
      </w:r>
      <w:r>
        <w:rPr>
          <w:rFonts w:asciiTheme="minorHAnsi" w:hAnsiTheme="minorHAnsi" w:cstheme="minorHAnsi"/>
          <w:sz w:val="22"/>
          <w:szCs w:val="22"/>
        </w:rPr>
        <w:t>Gasolina Regular</w:t>
      </w:r>
      <w:r w:rsidRPr="00232A32">
        <w:rPr>
          <w:rFonts w:asciiTheme="minorHAnsi" w:hAnsiTheme="minorHAnsi" w:cstheme="minorHAnsi"/>
          <w:sz w:val="22"/>
          <w:szCs w:val="22"/>
        </w:rPr>
        <w:t xml:space="preserve"> (</w:t>
      </w:r>
      <w:r w:rsidR="001C64F2">
        <w:rPr>
          <w:rFonts w:asciiTheme="minorHAnsi" w:hAnsiTheme="minorHAnsi" w:cstheme="minorHAnsi"/>
          <w:sz w:val="22"/>
          <w:szCs w:val="22"/>
        </w:rPr>
        <w:t>-0,18</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xml:space="preserve">) y </w:t>
      </w:r>
      <w:r>
        <w:rPr>
          <w:rFonts w:asciiTheme="minorHAnsi" w:hAnsiTheme="minorHAnsi" w:cstheme="minorHAnsi"/>
          <w:sz w:val="22"/>
          <w:szCs w:val="22"/>
        </w:rPr>
        <w:t xml:space="preserve">Gasolina </w:t>
      </w:r>
      <w:r w:rsidRPr="00232A32">
        <w:rPr>
          <w:rFonts w:asciiTheme="minorHAnsi" w:hAnsiTheme="minorHAnsi" w:cstheme="minorHAnsi"/>
          <w:sz w:val="22"/>
          <w:szCs w:val="22"/>
        </w:rPr>
        <w:t>84 octanos (</w:t>
      </w:r>
      <w:r w:rsidR="001C64F2">
        <w:rPr>
          <w:rFonts w:asciiTheme="minorHAnsi" w:hAnsiTheme="minorHAnsi" w:cstheme="minorHAnsi"/>
          <w:sz w:val="22"/>
          <w:szCs w:val="22"/>
        </w:rPr>
        <w:t>-0,26</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xml:space="preserve">), </w:t>
      </w:r>
      <w:r>
        <w:rPr>
          <w:rFonts w:asciiTheme="minorHAnsi" w:hAnsiTheme="minorHAnsi" w:cstheme="minorHAnsi"/>
          <w:sz w:val="22"/>
          <w:szCs w:val="22"/>
        </w:rPr>
        <w:t xml:space="preserve">Gasohol Premium </w:t>
      </w:r>
      <w:r w:rsidRPr="00232A32">
        <w:rPr>
          <w:rFonts w:asciiTheme="minorHAnsi" w:hAnsiTheme="minorHAnsi" w:cstheme="minorHAnsi"/>
          <w:sz w:val="22"/>
          <w:szCs w:val="22"/>
        </w:rPr>
        <w:t>(</w:t>
      </w:r>
      <w:r w:rsidR="001C64F2">
        <w:rPr>
          <w:rFonts w:asciiTheme="minorHAnsi" w:hAnsiTheme="minorHAnsi" w:cstheme="minorHAnsi"/>
          <w:sz w:val="22"/>
          <w:szCs w:val="22"/>
        </w:rPr>
        <w:t>-0,17</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xml:space="preserve">), </w:t>
      </w:r>
      <w:r>
        <w:rPr>
          <w:rFonts w:asciiTheme="minorHAnsi" w:hAnsiTheme="minorHAnsi" w:cstheme="minorHAnsi"/>
          <w:sz w:val="22"/>
          <w:szCs w:val="22"/>
        </w:rPr>
        <w:t xml:space="preserve">Gasohol Regular </w:t>
      </w:r>
      <w:r w:rsidRPr="00232A32">
        <w:rPr>
          <w:rFonts w:asciiTheme="minorHAnsi" w:hAnsiTheme="minorHAnsi" w:cstheme="minorHAnsi"/>
          <w:sz w:val="22"/>
          <w:szCs w:val="22"/>
        </w:rPr>
        <w:t>(</w:t>
      </w:r>
      <w:r w:rsidR="001C64F2">
        <w:rPr>
          <w:rFonts w:asciiTheme="minorHAnsi" w:hAnsiTheme="minorHAnsi" w:cstheme="minorHAnsi"/>
          <w:sz w:val="22"/>
          <w:szCs w:val="22"/>
        </w:rPr>
        <w:t>-0,17</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xml:space="preserve">) y </w:t>
      </w:r>
      <w:r>
        <w:rPr>
          <w:rFonts w:asciiTheme="minorHAnsi" w:hAnsiTheme="minorHAnsi" w:cstheme="minorHAnsi"/>
          <w:sz w:val="22"/>
          <w:szCs w:val="22"/>
        </w:rPr>
        <w:t xml:space="preserve">Gasohol de </w:t>
      </w:r>
      <w:r w:rsidRPr="00232A32">
        <w:rPr>
          <w:rFonts w:asciiTheme="minorHAnsi" w:hAnsiTheme="minorHAnsi" w:cstheme="minorHAnsi"/>
          <w:sz w:val="22"/>
          <w:szCs w:val="22"/>
        </w:rPr>
        <w:t>84</w:t>
      </w:r>
      <w:r>
        <w:rPr>
          <w:rFonts w:asciiTheme="minorHAnsi" w:hAnsiTheme="minorHAnsi" w:cstheme="minorHAnsi"/>
          <w:sz w:val="22"/>
          <w:szCs w:val="22"/>
        </w:rPr>
        <w:t xml:space="preserve"> octanos</w:t>
      </w:r>
      <w:r w:rsidRPr="00232A32">
        <w:rPr>
          <w:rFonts w:asciiTheme="minorHAnsi" w:hAnsiTheme="minorHAnsi" w:cstheme="minorHAnsi"/>
          <w:sz w:val="22"/>
          <w:szCs w:val="22"/>
        </w:rPr>
        <w:t xml:space="preserve"> (</w:t>
      </w:r>
      <w:r w:rsidR="001C64F2">
        <w:rPr>
          <w:rFonts w:asciiTheme="minorHAnsi" w:hAnsiTheme="minorHAnsi" w:cstheme="minorHAnsi"/>
          <w:sz w:val="22"/>
          <w:szCs w:val="22"/>
        </w:rPr>
        <w:t>-0,23</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xml:space="preserve">), </w:t>
      </w:r>
      <w:r w:rsidR="001C64F2">
        <w:rPr>
          <w:rFonts w:asciiTheme="minorHAnsi" w:hAnsiTheme="minorHAnsi" w:cstheme="minorHAnsi"/>
          <w:sz w:val="22"/>
          <w:szCs w:val="22"/>
        </w:rPr>
        <w:t xml:space="preserve">Diésel B5 </w:t>
      </w:r>
      <w:r w:rsidR="00954A3E">
        <w:rPr>
          <w:rFonts w:asciiTheme="minorHAnsi" w:hAnsiTheme="minorHAnsi" w:cstheme="minorHAnsi"/>
          <w:sz w:val="22"/>
          <w:szCs w:val="22"/>
        </w:rPr>
        <w:t xml:space="preserve">para uso vehicular </w:t>
      </w:r>
      <w:r w:rsidR="001C64F2">
        <w:rPr>
          <w:rFonts w:asciiTheme="minorHAnsi" w:hAnsiTheme="minorHAnsi" w:cstheme="minorHAnsi"/>
          <w:sz w:val="22"/>
          <w:szCs w:val="22"/>
        </w:rPr>
        <w:t>(-0,23 S/</w:t>
      </w:r>
      <w:proofErr w:type="spellStart"/>
      <w:r w:rsidR="001C64F2">
        <w:rPr>
          <w:rFonts w:asciiTheme="minorHAnsi" w:hAnsiTheme="minorHAnsi" w:cstheme="minorHAnsi"/>
          <w:sz w:val="22"/>
          <w:szCs w:val="22"/>
        </w:rPr>
        <w:t>Gln</w:t>
      </w:r>
      <w:proofErr w:type="spellEnd"/>
      <w:r w:rsidR="001C64F2">
        <w:rPr>
          <w:rFonts w:asciiTheme="minorHAnsi" w:hAnsiTheme="minorHAnsi" w:cstheme="minorHAnsi"/>
          <w:sz w:val="22"/>
          <w:szCs w:val="22"/>
        </w:rPr>
        <w:t xml:space="preserve">) </w:t>
      </w:r>
      <w:r w:rsidRPr="00232A32">
        <w:rPr>
          <w:rFonts w:asciiTheme="minorHAnsi" w:hAnsiTheme="minorHAnsi" w:cstheme="minorHAnsi"/>
          <w:sz w:val="22"/>
          <w:szCs w:val="22"/>
        </w:rPr>
        <w:t>así como en l</w:t>
      </w:r>
      <w:r>
        <w:rPr>
          <w:rFonts w:asciiTheme="minorHAnsi" w:hAnsiTheme="minorHAnsi" w:cstheme="minorHAnsi"/>
          <w:sz w:val="22"/>
          <w:szCs w:val="22"/>
        </w:rPr>
        <w:t>os residuales R6 (</w:t>
      </w:r>
      <w:r w:rsidR="001C64F2">
        <w:rPr>
          <w:rFonts w:asciiTheme="minorHAnsi" w:hAnsiTheme="minorHAnsi" w:cstheme="minorHAnsi"/>
          <w:sz w:val="22"/>
          <w:szCs w:val="22"/>
        </w:rPr>
        <w:t>-0,23</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y R500 (</w:t>
      </w:r>
      <w:r w:rsidR="001C64F2">
        <w:rPr>
          <w:rFonts w:asciiTheme="minorHAnsi" w:hAnsiTheme="minorHAnsi" w:cstheme="minorHAnsi"/>
          <w:sz w:val="22"/>
          <w:szCs w:val="22"/>
        </w:rPr>
        <w:t>-0,20</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w:t>
      </w:r>
      <w:r w:rsidR="0079059A" w:rsidRPr="00232A32">
        <w:rPr>
          <w:rFonts w:asciiTheme="minorHAnsi" w:hAnsiTheme="minorHAnsi" w:cstheme="minorHAnsi"/>
          <w:sz w:val="22"/>
          <w:szCs w:val="22"/>
        </w:rPr>
        <w:t>.</w:t>
      </w:r>
    </w:p>
    <w:p w14:paraId="0F52D45B" w14:textId="77777777" w:rsidR="00AF5121" w:rsidRDefault="00AF5121" w:rsidP="00AF5121">
      <w:pPr>
        <w:pStyle w:val="Prrafodelista"/>
        <w:rPr>
          <w:rFonts w:asciiTheme="minorHAnsi" w:hAnsiTheme="minorHAnsi" w:cstheme="minorHAnsi"/>
          <w:sz w:val="22"/>
          <w:szCs w:val="22"/>
        </w:rPr>
      </w:pPr>
    </w:p>
    <w:p w14:paraId="158F6C19" w14:textId="77777777" w:rsidR="00AF5121" w:rsidRPr="00232A32" w:rsidRDefault="00AF5121" w:rsidP="00E812D9">
      <w:pPr>
        <w:pStyle w:val="Sangradetextonormal"/>
        <w:ind w:left="568" w:firstLine="0"/>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606681F5"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5312B21B" w14:textId="77777777" w:rsidR="00352B3A" w:rsidRDefault="00352B3A">
      <w:pPr>
        <w:rPr>
          <w:rFonts w:asciiTheme="minorHAnsi" w:hAnsiTheme="minorHAnsi" w:cstheme="minorHAnsi"/>
          <w:sz w:val="22"/>
          <w:szCs w:val="22"/>
        </w:rPr>
      </w:pPr>
    </w:p>
    <w:p w14:paraId="2516A28A" w14:textId="67CA32FB"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68171A31" w14:textId="6903D485"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1F2602">
        <w:rPr>
          <w:rFonts w:asciiTheme="minorHAnsi" w:hAnsiTheme="minorHAnsi" w:cstheme="minorHAnsi"/>
          <w:sz w:val="22"/>
          <w:szCs w:val="22"/>
        </w:rPr>
        <w:t>13</w:t>
      </w:r>
      <w:r>
        <w:rPr>
          <w:rFonts w:asciiTheme="minorHAnsi" w:hAnsiTheme="minorHAnsi" w:cstheme="minorHAnsi"/>
          <w:sz w:val="22"/>
          <w:szCs w:val="22"/>
        </w:rPr>
        <w:t>/0</w:t>
      </w:r>
      <w:r w:rsidR="00E812D9">
        <w:rPr>
          <w:rFonts w:asciiTheme="minorHAnsi" w:hAnsiTheme="minorHAnsi" w:cstheme="minorHAnsi"/>
          <w:sz w:val="22"/>
          <w:szCs w:val="22"/>
        </w:rPr>
        <w:t>3</w:t>
      </w:r>
      <w:r>
        <w:rPr>
          <w:rFonts w:asciiTheme="minorHAnsi" w:hAnsiTheme="minorHAnsi" w:cstheme="minorHAnsi"/>
          <w:sz w:val="22"/>
          <w:szCs w:val="22"/>
        </w:rPr>
        <w:t xml:space="preserve">/2023 y el </w:t>
      </w:r>
      <w:r w:rsidR="001F2602">
        <w:rPr>
          <w:rFonts w:asciiTheme="minorHAnsi" w:hAnsiTheme="minorHAnsi" w:cstheme="minorHAnsi"/>
          <w:sz w:val="22"/>
          <w:szCs w:val="22"/>
        </w:rPr>
        <w:t>24</w:t>
      </w:r>
      <w:r>
        <w:rPr>
          <w:rFonts w:asciiTheme="minorHAnsi" w:hAnsiTheme="minorHAnsi" w:cstheme="minorHAnsi"/>
          <w:sz w:val="22"/>
          <w:szCs w:val="22"/>
        </w:rPr>
        <w:t>/0</w:t>
      </w:r>
      <w:r w:rsidR="005B53D4">
        <w:rPr>
          <w:rFonts w:asciiTheme="minorHAnsi" w:hAnsiTheme="minorHAnsi" w:cstheme="minorHAnsi"/>
          <w:sz w:val="22"/>
          <w:szCs w:val="22"/>
        </w:rPr>
        <w:t>3</w:t>
      </w:r>
      <w:r>
        <w:rPr>
          <w:rFonts w:asciiTheme="minorHAnsi" w:hAnsiTheme="minorHAnsi" w:cstheme="minorHAnsi"/>
          <w:sz w:val="22"/>
          <w:szCs w:val="22"/>
        </w:rPr>
        <w:t>/2023, se muestra en la Gráfica N°</w:t>
      </w:r>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5BC0A457" w14:textId="77777777" w:rsidR="00A86191" w:rsidRDefault="00A86191" w:rsidP="00A86191">
      <w:pPr>
        <w:jc w:val="both"/>
        <w:rPr>
          <w:rFonts w:asciiTheme="minorHAnsi" w:hAnsiTheme="minorHAnsi" w:cstheme="minorHAnsi"/>
          <w:sz w:val="22"/>
          <w:szCs w:val="22"/>
        </w:rPr>
      </w:pPr>
      <w:r>
        <w:rPr>
          <w:rFonts w:asciiTheme="minorHAnsi" w:hAnsiTheme="minorHAnsi" w:cstheme="minorHAnsi"/>
          <w:sz w:val="22"/>
          <w:szCs w:val="22"/>
        </w:rPr>
        <w:t xml:space="preserve"> </w:t>
      </w:r>
    </w:p>
    <w:p w14:paraId="086D8755" w14:textId="52FCF2F8"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E812D9">
        <w:rPr>
          <w:rFonts w:ascii="Calibri" w:hAnsi="Calibri" w:cs="Arial"/>
          <w:b/>
          <w:bCs/>
          <w:i/>
          <w:sz w:val="22"/>
          <w:szCs w:val="22"/>
          <w:lang w:eastAsia="es-PE"/>
        </w:rPr>
        <w:t>2</w:t>
      </w:r>
      <w:r w:rsidR="001F2602">
        <w:rPr>
          <w:rFonts w:ascii="Calibri" w:hAnsi="Calibri" w:cs="Arial"/>
          <w:b/>
          <w:bCs/>
          <w:i/>
          <w:sz w:val="22"/>
          <w:szCs w:val="22"/>
          <w:lang w:eastAsia="es-PE"/>
        </w:rPr>
        <w:t>7</w:t>
      </w:r>
      <w:r>
        <w:rPr>
          <w:rFonts w:ascii="Calibri" w:hAnsi="Calibri" w:cs="Arial"/>
          <w:b/>
          <w:bCs/>
          <w:i/>
          <w:sz w:val="22"/>
          <w:szCs w:val="22"/>
          <w:lang w:eastAsia="es-PE"/>
        </w:rPr>
        <w:t>-0</w:t>
      </w:r>
      <w:r w:rsidR="005B53D4">
        <w:rPr>
          <w:rFonts w:ascii="Calibri" w:hAnsi="Calibri" w:cs="Arial"/>
          <w:b/>
          <w:bCs/>
          <w:i/>
          <w:sz w:val="22"/>
          <w:szCs w:val="22"/>
          <w:lang w:eastAsia="es-PE"/>
        </w:rPr>
        <w:t>3</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4D01E936" w:rsidR="00A86191" w:rsidRPr="00CC2A8A" w:rsidRDefault="001F2602" w:rsidP="00A86191">
      <w:pPr>
        <w:pBdr>
          <w:top w:val="single" w:sz="4" w:space="1" w:color="auto"/>
          <w:bottom w:val="single" w:sz="4" w:space="1" w:color="auto"/>
        </w:pBdr>
        <w:rPr>
          <w:rFonts w:ascii="Calibri" w:hAnsi="Calibri" w:cs="Arial"/>
          <w:bCs/>
          <w:sz w:val="32"/>
          <w:szCs w:val="32"/>
        </w:rPr>
      </w:pPr>
      <w:r w:rsidRPr="00AC6A9B">
        <w:rPr>
          <w:noProof/>
          <w:lang w:val="es-PE" w:eastAsia="es-PE"/>
        </w:rPr>
        <w:drawing>
          <wp:inline distT="0" distB="0" distL="0" distR="0" wp14:anchorId="65931FC9" wp14:editId="44ACBADA">
            <wp:extent cx="5490845" cy="2922905"/>
            <wp:effectExtent l="0" t="0" r="0" b="0"/>
            <wp:docPr id="2" name="Picture 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12"/>
                    <a:stretch>
                      <a:fillRect/>
                    </a:stretch>
                  </pic:blipFill>
                  <pic:spPr>
                    <a:xfrm>
                      <a:off x="0" y="0"/>
                      <a:ext cx="5490845" cy="292290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0BCA0BE4" w14:textId="77777777" w:rsidR="00A86191" w:rsidRPr="001A4F79" w:rsidRDefault="00A86191" w:rsidP="00A86191">
      <w:pPr>
        <w:spacing w:line="276" w:lineRule="auto"/>
        <w:rPr>
          <w:rFonts w:ascii="Calibri" w:eastAsia="Calibri" w:hAnsi="Calibri"/>
          <w:sz w:val="22"/>
          <w:szCs w:val="22"/>
        </w:rPr>
      </w:pPr>
    </w:p>
    <w:p w14:paraId="5187EED7"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7D0DA8A3" w14:textId="236DB980" w:rsidR="00E812D9" w:rsidRDefault="00E812D9" w:rsidP="00E812D9">
      <w:pPr>
        <w:jc w:val="both"/>
        <w:rPr>
          <w:rFonts w:asciiTheme="minorHAnsi" w:hAnsiTheme="minorHAnsi" w:cstheme="minorHAnsi"/>
          <w:sz w:val="22"/>
          <w:szCs w:val="22"/>
        </w:rPr>
      </w:pPr>
      <w:r w:rsidRPr="00061BE1">
        <w:rPr>
          <w:rFonts w:asciiTheme="minorHAnsi" w:hAnsiTheme="minorHAnsi" w:cstheme="minorHAnsi"/>
          <w:sz w:val="22"/>
          <w:szCs w:val="22"/>
        </w:rPr>
        <w:t>En la Gráfica N°</w:t>
      </w:r>
      <w:r w:rsidR="001F2602">
        <w:rPr>
          <w:rFonts w:asciiTheme="minorHAnsi" w:hAnsiTheme="minorHAnsi" w:cstheme="minorHAnsi"/>
          <w:sz w:val="22"/>
          <w:szCs w:val="22"/>
        </w:rPr>
        <w:t xml:space="preserve"> </w:t>
      </w:r>
      <w:r w:rsidRPr="00061BE1">
        <w:rPr>
          <w:rFonts w:asciiTheme="minorHAnsi" w:hAnsiTheme="minorHAnsi" w:cstheme="minorHAnsi"/>
          <w:sz w:val="22"/>
          <w:szCs w:val="22"/>
        </w:rPr>
        <w:t xml:space="preserve">2, se aprecia que el Precio FOB se ubicó en </w:t>
      </w:r>
      <w:r>
        <w:rPr>
          <w:rFonts w:asciiTheme="minorHAnsi" w:hAnsiTheme="minorHAnsi" w:cstheme="minorHAnsi"/>
          <w:sz w:val="22"/>
          <w:szCs w:val="22"/>
        </w:rPr>
        <w:t>7</w:t>
      </w:r>
      <w:r w:rsidR="001F2602">
        <w:rPr>
          <w:rFonts w:asciiTheme="minorHAnsi" w:hAnsiTheme="minorHAnsi" w:cstheme="minorHAnsi"/>
          <w:sz w:val="22"/>
          <w:szCs w:val="22"/>
        </w:rPr>
        <w:t>5</w:t>
      </w:r>
      <w:r w:rsidRPr="00061BE1">
        <w:rPr>
          <w:rFonts w:asciiTheme="minorHAnsi" w:hAnsiTheme="minorHAnsi" w:cstheme="minorHAnsi"/>
          <w:sz w:val="22"/>
          <w:szCs w:val="22"/>
        </w:rPr>
        <w:t>% del precio de referencia del GLP</w:t>
      </w:r>
      <w:r>
        <w:rPr>
          <w:rFonts w:asciiTheme="minorHAnsi" w:hAnsiTheme="minorHAnsi" w:cstheme="minorHAnsi"/>
          <w:sz w:val="22"/>
          <w:szCs w:val="22"/>
        </w:rPr>
        <w:t>, 89% y 8</w:t>
      </w:r>
      <w:r w:rsidR="001F2602">
        <w:rPr>
          <w:rFonts w:asciiTheme="minorHAnsi" w:hAnsiTheme="minorHAnsi" w:cstheme="minorHAnsi"/>
          <w:sz w:val="22"/>
          <w:szCs w:val="22"/>
        </w:rPr>
        <w:t>7</w:t>
      </w:r>
      <w:r>
        <w:rPr>
          <w:rFonts w:asciiTheme="minorHAnsi" w:hAnsiTheme="minorHAnsi" w:cstheme="minorHAnsi"/>
          <w:sz w:val="22"/>
          <w:szCs w:val="22"/>
        </w:rPr>
        <w:t>% del precio de referencia de los biocombustibles, 7</w:t>
      </w:r>
      <w:r w:rsidR="001F2602">
        <w:rPr>
          <w:rFonts w:asciiTheme="minorHAnsi" w:hAnsiTheme="minorHAnsi" w:cstheme="minorHAnsi"/>
          <w:sz w:val="22"/>
          <w:szCs w:val="22"/>
        </w:rPr>
        <w:t>5</w:t>
      </w:r>
      <w:r>
        <w:rPr>
          <w:rFonts w:asciiTheme="minorHAnsi" w:hAnsiTheme="minorHAnsi" w:cstheme="minorHAnsi"/>
          <w:sz w:val="22"/>
          <w:szCs w:val="22"/>
        </w:rPr>
        <w:t xml:space="preserve">% del precio de los residuales R6 y R500; y fue igual o </w:t>
      </w:r>
      <w:r w:rsidRPr="00061BE1">
        <w:rPr>
          <w:rFonts w:asciiTheme="minorHAnsi" w:hAnsiTheme="minorHAnsi" w:cstheme="minorHAnsi"/>
          <w:sz w:val="22"/>
          <w:szCs w:val="22"/>
        </w:rPr>
        <w:t xml:space="preserve">superior al </w:t>
      </w:r>
      <w:r>
        <w:rPr>
          <w:rFonts w:asciiTheme="minorHAnsi" w:hAnsiTheme="minorHAnsi" w:cstheme="minorHAnsi"/>
          <w:sz w:val="22"/>
          <w:szCs w:val="22"/>
        </w:rPr>
        <w:t>8</w:t>
      </w:r>
      <w:r w:rsidR="001F2602">
        <w:rPr>
          <w:rFonts w:asciiTheme="minorHAnsi" w:hAnsiTheme="minorHAnsi" w:cstheme="minorHAnsi"/>
          <w:sz w:val="22"/>
          <w:szCs w:val="22"/>
        </w:rPr>
        <w:t>6</w:t>
      </w:r>
      <w:r w:rsidRPr="00061BE1">
        <w:rPr>
          <w:rFonts w:asciiTheme="minorHAnsi" w:hAnsiTheme="minorHAnsi" w:cstheme="minorHAnsi"/>
          <w:sz w:val="22"/>
          <w:szCs w:val="22"/>
        </w:rPr>
        <w:t>% del precio de referencia de los demás combustibles.</w:t>
      </w:r>
      <w:r>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Pr>
          <w:rFonts w:asciiTheme="minorHAnsi" w:hAnsiTheme="minorHAnsi" w:cstheme="minorHAnsi"/>
          <w:sz w:val="22"/>
          <w:szCs w:val="22"/>
        </w:rPr>
        <w:t xml:space="preserve"> FOB </w:t>
      </w:r>
      <w:r w:rsidRPr="00E14E7E">
        <w:rPr>
          <w:rFonts w:asciiTheme="minorHAnsi" w:hAnsiTheme="minorHAnsi" w:cstheme="minorHAnsi"/>
          <w:sz w:val="22"/>
          <w:szCs w:val="22"/>
        </w:rPr>
        <w:t>incluye</w:t>
      </w:r>
      <w:r>
        <w:rPr>
          <w:rFonts w:asciiTheme="minorHAnsi" w:hAnsiTheme="minorHAnsi" w:cstheme="minorHAnsi"/>
          <w:sz w:val="22"/>
          <w:szCs w:val="22"/>
        </w:rPr>
        <w:t xml:space="preserve"> la tarifa “Terminalling” del GLP; el descuento por concepto de RVO, aplicado al precio de las Gasolinas y Diésel 2; y</w:t>
      </w:r>
      <w:r w:rsidRPr="00E14E7E">
        <w:rPr>
          <w:rFonts w:asciiTheme="minorHAnsi" w:hAnsiTheme="minorHAnsi" w:cstheme="minorHAnsi"/>
          <w:sz w:val="22"/>
          <w:szCs w:val="22"/>
        </w:rPr>
        <w:t xml:space="preserve"> </w:t>
      </w:r>
      <w:r>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Pr>
          <w:rFonts w:asciiTheme="minorHAnsi" w:hAnsiTheme="minorHAnsi" w:cstheme="minorHAnsi"/>
          <w:sz w:val="22"/>
          <w:szCs w:val="22"/>
        </w:rPr>
        <w:t xml:space="preserve"> de calidad para las G</w:t>
      </w:r>
      <w:r w:rsidRPr="00E14E7E">
        <w:rPr>
          <w:rFonts w:asciiTheme="minorHAnsi" w:hAnsiTheme="minorHAnsi" w:cstheme="minorHAnsi"/>
          <w:sz w:val="22"/>
          <w:szCs w:val="22"/>
        </w:rPr>
        <w:t>asolinas,</w:t>
      </w:r>
      <w:r>
        <w:rPr>
          <w:rFonts w:asciiTheme="minorHAnsi" w:hAnsiTheme="minorHAnsi" w:cstheme="minorHAnsi"/>
          <w:sz w:val="22"/>
          <w:szCs w:val="22"/>
        </w:rPr>
        <w:t xml:space="preserve"> D</w:t>
      </w:r>
      <w:r w:rsidRPr="00E14E7E">
        <w:rPr>
          <w:rFonts w:asciiTheme="minorHAnsi" w:hAnsiTheme="minorHAnsi" w:cstheme="minorHAnsi"/>
          <w:sz w:val="22"/>
          <w:szCs w:val="22"/>
        </w:rPr>
        <w:t>iésel</w:t>
      </w:r>
      <w:r>
        <w:rPr>
          <w:rFonts w:asciiTheme="minorHAnsi" w:hAnsiTheme="minorHAnsi" w:cstheme="minorHAnsi"/>
          <w:sz w:val="22"/>
          <w:szCs w:val="22"/>
        </w:rPr>
        <w:t xml:space="preserve"> y R</w:t>
      </w:r>
      <w:r w:rsidRPr="00E14E7E">
        <w:rPr>
          <w:rFonts w:asciiTheme="minorHAnsi" w:hAnsiTheme="minorHAnsi" w:cstheme="minorHAnsi"/>
          <w:sz w:val="22"/>
          <w:szCs w:val="22"/>
        </w:rPr>
        <w:t xml:space="preserve">esidual 500. </w:t>
      </w:r>
    </w:p>
    <w:p w14:paraId="100B6F80" w14:textId="77777777" w:rsidR="00E812D9" w:rsidRDefault="00E812D9" w:rsidP="00E812D9">
      <w:pPr>
        <w:jc w:val="both"/>
        <w:rPr>
          <w:rFonts w:asciiTheme="minorHAnsi" w:hAnsiTheme="minorHAnsi" w:cstheme="minorHAnsi"/>
          <w:sz w:val="22"/>
          <w:szCs w:val="22"/>
        </w:rPr>
      </w:pPr>
    </w:p>
    <w:p w14:paraId="67AD74E3" w14:textId="43722789"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1F2602">
        <w:rPr>
          <w:rFonts w:asciiTheme="minorHAnsi" w:hAnsiTheme="minorHAnsi" w:cstheme="minorHAnsi"/>
          <w:sz w:val="22"/>
          <w:szCs w:val="22"/>
        </w:rPr>
        <w:t>24</w:t>
      </w:r>
      <w:r>
        <w:rPr>
          <w:rFonts w:asciiTheme="minorHAnsi" w:hAnsiTheme="minorHAnsi" w:cstheme="minorHAnsi"/>
          <w:sz w:val="22"/>
          <w:szCs w:val="22"/>
        </w:rPr>
        <w:t xml:space="preserve"> de marzo 2023</w:t>
      </w:r>
      <w:r w:rsidR="00FC618C">
        <w:rPr>
          <w:rFonts w:asciiTheme="minorHAnsi" w:hAnsiTheme="minorHAnsi" w:cstheme="minorHAnsi"/>
          <w:sz w:val="22"/>
          <w:szCs w:val="22"/>
        </w:rPr>
        <w:t xml:space="preserve">. </w:t>
      </w:r>
    </w:p>
    <w:p w14:paraId="046A2287" w14:textId="77777777"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3F95B49B" w14:textId="77777777" w:rsidR="00C80F8A" w:rsidRPr="00003F04" w:rsidRDefault="00C80F8A" w:rsidP="00F85D23">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77777777" w:rsidR="00E812D9" w:rsidRPr="006E3A77"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608F809F" w14:textId="0D6389EA" w:rsidR="00E812D9" w:rsidRPr="006E3A77"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Pr>
          <w:rFonts w:asciiTheme="minorHAnsi" w:hAnsiTheme="minorHAnsi" w:cstheme="minorHAnsi"/>
          <w:sz w:val="22"/>
          <w:szCs w:val="22"/>
        </w:rPr>
        <w:t>6</w:t>
      </w:r>
      <w:r w:rsidR="001F2602">
        <w:rPr>
          <w:rFonts w:asciiTheme="minorHAnsi" w:hAnsiTheme="minorHAnsi" w:cstheme="minorHAnsi"/>
          <w:sz w:val="22"/>
          <w:szCs w:val="22"/>
        </w:rPr>
        <w:t>,04</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7C463158" w14:textId="77777777" w:rsidR="00E812D9" w:rsidRPr="006E3A77" w:rsidRDefault="00E812D9" w:rsidP="00E812D9">
      <w:pPr>
        <w:pStyle w:val="Prrafodelista"/>
        <w:ind w:left="426" w:hanging="426"/>
        <w:jc w:val="center"/>
        <w:rPr>
          <w:rFonts w:asciiTheme="minorHAnsi" w:hAnsiTheme="minorHAnsi" w:cstheme="minorHAnsi"/>
          <w:sz w:val="22"/>
          <w:szCs w:val="22"/>
          <w:lang w:val="es-MX"/>
        </w:rPr>
      </w:pPr>
    </w:p>
    <w:p w14:paraId="2BDFF827" w14:textId="4A4A3B4B" w:rsidR="00E812D9" w:rsidRPr="006E3A77"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Pr>
          <w:rFonts w:asciiTheme="minorHAnsi" w:hAnsiTheme="minorHAnsi" w:cstheme="minorHAnsi"/>
          <w:sz w:val="22"/>
          <w:szCs w:val="22"/>
          <w:lang w:val="en-US"/>
        </w:rPr>
        <w:t>6</w:t>
      </w:r>
      <w:proofErr w:type="gramStart"/>
      <w:r>
        <w:rPr>
          <w:rFonts w:asciiTheme="minorHAnsi" w:hAnsiTheme="minorHAnsi" w:cstheme="minorHAnsi"/>
          <w:sz w:val="22"/>
          <w:szCs w:val="22"/>
          <w:lang w:val="en-US"/>
        </w:rPr>
        <w:t>,</w:t>
      </w:r>
      <w:r w:rsidR="001F2602">
        <w:rPr>
          <w:rFonts w:asciiTheme="minorHAnsi" w:hAnsiTheme="minorHAnsi" w:cstheme="minorHAnsi"/>
          <w:sz w:val="22"/>
          <w:szCs w:val="22"/>
          <w:lang w:val="en-US"/>
        </w:rPr>
        <w:t>04</w:t>
      </w:r>
      <w:proofErr w:type="gramEnd"/>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Pr>
          <w:rFonts w:asciiTheme="minorHAnsi" w:hAnsiTheme="minorHAnsi" w:cstheme="minorHAnsi"/>
          <w:sz w:val="22"/>
          <w:szCs w:val="22"/>
          <w:lang w:val="en-US"/>
        </w:rPr>
        <w:t>,</w:t>
      </w:r>
      <w:r w:rsidRPr="006E3A77">
        <w:rPr>
          <w:rFonts w:asciiTheme="minorHAnsi" w:hAnsiTheme="minorHAnsi" w:cstheme="minorHAnsi"/>
          <w:sz w:val="22"/>
          <w:szCs w:val="22"/>
          <w:lang w:val="en-US"/>
        </w:rPr>
        <w:t>74/729</w:t>
      </w:r>
      <w:r>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Pr>
          <w:rFonts w:asciiTheme="minorHAnsi" w:hAnsiTheme="minorHAnsi" w:cstheme="minorHAnsi"/>
          <w:sz w:val="22"/>
          <w:szCs w:val="22"/>
          <w:lang w:val="en-US"/>
        </w:rPr>
        <w:t>4,</w:t>
      </w:r>
      <w:r w:rsidR="001F2602">
        <w:rPr>
          <w:rFonts w:asciiTheme="minorHAnsi" w:hAnsiTheme="minorHAnsi" w:cstheme="minorHAnsi"/>
          <w:sz w:val="22"/>
          <w:szCs w:val="22"/>
          <w:lang w:val="en-US"/>
        </w:rPr>
        <w:t>32</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4A3FBB52" w14:textId="1CD1935A" w:rsidR="00E812D9" w:rsidRPr="006E3A77"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Pr>
          <w:rFonts w:asciiTheme="minorHAnsi" w:hAnsiTheme="minorHAnsi" w:cstheme="minorHAnsi"/>
          <w:sz w:val="22"/>
          <w:szCs w:val="22"/>
          <w:lang w:val="en-US"/>
        </w:rPr>
        <w:t>1</w:t>
      </w:r>
      <w:proofErr w:type="gramStart"/>
      <w:r>
        <w:rPr>
          <w:rFonts w:asciiTheme="minorHAnsi" w:hAnsiTheme="minorHAnsi" w:cstheme="minorHAnsi"/>
          <w:sz w:val="22"/>
          <w:szCs w:val="22"/>
          <w:lang w:val="en-US"/>
        </w:rPr>
        <w:t>,8</w:t>
      </w:r>
      <w:r w:rsidR="001F2602">
        <w:rPr>
          <w:rFonts w:asciiTheme="minorHAnsi" w:hAnsiTheme="minorHAnsi" w:cstheme="minorHAnsi"/>
          <w:sz w:val="22"/>
          <w:szCs w:val="22"/>
          <w:lang w:val="en-US"/>
        </w:rPr>
        <w:t>1</w:t>
      </w:r>
      <w:proofErr w:type="gramEnd"/>
      <w:r w:rsidRPr="006E3A77">
        <w:rPr>
          <w:rFonts w:asciiTheme="minorHAnsi" w:hAnsiTheme="minorHAnsi" w:cstheme="minorHAnsi"/>
          <w:sz w:val="22"/>
          <w:szCs w:val="22"/>
          <w:lang w:val="en-US"/>
        </w:rPr>
        <w:t xml:space="preserve"> US$/</w:t>
      </w:r>
      <w:proofErr w:type="spellStart"/>
      <w:r w:rsidRPr="006E3A77">
        <w:rPr>
          <w:rFonts w:asciiTheme="minorHAnsi" w:hAnsiTheme="minorHAnsi" w:cstheme="minorHAnsi"/>
          <w:sz w:val="22"/>
          <w:szCs w:val="22"/>
          <w:lang w:val="en-US"/>
        </w:rPr>
        <w:t>Bl</w:t>
      </w:r>
      <w:proofErr w:type="spellEnd"/>
    </w:p>
    <w:p w14:paraId="0A0219C0" w14:textId="77777777" w:rsidR="00E812D9" w:rsidRPr="006E3A77" w:rsidRDefault="00E812D9"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F0E94C6"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53D43731" w14:textId="5D6E48CB"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Pr>
          <w:rFonts w:asciiTheme="minorHAnsi" w:hAnsiTheme="minorHAnsi" w:cstheme="minorHAnsi"/>
          <w:sz w:val="22"/>
          <w:szCs w:val="22"/>
        </w:rPr>
        <w:t>7,</w:t>
      </w:r>
      <w:r w:rsidR="00513E2B">
        <w:rPr>
          <w:rFonts w:asciiTheme="minorHAnsi" w:hAnsiTheme="minorHAnsi" w:cstheme="minorHAnsi"/>
          <w:sz w:val="22"/>
          <w:szCs w:val="22"/>
        </w:rPr>
        <w:t>81</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0F56442C" w14:textId="674A88F8"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513E2B">
        <w:rPr>
          <w:rFonts w:asciiTheme="minorHAnsi" w:hAnsiTheme="minorHAnsi" w:cstheme="minorHAnsi"/>
          <w:sz w:val="22"/>
          <w:szCs w:val="22"/>
        </w:rPr>
        <w:t>-0,66</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13E2B">
        <w:rPr>
          <w:rFonts w:asciiTheme="minorHAnsi" w:hAnsiTheme="minorHAnsi" w:cstheme="minorHAnsi"/>
          <w:sz w:val="22"/>
          <w:szCs w:val="22"/>
        </w:rPr>
        <w:t>-0,55</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7B81F8A3" w14:textId="0401DBBD"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Pr>
          <w:rFonts w:asciiTheme="minorHAnsi" w:hAnsiTheme="minorHAnsi" w:cstheme="minorHAnsi"/>
          <w:sz w:val="22"/>
          <w:szCs w:val="22"/>
        </w:rPr>
        <w:t>1,</w:t>
      </w:r>
      <w:r w:rsidR="00513E2B">
        <w:rPr>
          <w:rFonts w:asciiTheme="minorHAnsi" w:hAnsiTheme="minorHAnsi" w:cstheme="minorHAnsi"/>
          <w:sz w:val="22"/>
          <w:szCs w:val="22"/>
        </w:rPr>
        <w:t>64</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513E2B">
        <w:rPr>
          <w:rFonts w:asciiTheme="minorHAnsi" w:hAnsiTheme="minorHAnsi" w:cstheme="minorHAnsi"/>
          <w:sz w:val="22"/>
          <w:szCs w:val="22"/>
        </w:rPr>
        <w:t>8,85</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77777777" w:rsidR="00E812D9" w:rsidRPr="006E3A77" w:rsidRDefault="00E812D9"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76D38A79"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0B7C64B5" w14:textId="026AB607"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Pr>
          <w:rFonts w:asciiTheme="minorHAnsi" w:hAnsiTheme="minorHAnsi" w:cstheme="minorHAnsi"/>
          <w:sz w:val="22"/>
          <w:szCs w:val="22"/>
        </w:rPr>
        <w:t>7,</w:t>
      </w:r>
      <w:r w:rsidR="00C86C52">
        <w:rPr>
          <w:rFonts w:asciiTheme="minorHAnsi" w:hAnsiTheme="minorHAnsi" w:cstheme="minorHAnsi"/>
          <w:sz w:val="22"/>
          <w:szCs w:val="22"/>
        </w:rPr>
        <w:t>81</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E3037DD" w14:textId="77777777"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ADBF765" w14:textId="77777777" w:rsidR="00E812D9" w:rsidRPr="006E3A77" w:rsidRDefault="00E812D9"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02C1DA5D" w:rsidR="00E812D9" w:rsidRPr="006E3A77"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A879FDB" w14:textId="52D5CF8F"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-2,</w:t>
      </w:r>
      <w:r w:rsidR="0092047B">
        <w:rPr>
          <w:rFonts w:asciiTheme="minorHAnsi" w:hAnsiTheme="minorHAnsi" w:cstheme="minorHAnsi"/>
          <w:sz w:val="22"/>
          <w:szCs w:val="22"/>
        </w:rPr>
        <w:t>62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835CDFE"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1</w:t>
      </w:r>
      <w:r w:rsidR="007A4646" w:rsidRPr="006E3A77">
        <w:rPr>
          <w:rFonts w:asciiTheme="minorHAnsi" w:hAnsiTheme="minorHAnsi" w:cstheme="minorHAnsi"/>
          <w:sz w:val="22"/>
          <w:szCs w:val="22"/>
        </w:rPr>
        <w:t>.</w:t>
      </w:r>
    </w:p>
    <w:p w14:paraId="49B933A4" w14:textId="77777777" w:rsidR="00352B3A" w:rsidRDefault="00352B3A" w:rsidP="004F74EE">
      <w:pPr>
        <w:jc w:val="both"/>
        <w:rPr>
          <w:rFonts w:ascii="Arial" w:hAnsi="Arial" w:cs="Arial"/>
          <w:sz w:val="22"/>
          <w:szCs w:val="22"/>
          <w:u w:val="single"/>
          <w:lang w:eastAsia="en-US"/>
        </w:rPr>
      </w:pPr>
    </w:p>
    <w:p w14:paraId="5451DFF8" w14:textId="530A35A7" w:rsidR="00352B3A" w:rsidRPr="00F85D23" w:rsidRDefault="00352B3A" w:rsidP="004F74EE">
      <w:pPr>
        <w:jc w:val="both"/>
        <w:rPr>
          <w:rFonts w:ascii="Arial" w:hAnsi="Arial" w:cs="Arial"/>
          <w:sz w:val="22"/>
          <w:szCs w:val="22"/>
          <w:u w:val="single"/>
          <w:lang w:eastAsia="en-US"/>
        </w:rPr>
        <w:sectPr w:rsidR="00352B3A" w:rsidRPr="00F85D23" w:rsidSect="002A50E6">
          <w:headerReference w:type="default" r:id="rId13"/>
          <w:footerReference w:type="default" r:id="rId14"/>
          <w:headerReference w:type="first" r:id="rId15"/>
          <w:footerReference w:type="first" r:id="rId16"/>
          <w:type w:val="continuous"/>
          <w:pgSz w:w="11907" w:h="16840" w:code="9"/>
          <w:pgMar w:top="1560" w:right="1559" w:bottom="1134" w:left="1701" w:header="426" w:footer="0" w:gutter="0"/>
          <w:cols w:space="720"/>
          <w:noEndnote/>
          <w:titlePg/>
        </w:sectPr>
      </w:pP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6F887073" w:rsidR="00765078" w:rsidRDefault="00ED3A67" w:rsidP="004F74EE">
      <w:pPr>
        <w:pBdr>
          <w:top w:val="single" w:sz="4" w:space="1" w:color="auto"/>
          <w:bottom w:val="single" w:sz="4" w:space="1" w:color="auto"/>
        </w:pBdr>
        <w:jc w:val="center"/>
        <w:rPr>
          <w:rFonts w:ascii="Calibri" w:hAnsi="Calibri" w:cs="Calibri"/>
          <w:sz w:val="22"/>
          <w:szCs w:val="22"/>
          <w:lang w:val="es-PE" w:eastAsia="en-US"/>
        </w:rPr>
      </w:pPr>
      <w:r w:rsidRPr="00ED3A67">
        <w:rPr>
          <w:noProof/>
          <w:lang w:val="es-PE" w:eastAsia="es-PE"/>
        </w:rPr>
        <w:drawing>
          <wp:inline distT="0" distB="0" distL="0" distR="0" wp14:anchorId="17EF9DE1" wp14:editId="379F1542">
            <wp:extent cx="8165804" cy="3011170"/>
            <wp:effectExtent l="0" t="0" r="698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256615" cy="3044657"/>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06E5CD34"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3EAFC43D" w:rsidR="00352553" w:rsidRPr="00352553"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52B3A">
          <w:footerReference w:type="default" r:id="rId18"/>
          <w:headerReference w:type="first" r:id="rId19"/>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6C63F4">
        <w:trPr>
          <w:trHeight w:val="4665"/>
        </w:trPr>
        <w:tc>
          <w:tcPr>
            <w:tcW w:w="5693" w:type="dxa"/>
            <w:tcBorders>
              <w:top w:val="single" w:sz="4" w:space="0" w:color="auto"/>
              <w:bottom w:val="single" w:sz="4" w:space="0" w:color="auto"/>
            </w:tcBorders>
            <w:shd w:val="clear" w:color="auto" w:fill="auto"/>
          </w:tcPr>
          <w:p w14:paraId="730DA91A" w14:textId="38FE047B" w:rsidR="00F85D23" w:rsidRDefault="006C63F4" w:rsidP="00FB4E04">
            <w:pPr>
              <w:ind w:left="-618" w:right="-654"/>
              <w:jc w:val="center"/>
              <w:rPr>
                <w:rFonts w:asciiTheme="minorHAnsi" w:hAnsiTheme="minorHAnsi" w:cstheme="minorHAnsi"/>
              </w:rPr>
            </w:pPr>
            <w:r>
              <w:rPr>
                <w:noProof/>
                <w:lang w:val="es-PE" w:eastAsia="es-PE"/>
              </w:rPr>
              <w:drawing>
                <wp:inline distT="0" distB="0" distL="0" distR="0" wp14:anchorId="736E35CB" wp14:editId="7E802302">
                  <wp:extent cx="3726000" cy="2710800"/>
                  <wp:effectExtent l="0" t="0" r="8255" b="0"/>
                  <wp:docPr id="17" name="Imagen 3">
                    <a:extLst xmlns:a="http://schemas.openxmlformats.org/drawingml/2006/main">
                      <a:ext uri="{FF2B5EF4-FFF2-40B4-BE49-F238E27FC236}">
                        <a16:creationId xmlns:a16="http://schemas.microsoft.com/office/drawing/2014/main" id="{B2CCB449-5651-46E3-B22C-EF09FE2B07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B2CCB449-5651-46E3-B22C-EF09FE2B07D0}"/>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26000" cy="2710800"/>
                          </a:xfrm>
                          <a:prstGeom prst="rect">
                            <a:avLst/>
                          </a:prstGeom>
                          <a:noFill/>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5F438E49" w14:textId="75636BB2" w:rsidR="00EF5671" w:rsidRPr="00CE793E" w:rsidRDefault="006C63F4" w:rsidP="00FB4E04">
            <w:pPr>
              <w:ind w:left="-634" w:right="-654"/>
              <w:jc w:val="center"/>
              <w:rPr>
                <w:rFonts w:asciiTheme="minorHAnsi" w:hAnsiTheme="minorHAnsi" w:cstheme="minorHAnsi"/>
                <w:lang w:val="es-MX"/>
              </w:rPr>
            </w:pPr>
            <w:r>
              <w:rPr>
                <w:rFonts w:asciiTheme="minorHAnsi" w:hAnsiTheme="minorHAnsi" w:cstheme="minorHAnsi"/>
                <w:noProof/>
                <w:lang w:val="es-PE" w:eastAsia="es-PE"/>
              </w:rPr>
              <w:drawing>
                <wp:inline distT="0" distB="0" distL="0" distR="0" wp14:anchorId="0D5338FA" wp14:editId="72F19EE0">
                  <wp:extent cx="5320030" cy="2521403"/>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55948" cy="2538426"/>
                          </a:xfrm>
                          <a:prstGeom prst="rect">
                            <a:avLst/>
                          </a:prstGeom>
                          <a:noFill/>
                        </pic:spPr>
                      </pic:pic>
                    </a:graphicData>
                  </a:graphic>
                </wp:inline>
              </w:drawing>
            </w:r>
          </w:p>
        </w:tc>
        <w:tc>
          <w:tcPr>
            <w:tcW w:w="273" w:type="dxa"/>
          </w:tcPr>
          <w:p w14:paraId="55C9399E" w14:textId="77777777" w:rsidR="00EF5671" w:rsidRPr="002B3648" w:rsidRDefault="00EF5671"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71D0FFE" w14:textId="0003F1BB" w:rsidR="006C63F4" w:rsidRPr="00737F8F" w:rsidRDefault="006C63F4"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6C63F4">
        <w:rPr>
          <w:noProof/>
          <w:lang w:val="es-PE" w:eastAsia="es-PE"/>
        </w:rPr>
        <w:drawing>
          <wp:inline distT="0" distB="0" distL="0" distR="0" wp14:anchorId="68522774" wp14:editId="40ED6926">
            <wp:extent cx="5850255" cy="2178941"/>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50942" cy="2179197"/>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404854A5"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6E84805C" w14:textId="41FCA68F" w:rsidR="005C4A97" w:rsidRDefault="00B56B00" w:rsidP="00604758">
      <w:pPr>
        <w:spacing w:line="0" w:lineRule="atLeast"/>
        <w:ind w:right="-567"/>
        <w:jc w:val="both"/>
        <w:rPr>
          <w:rFonts w:asciiTheme="minorHAnsi" w:hAnsiTheme="minorHAnsi" w:cstheme="minorHAnsi"/>
          <w:i/>
          <w:sz w:val="18"/>
          <w:szCs w:val="18"/>
        </w:rPr>
      </w:pPr>
      <w:r w:rsidRPr="00B56B00">
        <w:rPr>
          <w:noProof/>
          <w:lang w:val="es-PE" w:eastAsia="es-PE"/>
        </w:rPr>
        <w:drawing>
          <wp:inline distT="0" distB="0" distL="0" distR="0" wp14:anchorId="5BEFA6C0" wp14:editId="519CFAB0">
            <wp:extent cx="5846400" cy="2401200"/>
            <wp:effectExtent l="0" t="0" r="2540" b="0"/>
            <wp:docPr id="25" name="Imagen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46400" cy="2401200"/>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04F3B32E"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F27BD1" w:rsidRPr="001839E1">
        <w:rPr>
          <w:rFonts w:asciiTheme="minorHAnsi" w:hAnsiTheme="minorHAnsi" w:cstheme="minorHAnsi"/>
          <w:b/>
          <w:i/>
          <w:sz w:val="20"/>
          <w:szCs w:val="20"/>
        </w:rPr>
        <w:t>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44B24A74" w14:textId="4B77712E" w:rsidR="00127A54" w:rsidRDefault="00B56B00" w:rsidP="006220EA">
      <w:pPr>
        <w:rPr>
          <w:rFonts w:asciiTheme="minorHAnsi" w:hAnsiTheme="minorHAnsi" w:cstheme="minorHAnsi"/>
          <w:i/>
          <w:sz w:val="18"/>
          <w:szCs w:val="18"/>
        </w:rPr>
      </w:pPr>
      <w:r w:rsidRPr="00B56B00">
        <w:rPr>
          <w:noProof/>
          <w:lang w:val="es-PE" w:eastAsia="es-PE"/>
        </w:rPr>
        <w:drawing>
          <wp:inline distT="0" distB="0" distL="0" distR="0" wp14:anchorId="258AA101" wp14:editId="327F621D">
            <wp:extent cx="5850000" cy="7340400"/>
            <wp:effectExtent l="0" t="0" r="0" b="0"/>
            <wp:docPr id="28" name="Imagen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0000" cy="7340400"/>
                    </a:xfrm>
                    <a:prstGeom prst="rect">
                      <a:avLst/>
                    </a:prstGeom>
                    <a:noFill/>
                    <a:ln>
                      <a:noFill/>
                    </a:ln>
                  </pic:spPr>
                </pic:pic>
              </a:graphicData>
            </a:graphic>
          </wp:inline>
        </w:drawing>
      </w:r>
    </w:p>
    <w:p w14:paraId="4BB900C6" w14:textId="30D24B02" w:rsidR="007B04A3" w:rsidRPr="00C2751F" w:rsidRDefault="007B04A3" w:rsidP="00C2751F">
      <w:pPr>
        <w:spacing w:line="0" w:lineRule="atLeast"/>
        <w:ind w:right="-567"/>
        <w:jc w:val="both"/>
        <w:rPr>
          <w:noProof/>
          <w:lang w:val="es-PE" w:eastAsia="es-PE"/>
        </w:rPr>
      </w:pP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4B79F497" w14:textId="77777777"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142DADCD"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77777777" w:rsidR="00127A54" w:rsidRDefault="00127A54" w:rsidP="005048C1">
      <w:pPr>
        <w:rPr>
          <w:rFonts w:asciiTheme="minorHAnsi" w:hAnsiTheme="minorHAnsi" w:cstheme="minorHAnsi"/>
          <w:i/>
          <w:sz w:val="18"/>
          <w:szCs w:val="18"/>
        </w:rPr>
      </w:pPr>
    </w:p>
    <w:p w14:paraId="76968235" w14:textId="4A35324F" w:rsidR="005048C1" w:rsidRPr="00C2751F" w:rsidRDefault="00233429" w:rsidP="005048C1">
      <w:pPr>
        <w:spacing w:line="0" w:lineRule="atLeast"/>
        <w:ind w:right="-567"/>
        <w:jc w:val="both"/>
        <w:rPr>
          <w:noProof/>
          <w:lang w:val="es-PE" w:eastAsia="es-PE"/>
        </w:rPr>
      </w:pPr>
      <w:r w:rsidRPr="00233429">
        <w:rPr>
          <w:noProof/>
          <w:lang w:val="es-PE" w:eastAsia="es-PE"/>
        </w:rPr>
        <w:drawing>
          <wp:inline distT="0" distB="0" distL="0" distR="0" wp14:anchorId="13A42033" wp14:editId="02F17F8C">
            <wp:extent cx="5850000" cy="6375600"/>
            <wp:effectExtent l="0" t="0" r="0" b="6350"/>
            <wp:docPr id="29" name="Imagen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0000" cy="6375600"/>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77777777" w:rsidR="00214BFB" w:rsidRDefault="00214BFB" w:rsidP="00214BFB">
      <w:pPr>
        <w:jc w:val="both"/>
        <w:rPr>
          <w:rFonts w:asciiTheme="minorHAnsi" w:hAnsiTheme="minorHAnsi" w:cstheme="minorHAnsi"/>
          <w:sz w:val="22"/>
          <w:szCs w:val="22"/>
        </w:rPr>
      </w:pPr>
    </w:p>
    <w:p w14:paraId="669E0F79" w14:textId="51978A9C" w:rsidR="00475AC3" w:rsidRDefault="003C365B" w:rsidP="00475AC3">
      <w:pPr>
        <w:jc w:val="center"/>
        <w:rPr>
          <w:rFonts w:asciiTheme="minorHAnsi" w:hAnsiTheme="minorHAnsi" w:cstheme="minorHAnsi"/>
          <w:sz w:val="22"/>
          <w:szCs w:val="22"/>
        </w:rPr>
      </w:pPr>
      <w:r>
        <w:rPr>
          <w:noProof/>
          <w:lang w:val="es-PE" w:eastAsia="es-PE"/>
        </w:rPr>
        <w:drawing>
          <wp:inline distT="0" distB="0" distL="0" distR="0" wp14:anchorId="3ADB3DF0" wp14:editId="07E402B9">
            <wp:extent cx="4494433" cy="2399665"/>
            <wp:effectExtent l="19050" t="19050" r="20955" b="19685"/>
            <wp:docPr id="20" name="Picture 26"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00954" cy="2403147"/>
                    </a:xfrm>
                    <a:prstGeom prst="rect">
                      <a:avLst/>
                    </a:prstGeom>
                    <a:noFill/>
                    <a:ln>
                      <a:solidFill>
                        <a:schemeClr val="accent1"/>
                      </a:solidFill>
                    </a:ln>
                  </pic:spPr>
                </pic:pic>
              </a:graphicData>
            </a:graphic>
          </wp:inline>
        </w:drawing>
      </w:r>
    </w:p>
    <w:p w14:paraId="58C48679" w14:textId="77777777" w:rsidR="00475AC3" w:rsidRDefault="00475AC3" w:rsidP="00475AC3">
      <w:pPr>
        <w:jc w:val="center"/>
        <w:rPr>
          <w:rFonts w:asciiTheme="minorHAnsi" w:hAnsiTheme="minorHAnsi" w:cstheme="minorHAnsi"/>
          <w:sz w:val="22"/>
          <w:szCs w:val="22"/>
        </w:rPr>
      </w:pPr>
    </w:p>
    <w:p w14:paraId="0667B0EB" w14:textId="2E8F287D" w:rsidR="00475AC3" w:rsidRDefault="003C365B" w:rsidP="00475AC3">
      <w:pPr>
        <w:jc w:val="center"/>
        <w:rPr>
          <w:rFonts w:asciiTheme="minorHAnsi" w:hAnsiTheme="minorHAnsi" w:cstheme="minorHAnsi"/>
          <w:sz w:val="22"/>
          <w:szCs w:val="22"/>
        </w:rPr>
      </w:pPr>
      <w:r>
        <w:rPr>
          <w:noProof/>
          <w:lang w:val="es-PE" w:eastAsia="es-PE"/>
        </w:rPr>
        <w:drawing>
          <wp:inline distT="0" distB="0" distL="0" distR="0" wp14:anchorId="66961ACE" wp14:editId="278F4833">
            <wp:extent cx="4461510" cy="2382086"/>
            <wp:effectExtent l="19050" t="19050" r="15240" b="18415"/>
            <wp:docPr id="27" name="Picture 27"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69115" cy="2386146"/>
                    </a:xfrm>
                    <a:prstGeom prst="rect">
                      <a:avLst/>
                    </a:prstGeom>
                    <a:noFill/>
                    <a:ln>
                      <a:solidFill>
                        <a:schemeClr val="accent1"/>
                      </a:solidFill>
                    </a:ln>
                  </pic:spPr>
                </pic:pic>
              </a:graphicData>
            </a:graphic>
          </wp:inline>
        </w:drawing>
      </w:r>
    </w:p>
    <w:p w14:paraId="52FADC7F" w14:textId="77777777" w:rsidR="00475AC3" w:rsidRDefault="00475AC3" w:rsidP="00475AC3">
      <w:pPr>
        <w:jc w:val="center"/>
        <w:rPr>
          <w:rFonts w:asciiTheme="minorHAnsi" w:hAnsiTheme="minorHAnsi" w:cstheme="minorHAnsi"/>
          <w:sz w:val="22"/>
          <w:szCs w:val="22"/>
        </w:rPr>
      </w:pPr>
    </w:p>
    <w:p w14:paraId="2F50AFD9" w14:textId="48165540" w:rsidR="00475AC3" w:rsidRDefault="00475AC3" w:rsidP="00523CA0">
      <w:pPr>
        <w:ind w:left="993"/>
        <w:jc w:val="both"/>
        <w:rPr>
          <w:rFonts w:asciiTheme="minorHAnsi" w:hAnsiTheme="minorHAnsi" w:cstheme="minorHAnsi"/>
          <w:b/>
          <w:iCs/>
          <w:u w:val="single"/>
        </w:rPr>
      </w:pPr>
      <w:r>
        <w:rPr>
          <w:rFonts w:asciiTheme="minorHAnsi" w:hAnsiTheme="minorHAnsi" w:cstheme="minorHAnsi"/>
          <w:b/>
          <w:bCs/>
          <w:i/>
          <w:iCs/>
          <w:sz w:val="16"/>
          <w:szCs w:val="16"/>
        </w:rPr>
        <w:t xml:space="preserve"> </w:t>
      </w:r>
      <w:r w:rsidR="003C365B">
        <w:rPr>
          <w:noProof/>
          <w:lang w:val="es-PE" w:eastAsia="es-PE"/>
        </w:rPr>
        <w:drawing>
          <wp:inline distT="0" distB="0" distL="0" distR="0" wp14:anchorId="45F815E1" wp14:editId="596C39B2">
            <wp:extent cx="4551520" cy="2430145"/>
            <wp:effectExtent l="19050" t="19050" r="20955" b="27305"/>
            <wp:docPr id="30" name="Picture 30"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57488" cy="2433331"/>
                    </a:xfrm>
                    <a:prstGeom prst="rect">
                      <a:avLst/>
                    </a:prstGeom>
                    <a:noFill/>
                    <a:ln>
                      <a:solidFill>
                        <a:schemeClr val="accent1"/>
                      </a:solidFill>
                    </a:ln>
                  </pic:spPr>
                </pic:pic>
              </a:graphicData>
            </a:graphic>
          </wp:inline>
        </w:drawing>
      </w:r>
    </w:p>
    <w:p w14:paraId="4576EE60" w14:textId="77777777" w:rsidR="00475AC3" w:rsidRDefault="00475AC3" w:rsidP="00475AC3">
      <w:pPr>
        <w:jc w:val="center"/>
        <w:rPr>
          <w:rFonts w:asciiTheme="minorHAnsi" w:hAnsiTheme="minorHAnsi" w:cstheme="minorHAnsi"/>
          <w:b/>
          <w:iCs/>
          <w:u w:val="single"/>
        </w:rPr>
      </w:pPr>
    </w:p>
    <w:p w14:paraId="7EA3AAD8" w14:textId="0544A412" w:rsidR="00475AC3" w:rsidRDefault="003C365B" w:rsidP="00475AC3">
      <w:pPr>
        <w:jc w:val="center"/>
        <w:rPr>
          <w:rFonts w:asciiTheme="minorHAnsi" w:hAnsiTheme="minorHAnsi" w:cstheme="minorHAnsi"/>
          <w:b/>
          <w:iCs/>
          <w:u w:val="single"/>
        </w:rPr>
      </w:pPr>
      <w:r>
        <w:rPr>
          <w:noProof/>
          <w:lang w:val="es-PE" w:eastAsia="es-PE"/>
        </w:rPr>
        <w:drawing>
          <wp:inline distT="0" distB="0" distL="0" distR="0" wp14:anchorId="579BE142" wp14:editId="121D7F8A">
            <wp:extent cx="4537248" cy="2422525"/>
            <wp:effectExtent l="19050" t="19050" r="15875" b="15875"/>
            <wp:docPr id="34" name="Picture 34"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42727" cy="2425450"/>
                    </a:xfrm>
                    <a:prstGeom prst="rect">
                      <a:avLst/>
                    </a:prstGeom>
                    <a:noFill/>
                    <a:ln>
                      <a:solidFill>
                        <a:schemeClr val="accent1"/>
                      </a:solidFill>
                    </a:ln>
                  </pic:spPr>
                </pic:pic>
              </a:graphicData>
            </a:graphic>
          </wp:inline>
        </w:drawing>
      </w:r>
    </w:p>
    <w:p w14:paraId="0ADC3CBB" w14:textId="77777777" w:rsidR="00AF5121" w:rsidRDefault="00AF5121" w:rsidP="00AF5121">
      <w:pPr>
        <w:rPr>
          <w:rFonts w:asciiTheme="minorHAnsi" w:hAnsiTheme="minorHAnsi" w:cstheme="minorHAnsi"/>
          <w:b/>
          <w:iCs/>
          <w:u w:val="single"/>
        </w:rPr>
      </w:pPr>
    </w:p>
    <w:p w14:paraId="6A2FC0CF" w14:textId="77777777" w:rsidR="00AF5121" w:rsidRDefault="00AF5121" w:rsidP="00AF5121">
      <w:pPr>
        <w:rPr>
          <w:rFonts w:asciiTheme="minorHAnsi" w:hAnsiTheme="minorHAnsi" w:cstheme="minorHAnsi"/>
          <w:b/>
          <w:iCs/>
          <w:u w:val="single"/>
        </w:rPr>
      </w:pPr>
    </w:p>
    <w:p w14:paraId="4504C7F3" w14:textId="4B66A993" w:rsidR="00AF5121" w:rsidRDefault="00AF5121" w:rsidP="00AF5121">
      <w:pPr>
        <w:jc w:val="center"/>
        <w:rPr>
          <w:rFonts w:asciiTheme="minorHAnsi" w:hAnsiTheme="minorHAnsi" w:cstheme="minorHAnsi"/>
          <w:b/>
          <w:iCs/>
          <w:u w:val="single"/>
        </w:rPr>
      </w:pP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7A61CEAE" w:rsidR="006D325E" w:rsidRDefault="006D325E" w:rsidP="00C5246D">
      <w:pPr>
        <w:jc w:val="cente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0EBEA676"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294829"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3"/>
      <w:footerReference w:type="default" r:id="rId34"/>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219E53E3" w14:textId="77777777" w:rsidR="006E0AC8" w:rsidRPr="00D115A0" w:rsidRDefault="006E0AC8" w:rsidP="006E0AC8">
      <w:pPr>
        <w:pStyle w:val="Textonotapie"/>
        <w:rPr>
          <w:rFonts w:asciiTheme="minorHAnsi" w:hAnsiTheme="minorHAnsi" w:cstheme="minorHAnsi"/>
          <w:i/>
          <w:sz w:val="18"/>
          <w:szCs w:val="18"/>
        </w:rPr>
      </w:pPr>
      <w:r>
        <w:rPr>
          <w:rStyle w:val="Refdenotaalpie"/>
        </w:rPr>
        <w:footnoteRef/>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Energy</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941268" w14:textId="77777777" w:rsidR="00352B3A" w:rsidRDefault="00FF1622" w:rsidP="00FF1622">
    <w:pPr>
      <w:pStyle w:val="Encabezado"/>
      <w:tabs>
        <w:tab w:val="clear" w:pos="8838"/>
        <w:tab w:val="right" w:pos="8646"/>
      </w:tabs>
      <w:ind w:left="-1418"/>
      <w:rPr>
        <w:noProof/>
        <w:lang w:val="es-PE" w:eastAsia="es-PE"/>
      </w:rPr>
    </w:pPr>
    <w:bookmarkStart w:id="2" w:name="_Hlk68946101"/>
    <w:bookmarkStart w:id="3"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4BDBED67"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 xml:space="preserve">Informe N° PR- </w:t>
          </w:r>
          <w:r w:rsidR="005B53D4">
            <w:rPr>
              <w:rFonts w:ascii="Calibri" w:hAnsi="Calibri" w:cs="Calibri"/>
              <w:b/>
              <w:sz w:val="26"/>
              <w:szCs w:val="26"/>
              <w:lang w:val="it-IT"/>
            </w:rPr>
            <w:t>1</w:t>
          </w:r>
          <w:r w:rsidR="00E812D9">
            <w:rPr>
              <w:rFonts w:ascii="Calibri" w:hAnsi="Calibri" w:cs="Calibri"/>
              <w:b/>
              <w:sz w:val="26"/>
              <w:szCs w:val="26"/>
              <w:lang w:val="it-IT"/>
            </w:rPr>
            <w:t>2</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2"/>
  <w:bookmarkEnd w:id="3"/>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6DCC19C9"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5B53D4">
            <w:rPr>
              <w:rFonts w:ascii="Calibri" w:hAnsi="Calibri" w:cs="Calibri"/>
              <w:b/>
              <w:sz w:val="26"/>
              <w:szCs w:val="26"/>
              <w:lang w:val="it-IT"/>
            </w:rPr>
            <w:t>1</w:t>
          </w:r>
          <w:r w:rsidR="00913D54">
            <w:rPr>
              <w:rFonts w:ascii="Calibri" w:hAnsi="Calibri" w:cs="Calibri"/>
              <w:b/>
              <w:sz w:val="26"/>
              <w:szCs w:val="26"/>
              <w:lang w:val="it-IT"/>
            </w:rPr>
            <w:t>3</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352B3A"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2D458388"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 -</w:t>
          </w:r>
          <w:r w:rsidR="00670C8F">
            <w:rPr>
              <w:rFonts w:ascii="Calibri" w:hAnsi="Calibri" w:cs="Calibri"/>
              <w:b/>
              <w:sz w:val="26"/>
              <w:szCs w:val="26"/>
              <w:lang w:val="it-IT"/>
            </w:rPr>
            <w:t>1</w:t>
          </w:r>
          <w:r w:rsidR="00E812D9">
            <w:rPr>
              <w:rFonts w:ascii="Calibri" w:hAnsi="Calibri" w:cs="Calibri"/>
              <w:b/>
              <w:sz w:val="26"/>
              <w:szCs w:val="26"/>
              <w:lang w:val="it-IT"/>
            </w:rPr>
            <w:t>2</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352B3A"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37CDB40B"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PR-1</w:t>
          </w:r>
          <w:r w:rsidR="000F6575">
            <w:rPr>
              <w:rFonts w:ascii="Calibri" w:hAnsi="Calibri" w:cs="Calibri"/>
              <w:b/>
              <w:sz w:val="26"/>
              <w:szCs w:val="26"/>
              <w:lang w:val="it-IT"/>
            </w:rPr>
            <w:t>2</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6"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6"/>
  </w:num>
  <w:num w:numId="7">
    <w:abstractNumId w:val="15"/>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7"/>
  </w:num>
  <w:num w:numId="17">
    <w:abstractNumId w:val="18"/>
  </w:num>
  <w:num w:numId="18">
    <w:abstractNumId w:val="7"/>
  </w:num>
  <w:num w:numId="19">
    <w:abstractNumId w:val="1"/>
  </w:num>
  <w:num w:numId="20">
    <w:abstractNumId w:val="2"/>
  </w:num>
  <w:num w:numId="21">
    <w:abstractNumId w:val="17"/>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21"/>
  <w:doNotDisplayPageBoundaries/>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activeWritingStyle w:appName="MSWord" w:lang="es-ES" w:vendorID="64" w:dllVersion="131078" w:nlCheck="1" w:checkStyle="0"/>
  <w:activeWritingStyle w:appName="MSWord" w:lang="es-MX" w:vendorID="64" w:dllVersion="131078" w:nlCheck="1" w:checkStyle="0"/>
  <w:activeWritingStyle w:appName="MSWord" w:lang="en-US" w:vendorID="64" w:dllVersion="131078" w:nlCheck="1" w:checkStyle="1"/>
  <w:proofState w:spelling="clean" w:grammar="clean"/>
  <w:defaultTabStop w:val="567"/>
  <w:hyphenationZone w:val="425"/>
  <w:drawingGridHorizontalSpacing w:val="110"/>
  <w:displayHorizontalDrawingGridEvery w:val="2"/>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9EA"/>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4F55"/>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A6B"/>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E45"/>
    <w:rsid w:val="00E111DF"/>
    <w:rsid w:val="00E11339"/>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2.gif"/><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emf"/><Relationship Id="rId29"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0.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emf"/><Relationship Id="rId28" Type="http://schemas.openxmlformats.org/officeDocument/2006/relationships/image" Target="media/image14.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header" Target="header3.xm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image" Target="media/image13.gi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A53F93-2B97-4B2E-9F50-3D41F77DD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277</TotalTime>
  <Pages>16</Pages>
  <Words>3472</Words>
  <Characters>19101</Characters>
  <Application>Microsoft Office Word</Application>
  <DocSecurity>0</DocSecurity>
  <Lines>159</Lines>
  <Paragraphs>45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22528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23</cp:revision>
  <cp:lastPrinted>2023-03-30T19:33:00Z</cp:lastPrinted>
  <dcterms:created xsi:type="dcterms:W3CDTF">2023-03-29T19:57:00Z</dcterms:created>
  <dcterms:modified xsi:type="dcterms:W3CDTF">2023-03-30T19:34:00Z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