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E3B44CD"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930D25">
        <w:rPr>
          <w:rFonts w:ascii="Poppins" w:hAnsi="Poppins" w:cs="Poppins"/>
          <w:sz w:val="24"/>
          <w:szCs w:val="22"/>
          <w:u w:val="single"/>
          <w:lang w:val="it-IT"/>
        </w:rPr>
        <w:t>5</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078C8F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930D25">
        <w:rPr>
          <w:rFonts w:ascii="Poppins" w:hAnsi="Poppins" w:cs="Poppins"/>
          <w:b/>
          <w:bCs/>
          <w:sz w:val="22"/>
          <w:szCs w:val="22"/>
        </w:rPr>
        <w:t>26</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A752D9" w:rsidRPr="009621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926883A" w:rsidR="00AB06BA" w:rsidRPr="001C2FD3" w:rsidRDefault="00496BF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CE236B4" wp14:editId="5D47C0CA">
            <wp:extent cx="5384977" cy="3586804"/>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4262" cy="359298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3308E71A"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393A9C" w:rsidRPr="0096213B">
        <w:rPr>
          <w:rFonts w:ascii="Poppins" w:hAnsi="Poppins" w:cs="Poppins"/>
          <w:sz w:val="18"/>
          <w:szCs w:val="18"/>
        </w:rPr>
        <w:t>7</w:t>
      </w:r>
      <w:r w:rsidR="00863CFF">
        <w:rPr>
          <w:rFonts w:ascii="Poppins" w:hAnsi="Poppins" w:cs="Poppins"/>
          <w:sz w:val="18"/>
          <w:szCs w:val="18"/>
        </w:rPr>
        <w:t>2</w:t>
      </w:r>
      <w:r w:rsidR="00073C34" w:rsidRPr="0096213B">
        <w:rPr>
          <w:rFonts w:ascii="Poppins" w:hAnsi="Poppins" w:cs="Poppins"/>
          <w:sz w:val="18"/>
          <w:szCs w:val="18"/>
        </w:rPr>
        <w:t>,</w:t>
      </w:r>
      <w:r w:rsidR="00863CFF">
        <w:rPr>
          <w:rFonts w:ascii="Poppins" w:hAnsi="Poppins" w:cs="Poppins"/>
          <w:sz w:val="18"/>
          <w:szCs w:val="18"/>
        </w:rPr>
        <w:t>83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3C2110" w:rsidRPr="0096213B">
        <w:rPr>
          <w:rFonts w:ascii="Poppins" w:hAnsi="Poppins" w:cs="Poppins"/>
          <w:sz w:val="18"/>
          <w:szCs w:val="18"/>
        </w:rPr>
        <w:t>9</w:t>
      </w:r>
      <w:r w:rsidR="00D87FA1">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27085D" w:rsidRPr="0096213B">
        <w:rPr>
          <w:rFonts w:ascii="Poppins" w:hAnsi="Poppins" w:cs="Poppins"/>
          <w:sz w:val="18"/>
          <w:szCs w:val="18"/>
        </w:rPr>
        <w:t>9</w:t>
      </w:r>
      <w:r w:rsidR="00863CFF">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D87FA1">
        <w:rPr>
          <w:rFonts w:ascii="Poppins" w:hAnsi="Poppins" w:cs="Poppins"/>
          <w:sz w:val="18"/>
          <w:szCs w:val="18"/>
        </w:rPr>
        <w:t>4</w:t>
      </w:r>
      <w:r w:rsidR="00941CD2" w:rsidRPr="0096213B">
        <w:rPr>
          <w:rFonts w:ascii="Poppins" w:hAnsi="Poppins" w:cs="Poppins"/>
          <w:sz w:val="18"/>
          <w:szCs w:val="18"/>
        </w:rPr>
        <w:t>,</w:t>
      </w:r>
      <w:r w:rsidR="00D87FA1">
        <w:rPr>
          <w:rFonts w:ascii="Poppins" w:hAnsi="Poppins" w:cs="Poppins"/>
          <w:sz w:val="18"/>
          <w:szCs w:val="18"/>
        </w:rPr>
        <w:t>8</w:t>
      </w:r>
      <w:r w:rsidR="00863CFF">
        <w:rPr>
          <w:rFonts w:ascii="Poppins" w:hAnsi="Poppins" w:cs="Poppins"/>
          <w:sz w:val="18"/>
          <w:szCs w:val="18"/>
        </w:rPr>
        <w:t>2</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47B65501"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863CFF">
        <w:rPr>
          <w:rFonts w:ascii="Poppins" w:hAnsi="Poppins" w:cs="Poppins"/>
          <w:bCs/>
          <w:sz w:val="18"/>
          <w:szCs w:val="18"/>
        </w:rPr>
        <w:t>12</w:t>
      </w:r>
      <w:r w:rsidRPr="0096213B">
        <w:rPr>
          <w:rFonts w:ascii="Poppins" w:hAnsi="Poppins" w:cs="Poppins"/>
          <w:bCs/>
          <w:sz w:val="18"/>
          <w:szCs w:val="18"/>
        </w:rPr>
        <w:t>.</w:t>
      </w:r>
      <w:r w:rsidR="00941CD2" w:rsidRPr="0096213B">
        <w:rPr>
          <w:rFonts w:ascii="Poppins" w:hAnsi="Poppins" w:cs="Poppins"/>
          <w:bCs/>
          <w:sz w:val="18"/>
          <w:szCs w:val="18"/>
        </w:rPr>
        <w:t>0</w:t>
      </w:r>
      <w:r w:rsidR="00D87FA1">
        <w:rPr>
          <w:rFonts w:ascii="Poppins" w:hAnsi="Poppins" w:cs="Poppins"/>
          <w:bCs/>
          <w:sz w:val="18"/>
          <w:szCs w:val="18"/>
        </w:rPr>
        <w:t>8</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863CFF">
        <w:rPr>
          <w:rFonts w:ascii="Poppins" w:hAnsi="Poppins" w:cs="Poppins"/>
          <w:bCs/>
          <w:sz w:val="18"/>
          <w:szCs w:val="18"/>
        </w:rPr>
        <w:t>23</w:t>
      </w:r>
      <w:r w:rsidRPr="0096213B">
        <w:rPr>
          <w:rFonts w:ascii="Poppins" w:hAnsi="Poppins" w:cs="Poppins"/>
          <w:bCs/>
          <w:sz w:val="18"/>
          <w:szCs w:val="18"/>
        </w:rPr>
        <w:t>.</w:t>
      </w:r>
      <w:r w:rsidR="0003140D" w:rsidRPr="0096213B">
        <w:rPr>
          <w:rFonts w:ascii="Poppins" w:hAnsi="Poppins" w:cs="Poppins"/>
          <w:bCs/>
          <w:sz w:val="18"/>
          <w:szCs w:val="18"/>
        </w:rPr>
        <w:t>0</w:t>
      </w:r>
      <w:r w:rsidR="0027085D" w:rsidRPr="0096213B">
        <w:rPr>
          <w:rFonts w:ascii="Poppins" w:hAnsi="Poppins" w:cs="Poppins"/>
          <w:bCs/>
          <w:sz w:val="18"/>
          <w:szCs w:val="18"/>
        </w:rPr>
        <w:t>8</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5B9F698F" w14:textId="77777777" w:rsidR="00863CFF" w:rsidRPr="003C293F" w:rsidRDefault="00863CFF" w:rsidP="00863CFF">
      <w:pPr>
        <w:pStyle w:val="Prrafodelista"/>
        <w:numPr>
          <w:ilvl w:val="0"/>
          <w:numId w:val="30"/>
        </w:numPr>
        <w:ind w:left="426"/>
        <w:contextualSpacing/>
        <w:jc w:val="both"/>
        <w:rPr>
          <w:rFonts w:asciiTheme="minorHAnsi" w:hAnsiTheme="minorHAnsi" w:cstheme="minorHAnsi"/>
          <w:sz w:val="22"/>
          <w:szCs w:val="22"/>
        </w:rPr>
      </w:pPr>
      <w:r w:rsidRPr="003C293F">
        <w:rPr>
          <w:rFonts w:asciiTheme="minorHAnsi" w:hAnsiTheme="minorHAnsi" w:cstheme="minorHAnsi"/>
          <w:b/>
          <w:sz w:val="22"/>
          <w:szCs w:val="22"/>
        </w:rPr>
        <w:t xml:space="preserve">La disminución de los inventarios de crudo, gasolinas y diésel; así como el aumento de las existencias de propano al </w:t>
      </w:r>
      <w:r>
        <w:rPr>
          <w:rFonts w:asciiTheme="minorHAnsi" w:hAnsiTheme="minorHAnsi" w:cstheme="minorHAnsi"/>
          <w:b/>
          <w:sz w:val="22"/>
          <w:szCs w:val="22"/>
        </w:rPr>
        <w:t>16</w:t>
      </w:r>
      <w:r w:rsidRPr="003C293F">
        <w:rPr>
          <w:rFonts w:asciiTheme="minorHAnsi" w:hAnsiTheme="minorHAnsi" w:cstheme="minorHAnsi"/>
          <w:b/>
          <w:sz w:val="22"/>
          <w:szCs w:val="22"/>
        </w:rPr>
        <w:t xml:space="preserve"> de agosto del 2024</w:t>
      </w:r>
    </w:p>
    <w:p w14:paraId="0DA18777" w14:textId="77777777" w:rsidR="00863CFF" w:rsidRPr="003C293F" w:rsidRDefault="00863CFF" w:rsidP="00863CFF">
      <w:pPr>
        <w:jc w:val="both"/>
        <w:rPr>
          <w:rFonts w:asciiTheme="minorHAnsi" w:hAnsiTheme="minorHAnsi" w:cstheme="minorHAnsi"/>
          <w:sz w:val="22"/>
          <w:szCs w:val="22"/>
        </w:rPr>
      </w:pPr>
    </w:p>
    <w:p w14:paraId="08D6A505"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Los inventarios de petróleo de Estados Unidos se redujeron en 4,6 millones de barriles, ubicándose en -5% por debajo de la media de los últimos 5 años en esta época del año, lo que representa 426,0 millones de barriles.</w:t>
      </w:r>
    </w:p>
    <w:p w14:paraId="2D855A8E" w14:textId="77777777" w:rsidR="00863CFF" w:rsidRPr="003C293F" w:rsidRDefault="00863CFF" w:rsidP="00863CFF">
      <w:pPr>
        <w:pStyle w:val="Prrafodelista"/>
        <w:ind w:left="426"/>
        <w:jc w:val="both"/>
        <w:rPr>
          <w:rFonts w:asciiTheme="minorHAnsi" w:hAnsiTheme="minorHAnsi" w:cstheme="minorHAnsi"/>
          <w:sz w:val="22"/>
          <w:szCs w:val="22"/>
        </w:rPr>
      </w:pPr>
    </w:p>
    <w:p w14:paraId="6FEFB3BA"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 xml:space="preserve">Por su parte, las existencias de gasolina cayeron 1,6 millones de barriles, reportando un total de 220,6 millones de barriles; mientras los inventarios de destilados, que incluyen al diésel y al combustible para calefacción disminuyeron 3,3 millones de barriles, a un total de 122,8 millones de barriles. Finalmente, las existencias de propano se elevaron </w:t>
      </w:r>
      <w:r>
        <w:rPr>
          <w:rFonts w:asciiTheme="minorHAnsi" w:hAnsiTheme="minorHAnsi" w:cstheme="minorHAnsi"/>
          <w:sz w:val="22"/>
          <w:szCs w:val="22"/>
        </w:rPr>
        <w:t>1</w:t>
      </w:r>
      <w:r w:rsidRPr="003C293F">
        <w:rPr>
          <w:rFonts w:asciiTheme="minorHAnsi" w:hAnsiTheme="minorHAnsi" w:cstheme="minorHAnsi"/>
          <w:sz w:val="22"/>
          <w:szCs w:val="22"/>
        </w:rPr>
        <w:t>,</w:t>
      </w:r>
      <w:r>
        <w:rPr>
          <w:rFonts w:asciiTheme="minorHAnsi" w:hAnsiTheme="minorHAnsi" w:cstheme="minorHAnsi"/>
          <w:sz w:val="22"/>
          <w:szCs w:val="22"/>
        </w:rPr>
        <w:t>9</w:t>
      </w:r>
      <w:r w:rsidRPr="003C293F">
        <w:rPr>
          <w:rFonts w:asciiTheme="minorHAnsi" w:hAnsiTheme="minorHAnsi" w:cstheme="minorHAnsi"/>
          <w:sz w:val="22"/>
          <w:szCs w:val="22"/>
        </w:rPr>
        <w:t xml:space="preserve"> millones de barriles, ubicándose en los 9</w:t>
      </w:r>
      <w:r>
        <w:rPr>
          <w:rFonts w:asciiTheme="minorHAnsi" w:hAnsiTheme="minorHAnsi" w:cstheme="minorHAnsi"/>
          <w:sz w:val="22"/>
          <w:szCs w:val="22"/>
        </w:rPr>
        <w:t>2</w:t>
      </w:r>
      <w:r w:rsidRPr="003C293F">
        <w:rPr>
          <w:rFonts w:asciiTheme="minorHAnsi" w:hAnsiTheme="minorHAnsi" w:cstheme="minorHAnsi"/>
          <w:sz w:val="22"/>
          <w:szCs w:val="22"/>
        </w:rPr>
        <w:t>,0</w:t>
      </w:r>
      <w:r>
        <w:rPr>
          <w:rFonts w:asciiTheme="minorHAnsi" w:hAnsiTheme="minorHAnsi" w:cstheme="minorHAnsi"/>
          <w:sz w:val="22"/>
          <w:szCs w:val="22"/>
        </w:rPr>
        <w:t>8</w:t>
      </w:r>
      <w:r w:rsidRPr="003C293F">
        <w:rPr>
          <w:rFonts w:asciiTheme="minorHAnsi" w:hAnsiTheme="minorHAnsi" w:cstheme="minorHAnsi"/>
          <w:sz w:val="22"/>
          <w:szCs w:val="22"/>
        </w:rPr>
        <w:t xml:space="preserve"> millones de barriles.</w:t>
      </w:r>
    </w:p>
    <w:p w14:paraId="59CEE4F9" w14:textId="77777777" w:rsidR="00863CFF" w:rsidRPr="003C293F" w:rsidRDefault="00863CFF" w:rsidP="00863CFF">
      <w:pPr>
        <w:pStyle w:val="Prrafodelista"/>
        <w:ind w:left="426"/>
        <w:jc w:val="both"/>
        <w:rPr>
          <w:rFonts w:asciiTheme="minorHAnsi" w:hAnsiTheme="minorHAnsi" w:cstheme="minorHAnsi"/>
          <w:sz w:val="22"/>
          <w:szCs w:val="22"/>
        </w:rPr>
      </w:pPr>
    </w:p>
    <w:p w14:paraId="71330EC7" w14:textId="2B5DC4AF" w:rsidR="00863CFF" w:rsidRPr="003C293F" w:rsidRDefault="00863CFF" w:rsidP="00863CFF">
      <w:pPr>
        <w:pStyle w:val="Prrafodelista"/>
        <w:ind w:left="426"/>
        <w:jc w:val="both"/>
        <w:rPr>
          <w:rFonts w:asciiTheme="minorHAnsi" w:hAnsiTheme="minorHAnsi" w:cstheme="minorHAnsi"/>
          <w:color w:val="333333"/>
          <w:sz w:val="22"/>
          <w:szCs w:val="22"/>
          <w:shd w:val="clear" w:color="auto" w:fill="FFFFFF"/>
        </w:rPr>
      </w:pPr>
      <w:r w:rsidRPr="003C293F">
        <w:rPr>
          <w:rFonts w:asciiTheme="minorHAnsi" w:hAnsiTheme="minorHAnsi" w:cstheme="minorHAnsi"/>
          <w:sz w:val="22"/>
          <w:szCs w:val="22"/>
        </w:rPr>
        <w:t>La utilización de las refinerías subió en 222</w:t>
      </w:r>
      <w:r>
        <w:rPr>
          <w:rFonts w:asciiTheme="minorHAnsi" w:hAnsiTheme="minorHAnsi" w:cstheme="minorHAnsi"/>
          <w:sz w:val="22"/>
          <w:szCs w:val="22"/>
        </w:rPr>
        <w:t xml:space="preserve"> mil</w:t>
      </w:r>
      <w:r w:rsidRPr="003C293F">
        <w:rPr>
          <w:rFonts w:asciiTheme="minorHAnsi" w:hAnsiTheme="minorHAnsi" w:cstheme="minorHAnsi"/>
          <w:sz w:val="22"/>
          <w:szCs w:val="22"/>
        </w:rPr>
        <w:t xml:space="preserve"> barriles por día, hacía un total de 16</w:t>
      </w:r>
      <w:r>
        <w:rPr>
          <w:rFonts w:asciiTheme="minorHAnsi" w:hAnsiTheme="minorHAnsi" w:cstheme="minorHAnsi"/>
          <w:sz w:val="22"/>
          <w:szCs w:val="22"/>
        </w:rPr>
        <w:t>,</w:t>
      </w:r>
      <w:r w:rsidRPr="003C293F">
        <w:rPr>
          <w:rFonts w:asciiTheme="minorHAnsi" w:hAnsiTheme="minorHAnsi" w:cstheme="minorHAnsi"/>
          <w:sz w:val="22"/>
          <w:szCs w:val="22"/>
        </w:rPr>
        <w:t>69</w:t>
      </w:r>
      <w:r>
        <w:rPr>
          <w:rFonts w:asciiTheme="minorHAnsi" w:hAnsiTheme="minorHAnsi" w:cstheme="minorHAnsi"/>
          <w:sz w:val="22"/>
          <w:szCs w:val="22"/>
        </w:rPr>
        <w:t xml:space="preserve"> millones de </w:t>
      </w:r>
      <w:r w:rsidRPr="003C293F">
        <w:rPr>
          <w:rFonts w:asciiTheme="minorHAnsi" w:hAnsiTheme="minorHAnsi" w:cstheme="minorHAnsi"/>
          <w:sz w:val="22"/>
          <w:szCs w:val="22"/>
        </w:rPr>
        <w:t>barriles por día</w:t>
      </w:r>
      <w:r w:rsidRPr="003C293F">
        <w:rPr>
          <w:rFonts w:asciiTheme="minorHAnsi" w:hAnsiTheme="minorHAnsi" w:cstheme="minorHAnsi"/>
          <w:color w:val="333333"/>
          <w:sz w:val="22"/>
          <w:szCs w:val="22"/>
          <w:shd w:val="clear" w:color="auto" w:fill="FFFFFF"/>
        </w:rPr>
        <w:t>.</w:t>
      </w:r>
    </w:p>
    <w:p w14:paraId="61163F6F" w14:textId="77777777" w:rsidR="00863CFF" w:rsidRPr="003C293F" w:rsidRDefault="00863CFF" w:rsidP="00863CFF">
      <w:pPr>
        <w:pStyle w:val="Prrafodelista"/>
        <w:ind w:left="426"/>
        <w:jc w:val="both"/>
        <w:rPr>
          <w:rFonts w:asciiTheme="minorHAnsi" w:hAnsiTheme="minorHAnsi" w:cstheme="minorHAnsi"/>
          <w:sz w:val="22"/>
          <w:szCs w:val="22"/>
        </w:rPr>
      </w:pPr>
    </w:p>
    <w:p w14:paraId="2D8C67B5" w14:textId="77777777" w:rsidR="00863CFF" w:rsidRPr="003C293F" w:rsidRDefault="00863CFF" w:rsidP="00863CFF">
      <w:pPr>
        <w:pStyle w:val="Prrafodelista"/>
        <w:numPr>
          <w:ilvl w:val="0"/>
          <w:numId w:val="30"/>
        </w:numPr>
        <w:ind w:left="426"/>
        <w:contextualSpacing/>
        <w:jc w:val="both"/>
        <w:rPr>
          <w:rFonts w:asciiTheme="minorHAnsi" w:hAnsiTheme="minorHAnsi" w:cstheme="minorHAnsi"/>
          <w:sz w:val="22"/>
          <w:szCs w:val="22"/>
        </w:rPr>
      </w:pPr>
      <w:r w:rsidRPr="003C293F">
        <w:rPr>
          <w:rFonts w:asciiTheme="minorHAnsi" w:hAnsiTheme="minorHAnsi" w:cstheme="minorHAnsi"/>
          <w:b/>
          <w:sz w:val="22"/>
          <w:szCs w:val="22"/>
        </w:rPr>
        <w:lastRenderedPageBreak/>
        <w:t>Las preocupaciones ante una posible recesión en EE.UU., la débil demanda de combustibles en China y el incremento del riesgo de una lenta recuperación económica mundial</w:t>
      </w:r>
    </w:p>
    <w:p w14:paraId="7E73512F" w14:textId="77777777" w:rsidR="00863CFF" w:rsidRPr="003C293F" w:rsidRDefault="00863CFF" w:rsidP="00863CFF">
      <w:pPr>
        <w:jc w:val="both"/>
        <w:rPr>
          <w:rFonts w:asciiTheme="minorHAnsi" w:hAnsiTheme="minorHAnsi" w:cstheme="minorHAnsi"/>
          <w:sz w:val="22"/>
          <w:szCs w:val="22"/>
        </w:rPr>
      </w:pPr>
    </w:p>
    <w:p w14:paraId="28FE6E63"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La semana pasada, tanto el Brent como el WTI cayeron a mínimos de 8 meses, desde principios de enero, luego de que el Gobierno de Estados Unidos acortó su previsión de puestos de empleo establecidos por las empresas en doce meses hasta marzo. Esta medida impulsó el miedo de los agentes del mercado por una probable recesión en Estados Unidos, que perjudicaría la demanda del principal consumidor de petróleo del mundo.</w:t>
      </w:r>
    </w:p>
    <w:p w14:paraId="43DD9E9C" w14:textId="77777777" w:rsidR="00863CFF" w:rsidRPr="003C293F" w:rsidRDefault="00863CFF" w:rsidP="00863CFF">
      <w:pPr>
        <w:ind w:left="426"/>
        <w:jc w:val="both"/>
        <w:rPr>
          <w:rFonts w:asciiTheme="minorHAnsi" w:hAnsiTheme="minorHAnsi" w:cstheme="minorHAnsi"/>
          <w:sz w:val="22"/>
          <w:szCs w:val="22"/>
        </w:rPr>
      </w:pPr>
    </w:p>
    <w:p w14:paraId="281AADED"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Al respecto, el presidente de la Reserva Federal de Estados Unidos, Jerome Powell, señaló que los riesgos al alza para la inflación han disminuido, mientras que los riesgos bajistas para el empleo han aumentado, razón por la cual habría llegado el momento de ajustar la política monetaria.</w:t>
      </w:r>
    </w:p>
    <w:p w14:paraId="228F1C1D" w14:textId="77777777" w:rsidR="00863CFF" w:rsidRPr="003C293F" w:rsidRDefault="00863CFF" w:rsidP="00863CFF">
      <w:pPr>
        <w:jc w:val="both"/>
        <w:rPr>
          <w:rFonts w:asciiTheme="minorHAnsi" w:hAnsiTheme="minorHAnsi" w:cstheme="minorHAnsi"/>
          <w:sz w:val="22"/>
          <w:szCs w:val="22"/>
        </w:rPr>
      </w:pPr>
    </w:p>
    <w:p w14:paraId="67365528"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Por otro lado, los datos económicos de China, principal importador de petróleo, y una encuesta que mostraba una actividad manufacturera más débil en Asia, Europa y Estados Unidos aumentaron el riesgo de una lenta recuperación económica mundial que reduciría el consumo.</w:t>
      </w:r>
    </w:p>
    <w:p w14:paraId="2A6DCA75" w14:textId="77777777" w:rsidR="00863CFF" w:rsidRPr="003C293F" w:rsidRDefault="00863CFF" w:rsidP="00863CFF">
      <w:pPr>
        <w:pStyle w:val="Prrafodelista"/>
        <w:ind w:left="426"/>
        <w:jc w:val="both"/>
        <w:rPr>
          <w:rFonts w:asciiTheme="minorHAnsi" w:hAnsiTheme="minorHAnsi" w:cstheme="minorHAnsi"/>
          <w:b/>
          <w:sz w:val="22"/>
          <w:szCs w:val="22"/>
        </w:rPr>
      </w:pPr>
    </w:p>
    <w:p w14:paraId="50FCA5B2"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Las importaciones de petróleo de China y el funcionamiento de las refinerías este año continúan registrando una tendencia descendente en comparación con el año 2023 debido a una menor demanda de combustibles.</w:t>
      </w:r>
    </w:p>
    <w:p w14:paraId="076D8A8A" w14:textId="77777777" w:rsidR="00863CFF" w:rsidRPr="003C293F" w:rsidRDefault="00863CFF" w:rsidP="00863CFF">
      <w:pPr>
        <w:pStyle w:val="Prrafodelista"/>
        <w:ind w:left="426"/>
        <w:jc w:val="both"/>
        <w:rPr>
          <w:rFonts w:asciiTheme="minorHAnsi" w:hAnsiTheme="minorHAnsi" w:cstheme="minorHAnsi"/>
          <w:sz w:val="22"/>
          <w:szCs w:val="22"/>
        </w:rPr>
      </w:pPr>
    </w:p>
    <w:p w14:paraId="106880B1" w14:textId="428877D3" w:rsidR="00863CF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En julio 2024, los precios de las viviendas nuevas en China se desplomaron al ritmo más veloz en 9 años, la producción industrial cayó y el desempleo subió. Asimismo, en el segundo trimestre del 2024, China creció un 4,7%, el ritmo de crecimiento más lento desde el primer trimestre de 2023</w:t>
      </w:r>
      <w:r>
        <w:rPr>
          <w:rFonts w:asciiTheme="minorHAnsi" w:hAnsiTheme="minorHAnsi" w:cstheme="minorHAnsi"/>
          <w:sz w:val="22"/>
          <w:szCs w:val="22"/>
        </w:rPr>
        <w:t>.</w:t>
      </w:r>
    </w:p>
    <w:p w14:paraId="0869B4FE" w14:textId="77777777" w:rsidR="00863CFF" w:rsidRPr="003C293F" w:rsidRDefault="00863CFF" w:rsidP="00863CFF">
      <w:pPr>
        <w:ind w:left="426"/>
        <w:jc w:val="both"/>
        <w:rPr>
          <w:rFonts w:asciiTheme="minorHAnsi" w:hAnsiTheme="minorHAnsi" w:cstheme="minorHAnsi"/>
          <w:sz w:val="22"/>
          <w:szCs w:val="22"/>
        </w:rPr>
      </w:pPr>
    </w:p>
    <w:p w14:paraId="141DAE64"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Las exportaciones chinas de gasóleo y gasolina cayeron repentinamente, reflejando el menor procesamiento del crudo debido al debilitamiento de los márgenes de beneficio.</w:t>
      </w:r>
    </w:p>
    <w:p w14:paraId="51B7EC9F" w14:textId="77777777" w:rsidR="00863CFF" w:rsidRPr="003C293F" w:rsidRDefault="00863CFF" w:rsidP="00863CFF">
      <w:pPr>
        <w:jc w:val="both"/>
        <w:rPr>
          <w:rFonts w:asciiTheme="minorHAnsi" w:hAnsiTheme="minorHAnsi" w:cstheme="minorHAnsi"/>
          <w:b/>
          <w:sz w:val="22"/>
          <w:szCs w:val="22"/>
        </w:rPr>
      </w:pPr>
    </w:p>
    <w:p w14:paraId="17FD75BE" w14:textId="77777777" w:rsidR="00863CFF" w:rsidRPr="003C293F" w:rsidRDefault="00863CFF" w:rsidP="00863CFF">
      <w:pPr>
        <w:pStyle w:val="Prrafodelista"/>
        <w:numPr>
          <w:ilvl w:val="0"/>
          <w:numId w:val="30"/>
        </w:numPr>
        <w:ind w:left="426"/>
        <w:contextualSpacing/>
        <w:jc w:val="both"/>
        <w:rPr>
          <w:rFonts w:asciiTheme="minorHAnsi" w:hAnsiTheme="minorHAnsi" w:cstheme="minorHAnsi"/>
          <w:b/>
          <w:bCs/>
          <w:sz w:val="22"/>
          <w:szCs w:val="22"/>
        </w:rPr>
      </w:pPr>
      <w:r w:rsidRPr="003C293F">
        <w:rPr>
          <w:rFonts w:asciiTheme="minorHAnsi" w:hAnsiTheme="minorHAnsi" w:cstheme="minorHAnsi"/>
          <w:b/>
          <w:bCs/>
          <w:sz w:val="22"/>
          <w:szCs w:val="22"/>
        </w:rPr>
        <w:t>Las previsiones de la AIE y la OPEP de la demanda de petróleo y combustibles para el 2024</w:t>
      </w:r>
    </w:p>
    <w:p w14:paraId="719AB5AA" w14:textId="77777777" w:rsidR="00863CFF" w:rsidRPr="003C293F" w:rsidRDefault="00863CFF" w:rsidP="00863CFF">
      <w:pPr>
        <w:jc w:val="both"/>
        <w:rPr>
          <w:rFonts w:asciiTheme="minorHAnsi" w:hAnsiTheme="minorHAnsi" w:cstheme="minorHAnsi"/>
          <w:b/>
          <w:bCs/>
          <w:sz w:val="22"/>
          <w:szCs w:val="22"/>
        </w:rPr>
      </w:pPr>
    </w:p>
    <w:p w14:paraId="57382B13"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La Agencia Internacional de la Energía (AIE) mantuvo sin variaciones su previsión de crecimiento de la demanda mundial de petróleo para 2024, pronosticando que se ralentizará menos de 1 millón de barriles diarios (bpd) en 2024. También señaló que el fin del rebote económico en China después de la pandemia del COVID estaba limitando la demanda mundial de petróleo, pero que las economías avanzadas, especialmente Estados Unidos, donde se consume un tercio de la gasolina mundial, compensaban esa pérdida. Según la AIE, la temporada de conducción de verano en Estados Unidos sería la más fuerte desde la pandemia.</w:t>
      </w:r>
    </w:p>
    <w:p w14:paraId="20D95C89" w14:textId="77777777" w:rsidR="00863CFF" w:rsidRPr="003C293F" w:rsidRDefault="00863CFF" w:rsidP="00863CFF">
      <w:pPr>
        <w:ind w:left="426"/>
        <w:jc w:val="both"/>
        <w:rPr>
          <w:rFonts w:asciiTheme="minorHAnsi" w:hAnsiTheme="minorHAnsi" w:cstheme="minorHAnsi"/>
          <w:sz w:val="22"/>
          <w:szCs w:val="22"/>
        </w:rPr>
      </w:pPr>
    </w:p>
    <w:p w14:paraId="4DBFA512"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Por otro lado, la OPEP, en su último Informe Mensual, recortó su previsión de crecimiento de la demanda mundial de petróleo en 2024, reportando un aumento de 2,11 millones de barriles por día (bpd) en 2024 (desde el 2,25 estimado el mes pasado), hasta un promedio de 104,3 millones de barriles diarios, debido a las cifras más frágiles de lo esperado en el primer semestre del 2024 y a las expectativas para la demanda China.</w:t>
      </w:r>
    </w:p>
    <w:p w14:paraId="4C2C914F" w14:textId="77777777" w:rsidR="00863CFF" w:rsidRPr="003C293F" w:rsidRDefault="00863CFF" w:rsidP="00863CFF">
      <w:pPr>
        <w:ind w:left="426"/>
        <w:jc w:val="both"/>
        <w:rPr>
          <w:rFonts w:asciiTheme="minorHAnsi" w:hAnsiTheme="minorHAnsi" w:cstheme="minorHAnsi"/>
          <w:sz w:val="22"/>
          <w:szCs w:val="22"/>
        </w:rPr>
      </w:pPr>
    </w:p>
    <w:p w14:paraId="64CF6182" w14:textId="77777777" w:rsidR="00863CFF" w:rsidRPr="003C293F" w:rsidRDefault="00863CFF" w:rsidP="00863CFF">
      <w:pPr>
        <w:pStyle w:val="Prrafodelista"/>
        <w:numPr>
          <w:ilvl w:val="0"/>
          <w:numId w:val="30"/>
        </w:numPr>
        <w:ind w:left="426"/>
        <w:contextualSpacing/>
        <w:jc w:val="both"/>
        <w:rPr>
          <w:rFonts w:asciiTheme="minorHAnsi" w:hAnsiTheme="minorHAnsi" w:cstheme="minorHAnsi"/>
          <w:b/>
          <w:bCs/>
          <w:sz w:val="22"/>
          <w:szCs w:val="22"/>
        </w:rPr>
      </w:pPr>
      <w:r w:rsidRPr="003C293F">
        <w:rPr>
          <w:rFonts w:asciiTheme="minorHAnsi" w:hAnsiTheme="minorHAnsi" w:cstheme="minorHAnsi"/>
          <w:b/>
          <w:sz w:val="22"/>
          <w:szCs w:val="22"/>
        </w:rPr>
        <w:lastRenderedPageBreak/>
        <w:t xml:space="preserve">El miedo de los agentes del mercado a una interrupción del suministro mundial, debido al creciente riesgo geopolítico por el aumento de la crisis en el Medio Oriente  </w:t>
      </w:r>
    </w:p>
    <w:p w14:paraId="02DCA1F4" w14:textId="77777777" w:rsidR="00863CFF" w:rsidRPr="003C293F" w:rsidRDefault="00863CFF" w:rsidP="00863CFF">
      <w:pPr>
        <w:pStyle w:val="Prrafodelista"/>
        <w:ind w:left="426"/>
        <w:jc w:val="both"/>
        <w:rPr>
          <w:rFonts w:asciiTheme="minorHAnsi" w:hAnsiTheme="minorHAnsi" w:cstheme="minorHAnsi"/>
          <w:b/>
          <w:bCs/>
          <w:sz w:val="22"/>
          <w:szCs w:val="22"/>
        </w:rPr>
      </w:pPr>
    </w:p>
    <w:p w14:paraId="653DCC6E"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 xml:space="preserve">Después de que Israel llevara a cabo sus primeras acciones en su ofensiva contra </w:t>
      </w:r>
      <w:proofErr w:type="spellStart"/>
      <w:r w:rsidRPr="003C293F">
        <w:rPr>
          <w:rFonts w:asciiTheme="minorHAnsi" w:hAnsiTheme="minorHAnsi" w:cstheme="minorHAnsi"/>
          <w:sz w:val="22"/>
          <w:szCs w:val="22"/>
        </w:rPr>
        <w:t>Ráfah</w:t>
      </w:r>
      <w:proofErr w:type="spellEnd"/>
      <w:r w:rsidRPr="003C293F">
        <w:rPr>
          <w:rFonts w:asciiTheme="minorHAnsi" w:hAnsiTheme="minorHAnsi" w:cstheme="minorHAnsi"/>
          <w:sz w:val="22"/>
          <w:szCs w:val="22"/>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0ED87A0C" w14:textId="77777777" w:rsidR="00863CFF" w:rsidRPr="003C293F" w:rsidRDefault="00863CFF" w:rsidP="00863CFF">
      <w:pPr>
        <w:pStyle w:val="Prrafodelista"/>
        <w:ind w:left="426"/>
        <w:jc w:val="both"/>
        <w:rPr>
          <w:rFonts w:asciiTheme="minorHAnsi" w:hAnsiTheme="minorHAnsi" w:cstheme="minorHAnsi"/>
          <w:sz w:val="22"/>
          <w:szCs w:val="22"/>
        </w:rPr>
      </w:pPr>
    </w:p>
    <w:p w14:paraId="21CEDFEC"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 xml:space="preserve">Según el departamento de Asuntos Estratégicos de la Universidad Israelí de Bar-Ilan, la intervención de fuerzas estadounidenses en la región en las últimas semanas está sirviendo para disuadir a Irán de lanzar su respuesta a la muerte de </w:t>
      </w:r>
      <w:proofErr w:type="spellStart"/>
      <w:r w:rsidRPr="003C293F">
        <w:rPr>
          <w:rFonts w:asciiTheme="minorHAnsi" w:hAnsiTheme="minorHAnsi" w:cstheme="minorHAnsi"/>
          <w:sz w:val="22"/>
          <w:szCs w:val="22"/>
        </w:rPr>
        <w:t>Haniyeh</w:t>
      </w:r>
      <w:proofErr w:type="spellEnd"/>
      <w:r w:rsidRPr="003C293F">
        <w:rPr>
          <w:rFonts w:asciiTheme="minorHAnsi" w:hAnsiTheme="minorHAnsi" w:cstheme="minorHAnsi"/>
          <w:sz w:val="22"/>
          <w:szCs w:val="22"/>
        </w:rPr>
        <w:t xml:space="preserve"> (líder asesinado por los israelitas el 31 de julio, dirigente del Movimiento de Resistencia Islámica que ejerció como primer ministro del décimo Gobierno de Palestina). Jonathan </w:t>
      </w:r>
      <w:proofErr w:type="spellStart"/>
      <w:r w:rsidRPr="003C293F">
        <w:rPr>
          <w:rFonts w:asciiTheme="minorHAnsi" w:hAnsiTheme="minorHAnsi" w:cstheme="minorHAnsi"/>
          <w:sz w:val="22"/>
          <w:szCs w:val="22"/>
        </w:rPr>
        <w:t>Rynhold</w:t>
      </w:r>
      <w:proofErr w:type="spellEnd"/>
      <w:r w:rsidRPr="003C293F">
        <w:rPr>
          <w:rFonts w:asciiTheme="minorHAnsi" w:hAnsiTheme="minorHAnsi" w:cstheme="minorHAnsi"/>
          <w:sz w:val="22"/>
          <w:szCs w:val="22"/>
        </w:rPr>
        <w:t>, director del departamento de Estudios Políticos de Bar-Ilan, aseguró en un mensaje que el principal objetivo de Washington es evitar un enfrentamiento directo entre Israel e Irán.</w:t>
      </w:r>
    </w:p>
    <w:p w14:paraId="1871381A" w14:textId="77777777" w:rsidR="00863CFF" w:rsidRPr="003C293F" w:rsidRDefault="00863CFF" w:rsidP="00863CFF">
      <w:pPr>
        <w:pStyle w:val="Prrafodelista"/>
        <w:ind w:left="426"/>
        <w:jc w:val="both"/>
        <w:rPr>
          <w:rFonts w:asciiTheme="minorHAnsi" w:hAnsiTheme="minorHAnsi" w:cstheme="minorHAnsi"/>
          <w:sz w:val="22"/>
          <w:szCs w:val="22"/>
        </w:rPr>
      </w:pPr>
    </w:p>
    <w:p w14:paraId="4A820F57"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 xml:space="preserve">Asimismo, en la primera semana de agosto, el ejército israelí declaró haber matado al comandante del batallón Al </w:t>
      </w:r>
      <w:proofErr w:type="spellStart"/>
      <w:r w:rsidRPr="003C293F">
        <w:rPr>
          <w:rFonts w:asciiTheme="minorHAnsi" w:hAnsiTheme="minorHAnsi" w:cstheme="minorHAnsi"/>
          <w:sz w:val="22"/>
          <w:szCs w:val="22"/>
        </w:rPr>
        <w:t>Furqan</w:t>
      </w:r>
      <w:proofErr w:type="spellEnd"/>
      <w:r w:rsidRPr="003C293F">
        <w:rPr>
          <w:rFonts w:asciiTheme="minorHAnsi" w:hAnsiTheme="minorHAnsi" w:cstheme="minorHAnsi"/>
          <w:sz w:val="22"/>
          <w:szCs w:val="22"/>
        </w:rPr>
        <w:t xml:space="preserve"> de Hamás, </w:t>
      </w:r>
      <w:proofErr w:type="spellStart"/>
      <w:r w:rsidRPr="003C293F">
        <w:rPr>
          <w:rFonts w:asciiTheme="minorHAnsi" w:hAnsiTheme="minorHAnsi" w:cstheme="minorHAnsi"/>
          <w:sz w:val="22"/>
          <w:szCs w:val="22"/>
        </w:rPr>
        <w:t>Jaber</w:t>
      </w:r>
      <w:proofErr w:type="spellEnd"/>
      <w:r w:rsidRPr="003C293F">
        <w:rPr>
          <w:rFonts w:asciiTheme="minorHAnsi" w:hAnsiTheme="minorHAnsi" w:cstheme="minorHAnsi"/>
          <w:sz w:val="22"/>
          <w:szCs w:val="22"/>
        </w:rPr>
        <w:t xml:space="preserve"> </w:t>
      </w:r>
      <w:proofErr w:type="spellStart"/>
      <w:r w:rsidRPr="003C293F">
        <w:rPr>
          <w:rFonts w:asciiTheme="minorHAnsi" w:hAnsiTheme="minorHAnsi" w:cstheme="minorHAnsi"/>
          <w:sz w:val="22"/>
          <w:szCs w:val="22"/>
        </w:rPr>
        <w:t>Aziz</w:t>
      </w:r>
      <w:proofErr w:type="spellEnd"/>
      <w:r w:rsidRPr="003C293F">
        <w:rPr>
          <w:rFonts w:asciiTheme="minorHAnsi" w:hAnsiTheme="minorHAnsi" w:cstheme="minorHAnsi"/>
          <w:sz w:val="22"/>
          <w:szCs w:val="22"/>
        </w:rPr>
        <w:t>, en el bombardeo contra la escuela Hasán Salame de Ciudad de Gaza, llevado a cabo de forma paralela al ataque contra el colegio Nasser, en dos agresiones en las que murieron al menos 30 personas. Todavía no está claro si Irán tomará represalias contra Israel por este suceso.</w:t>
      </w:r>
    </w:p>
    <w:p w14:paraId="7A936AE6" w14:textId="77777777" w:rsidR="00863CFF" w:rsidRPr="003C293F" w:rsidRDefault="00863CFF" w:rsidP="00863CFF">
      <w:pPr>
        <w:pStyle w:val="Prrafodelista"/>
        <w:ind w:left="426"/>
        <w:jc w:val="both"/>
        <w:rPr>
          <w:rFonts w:asciiTheme="minorHAnsi" w:hAnsiTheme="minorHAnsi" w:cstheme="minorHAnsi"/>
          <w:sz w:val="22"/>
          <w:szCs w:val="22"/>
        </w:rPr>
      </w:pPr>
    </w:p>
    <w:p w14:paraId="0478E1C9"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De igual modo, hace algunas semanas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2C7A829C" w14:textId="77777777" w:rsidR="00863CFF" w:rsidRPr="003C293F" w:rsidRDefault="00863CFF" w:rsidP="00863CFF">
      <w:pPr>
        <w:pStyle w:val="Prrafodelista"/>
        <w:ind w:left="426"/>
        <w:jc w:val="both"/>
        <w:rPr>
          <w:rFonts w:asciiTheme="minorHAnsi" w:hAnsiTheme="minorHAnsi" w:cstheme="minorHAnsi"/>
          <w:sz w:val="22"/>
          <w:szCs w:val="22"/>
        </w:rPr>
      </w:pPr>
    </w:p>
    <w:p w14:paraId="72F1630D" w14:textId="77777777" w:rsidR="00863CFF" w:rsidRPr="003C293F" w:rsidRDefault="00863CFF" w:rsidP="00863CFF">
      <w:pPr>
        <w:pStyle w:val="Prrafodelista"/>
        <w:ind w:left="426"/>
        <w:jc w:val="both"/>
        <w:rPr>
          <w:rFonts w:asciiTheme="minorHAnsi" w:hAnsiTheme="minorHAnsi" w:cstheme="minorHAnsi"/>
          <w:sz w:val="22"/>
          <w:szCs w:val="22"/>
        </w:rPr>
      </w:pPr>
      <w:r w:rsidRPr="003C293F">
        <w:rPr>
          <w:rFonts w:asciiTheme="minorHAnsi" w:hAnsiTheme="minorHAnsi" w:cstheme="minorHAnsi"/>
          <w:sz w:val="22"/>
          <w:szCs w:val="22"/>
        </w:rPr>
        <w:t xml:space="preserve">A la fecha, la guerra de Israel contra Hamás ha ocasionado la pérdida de más de 40 mil vidas en la Franja de Gaza, en su mayoría mujeres y niños. Los </w:t>
      </w:r>
      <w:proofErr w:type="spellStart"/>
      <w:r w:rsidRPr="003C293F">
        <w:rPr>
          <w:rFonts w:asciiTheme="minorHAnsi" w:hAnsiTheme="minorHAnsi" w:cstheme="minorHAnsi"/>
          <w:sz w:val="22"/>
          <w:szCs w:val="22"/>
        </w:rPr>
        <w:t>hutíes</w:t>
      </w:r>
      <w:proofErr w:type="spellEnd"/>
      <w:r w:rsidRPr="003C293F">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w:t>
      </w:r>
    </w:p>
    <w:p w14:paraId="3171D565" w14:textId="77777777" w:rsidR="00863CFF" w:rsidRPr="003C293F" w:rsidRDefault="00863CFF" w:rsidP="00863CFF">
      <w:pPr>
        <w:pStyle w:val="Prrafodelista"/>
        <w:ind w:left="426"/>
        <w:jc w:val="both"/>
        <w:rPr>
          <w:rFonts w:asciiTheme="minorHAnsi" w:hAnsiTheme="minorHAnsi" w:cstheme="minorHAnsi"/>
          <w:sz w:val="22"/>
          <w:szCs w:val="22"/>
        </w:rPr>
      </w:pPr>
    </w:p>
    <w:p w14:paraId="77145E47" w14:textId="77777777" w:rsidR="00863CFF" w:rsidRPr="003C293F" w:rsidRDefault="00863CFF" w:rsidP="00863CFF">
      <w:pPr>
        <w:pStyle w:val="Prrafodelista"/>
        <w:numPr>
          <w:ilvl w:val="0"/>
          <w:numId w:val="30"/>
        </w:numPr>
        <w:ind w:left="426" w:hanging="284"/>
        <w:contextualSpacing/>
        <w:jc w:val="both"/>
        <w:rPr>
          <w:rFonts w:asciiTheme="minorHAnsi" w:hAnsiTheme="minorHAnsi" w:cstheme="minorHAnsi"/>
          <w:b/>
          <w:bCs/>
          <w:sz w:val="22"/>
          <w:szCs w:val="22"/>
        </w:rPr>
      </w:pPr>
      <w:r w:rsidRPr="003C293F">
        <w:rPr>
          <w:rFonts w:asciiTheme="minorHAnsi" w:hAnsiTheme="minorHAnsi" w:cstheme="minorHAnsi"/>
          <w:b/>
          <w:bCs/>
          <w:sz w:val="22"/>
          <w:szCs w:val="22"/>
        </w:rPr>
        <w:t>La decisión de la FED de mantener las tasas de interés en Estados Unidos dejando abierta la posibilidad de reducirlas próximamente</w:t>
      </w:r>
    </w:p>
    <w:p w14:paraId="6371BAC8" w14:textId="77777777" w:rsidR="00863CFF" w:rsidRPr="003C293F" w:rsidRDefault="00863CFF" w:rsidP="00863CFF">
      <w:pPr>
        <w:jc w:val="both"/>
        <w:rPr>
          <w:rFonts w:asciiTheme="minorHAnsi" w:hAnsiTheme="minorHAnsi" w:cstheme="minorHAnsi"/>
          <w:b/>
          <w:bCs/>
          <w:sz w:val="22"/>
          <w:szCs w:val="22"/>
        </w:rPr>
      </w:pPr>
    </w:p>
    <w:p w14:paraId="1D178790"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En su última reunión del 31 de julio, la FED decidió mantener los tipos de interés sin cambios, señalando que, en los últimos meses, se han producido algunos avances hacia el objetivo de inflación del 2%. Asimismo, estará al tanto de información como el IPC anual, los informes de empleo de julio y agosto, así como del índice de precios PCE de este mes.</w:t>
      </w:r>
    </w:p>
    <w:p w14:paraId="2AB87149" w14:textId="77777777" w:rsidR="00863CFF" w:rsidRPr="003C293F" w:rsidRDefault="00863CFF" w:rsidP="00863CFF">
      <w:pPr>
        <w:jc w:val="both"/>
        <w:rPr>
          <w:rFonts w:asciiTheme="minorHAnsi" w:hAnsiTheme="minorHAnsi" w:cstheme="minorHAnsi"/>
          <w:sz w:val="22"/>
          <w:szCs w:val="22"/>
        </w:rPr>
      </w:pPr>
    </w:p>
    <w:p w14:paraId="00DECC6C" w14:textId="77777777" w:rsidR="00863CFF" w:rsidRPr="003C293F" w:rsidRDefault="00863CFF" w:rsidP="00863CFF">
      <w:pPr>
        <w:ind w:left="426"/>
        <w:jc w:val="both"/>
        <w:rPr>
          <w:rFonts w:asciiTheme="minorHAnsi" w:hAnsiTheme="minorHAnsi" w:cstheme="minorHAnsi"/>
          <w:sz w:val="22"/>
          <w:szCs w:val="22"/>
        </w:rPr>
      </w:pPr>
      <w:r w:rsidRPr="003C293F">
        <w:rPr>
          <w:rFonts w:asciiTheme="minorHAnsi" w:hAnsiTheme="minorHAnsi" w:cstheme="minorHAnsi"/>
          <w:sz w:val="22"/>
          <w:szCs w:val="22"/>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5A5137DC"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8D8C69D" w14:textId="2F48711E" w:rsidR="00863CFF" w:rsidRDefault="00863CFF" w:rsidP="00D87FA1">
      <w:pPr>
        <w:ind w:left="426"/>
        <w:jc w:val="both"/>
        <w:rPr>
          <w:rFonts w:ascii="Poppins" w:hAnsi="Poppins" w:cs="Poppins"/>
          <w:sz w:val="18"/>
          <w:szCs w:val="18"/>
        </w:rPr>
      </w:pPr>
    </w:p>
    <w:p w14:paraId="09285DF3" w14:textId="6CA8E2C8" w:rsidR="00863CFF" w:rsidRDefault="00863CFF" w:rsidP="00D87FA1">
      <w:pPr>
        <w:ind w:left="426"/>
        <w:jc w:val="both"/>
        <w:rPr>
          <w:rFonts w:ascii="Poppins" w:hAnsi="Poppins" w:cs="Poppins"/>
          <w:sz w:val="18"/>
          <w:szCs w:val="18"/>
        </w:rPr>
      </w:pPr>
    </w:p>
    <w:p w14:paraId="2610F2A4" w14:textId="73394B47" w:rsidR="00863CFF" w:rsidRDefault="00863CFF" w:rsidP="00D87FA1">
      <w:pPr>
        <w:ind w:left="426"/>
        <w:jc w:val="both"/>
        <w:rPr>
          <w:rFonts w:ascii="Poppins" w:hAnsi="Poppins" w:cs="Poppins"/>
          <w:sz w:val="18"/>
          <w:szCs w:val="18"/>
        </w:rPr>
      </w:pPr>
    </w:p>
    <w:p w14:paraId="7809CA7E" w14:textId="2AAA2C9A" w:rsidR="00863CFF" w:rsidRDefault="00863CFF" w:rsidP="00D87FA1">
      <w:pPr>
        <w:ind w:left="426"/>
        <w:jc w:val="both"/>
        <w:rPr>
          <w:rFonts w:ascii="Poppins" w:hAnsi="Poppins" w:cs="Poppins"/>
          <w:sz w:val="18"/>
          <w:szCs w:val="18"/>
        </w:rPr>
      </w:pPr>
    </w:p>
    <w:p w14:paraId="5D7DC7EA" w14:textId="3D6B5026" w:rsidR="00863CFF" w:rsidRDefault="00863CFF"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 xml:space="preserve">fijó la Banda de Precios y el Margen Comercial para el Petróleo Industrial </w:t>
      </w:r>
      <w:proofErr w:type="spellStart"/>
      <w:r w:rsidR="004B78EA" w:rsidRPr="0096213B">
        <w:rPr>
          <w:rFonts w:ascii="Poppins" w:hAnsi="Poppins" w:cs="Poppins"/>
          <w:sz w:val="18"/>
          <w:szCs w:val="18"/>
        </w:rPr>
        <w:t>N°</w:t>
      </w:r>
      <w:proofErr w:type="spellEnd"/>
      <w:r w:rsidR="004B78EA" w:rsidRPr="0096213B">
        <w:rPr>
          <w:rFonts w:ascii="Poppins" w:hAnsi="Poppins" w:cs="Poppins"/>
          <w:sz w:val="18"/>
          <w:szCs w:val="18"/>
        </w:rPr>
        <w:t xml:space="preserve">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2150EC4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00180815" w:rsidRPr="0096213B">
        <w:rPr>
          <w:rFonts w:ascii="Poppins" w:hAnsi="Poppins" w:cs="Poppins"/>
          <w:sz w:val="18"/>
          <w:szCs w:val="18"/>
        </w:rPr>
        <w:t>-2024-OS/GRT</w:t>
      </w:r>
      <w:r w:rsidR="00EE54A8" w:rsidRPr="0096213B">
        <w:rPr>
          <w:rFonts w:ascii="Poppins" w:hAnsi="Poppins" w:cs="Poppins"/>
          <w:sz w:val="18"/>
          <w:szCs w:val="18"/>
        </w:rPr>
        <w:t xml:space="preserve"> y </w:t>
      </w:r>
      <w:proofErr w:type="spellStart"/>
      <w:r w:rsidR="00EE54A8" w:rsidRPr="0096213B">
        <w:rPr>
          <w:rFonts w:ascii="Poppins" w:hAnsi="Poppins" w:cs="Poppins"/>
          <w:sz w:val="18"/>
          <w:szCs w:val="18"/>
        </w:rPr>
        <w:t>N°</w:t>
      </w:r>
      <w:proofErr w:type="spellEnd"/>
      <w:r w:rsidR="00EE54A8" w:rsidRPr="0096213B">
        <w:rPr>
          <w:rFonts w:ascii="Poppins" w:hAnsi="Poppins" w:cs="Poppins"/>
          <w:sz w:val="18"/>
          <w:szCs w:val="18"/>
        </w:rPr>
        <w:t xml:space="preserve"> 034-2024-OS/</w:t>
      </w:r>
      <w:r w:rsidR="00495DAE" w:rsidRPr="0096213B">
        <w:rPr>
          <w:rFonts w:ascii="Poppins" w:hAnsi="Poppins" w:cs="Poppins"/>
          <w:sz w:val="18"/>
          <w:szCs w:val="18"/>
        </w:rPr>
        <w:t>GRT,</w:t>
      </w:r>
      <w:r w:rsidRPr="0096213B">
        <w:rPr>
          <w:rFonts w:ascii="Poppins" w:hAnsi="Poppins" w:cs="Poppins"/>
          <w:sz w:val="18"/>
          <w:szCs w:val="18"/>
        </w:rPr>
        <w:t xml:space="preserve"> le corresponde al MINEM publicar los Factores de Aportación y/o Compensación vigentes desde el martes </w:t>
      </w:r>
      <w:r w:rsidR="00D87FA1">
        <w:rPr>
          <w:rFonts w:ascii="Poppins" w:hAnsi="Poppins" w:cs="Poppins"/>
          <w:sz w:val="18"/>
          <w:szCs w:val="18"/>
        </w:rPr>
        <w:t>2</w:t>
      </w:r>
      <w:r w:rsidR="00496BF7">
        <w:rPr>
          <w:rFonts w:ascii="Poppins" w:hAnsi="Poppins" w:cs="Poppins"/>
          <w:sz w:val="18"/>
          <w:szCs w:val="18"/>
        </w:rPr>
        <w:t>7</w:t>
      </w:r>
      <w:r w:rsidRPr="0096213B">
        <w:rPr>
          <w:rFonts w:ascii="Poppins" w:hAnsi="Poppins" w:cs="Poppins"/>
          <w:sz w:val="18"/>
          <w:szCs w:val="18"/>
        </w:rPr>
        <w:t xml:space="preserve"> al </w:t>
      </w:r>
      <w:r w:rsidR="00496BF7">
        <w:rPr>
          <w:rFonts w:ascii="Poppins" w:hAnsi="Poppins" w:cs="Poppins"/>
          <w:sz w:val="18"/>
          <w:szCs w:val="18"/>
        </w:rPr>
        <w:t>jueves</w:t>
      </w:r>
      <w:r w:rsidRPr="0096213B">
        <w:rPr>
          <w:rFonts w:ascii="Poppins" w:hAnsi="Poppins" w:cs="Poppins"/>
          <w:sz w:val="18"/>
          <w:szCs w:val="18"/>
        </w:rPr>
        <w:t xml:space="preserve"> </w:t>
      </w:r>
      <w:r w:rsidR="00D87FA1">
        <w:rPr>
          <w:rFonts w:ascii="Poppins" w:hAnsi="Poppins" w:cs="Poppins"/>
          <w:sz w:val="18"/>
          <w:szCs w:val="18"/>
        </w:rPr>
        <w:t>2</w:t>
      </w:r>
      <w:r w:rsidR="00496BF7">
        <w:rPr>
          <w:rFonts w:ascii="Poppins" w:hAnsi="Poppins" w:cs="Poppins"/>
          <w:sz w:val="18"/>
          <w:szCs w:val="18"/>
        </w:rPr>
        <w:t>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EE54A8" w:rsidRPr="0096213B">
        <w:rPr>
          <w:rFonts w:ascii="Poppins" w:hAnsi="Poppins" w:cs="Poppins"/>
          <w:sz w:val="18"/>
          <w:szCs w:val="18"/>
        </w:rPr>
        <w:t>agost</w:t>
      </w:r>
      <w:r w:rsidR="00774F89" w:rsidRPr="0096213B">
        <w:rPr>
          <w:rFonts w:ascii="Poppins" w:hAnsi="Poppins" w:cs="Poppins"/>
          <w:sz w:val="18"/>
          <w:szCs w:val="18"/>
        </w:rPr>
        <w:t>o</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25A2D856"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496BF7">
        <w:rPr>
          <w:rFonts w:ascii="Poppins" w:hAnsi="Poppins" w:cs="Poppins"/>
          <w:sz w:val="18"/>
          <w:szCs w:val="18"/>
        </w:rPr>
        <w:t>23</w:t>
      </w:r>
      <w:r w:rsidR="00C7098F" w:rsidRPr="0096213B">
        <w:rPr>
          <w:rFonts w:ascii="Poppins" w:hAnsi="Poppins" w:cs="Poppins"/>
          <w:sz w:val="18"/>
          <w:szCs w:val="18"/>
        </w:rPr>
        <w:t>.0</w:t>
      </w:r>
      <w:r w:rsidR="00495DAE" w:rsidRPr="0096213B">
        <w:rPr>
          <w:rFonts w:ascii="Poppins" w:hAnsi="Poppins" w:cs="Poppins"/>
          <w:sz w:val="18"/>
          <w:szCs w:val="18"/>
        </w:rPr>
        <w:t>8</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D87FA1">
        <w:rPr>
          <w:rFonts w:ascii="Poppins" w:hAnsi="Poppins" w:cs="Poppins"/>
          <w:sz w:val="18"/>
          <w:szCs w:val="18"/>
        </w:rPr>
        <w:t>0</w:t>
      </w:r>
      <w:r w:rsidR="00496BF7">
        <w:rPr>
          <w:rFonts w:ascii="Poppins" w:hAnsi="Poppins" w:cs="Poppins"/>
          <w:sz w:val="18"/>
          <w:szCs w:val="18"/>
        </w:rPr>
        <w:t>5</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496BF7">
        <w:rPr>
          <w:rFonts w:ascii="Poppins" w:hAnsi="Poppins" w:cs="Poppins"/>
          <w:sz w:val="18"/>
          <w:szCs w:val="18"/>
        </w:rPr>
        <w:t>3</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496BF7">
        <w:rPr>
          <w:rFonts w:ascii="Poppins" w:hAnsi="Poppins" w:cs="Poppins"/>
          <w:sz w:val="18"/>
          <w:szCs w:val="18"/>
        </w:rPr>
        <w:t>6</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495DAE" w:rsidRPr="0096213B">
        <w:rPr>
          <w:rFonts w:ascii="Poppins" w:hAnsi="Poppins" w:cs="Poppins"/>
          <w:sz w:val="18"/>
          <w:szCs w:val="18"/>
        </w:rPr>
        <w:t>0</w:t>
      </w:r>
      <w:r w:rsidR="009A57AA">
        <w:rPr>
          <w:rFonts w:ascii="Poppins" w:hAnsi="Poppins" w:cs="Poppins"/>
          <w:sz w:val="18"/>
          <w:szCs w:val="18"/>
        </w:rPr>
        <w:t>3</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9A57AA">
        <w:rPr>
          <w:rFonts w:ascii="Poppins" w:hAnsi="Poppins" w:cs="Poppins"/>
          <w:sz w:val="18"/>
          <w:szCs w:val="18"/>
        </w:rPr>
        <w:t>0</w:t>
      </w:r>
      <w:r w:rsidR="00495DAE" w:rsidRPr="0096213B">
        <w:rPr>
          <w:rFonts w:ascii="Poppins" w:hAnsi="Poppins" w:cs="Poppins"/>
          <w:sz w:val="18"/>
          <w:szCs w:val="18"/>
        </w:rPr>
        <w:t>2</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9A57AA">
        <w:rPr>
          <w:rFonts w:ascii="Poppins" w:hAnsi="Poppins" w:cs="Poppins"/>
          <w:sz w:val="18"/>
          <w:szCs w:val="18"/>
        </w:rPr>
        <w:t>0</w:t>
      </w:r>
      <w:r w:rsidR="00702CB9">
        <w:rPr>
          <w:rFonts w:ascii="Poppins" w:hAnsi="Poppins" w:cs="Poppins"/>
          <w:sz w:val="18"/>
          <w:szCs w:val="18"/>
        </w:rPr>
        <w:t>3</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9A57AA">
        <w:rPr>
          <w:rFonts w:ascii="Poppins" w:hAnsi="Poppins" w:cs="Poppins"/>
          <w:sz w:val="18"/>
          <w:szCs w:val="18"/>
        </w:rPr>
        <w:t>03</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76727BF0" w14:textId="05E2832F" w:rsidR="00A16F9F" w:rsidRPr="0096213B" w:rsidRDefault="00A16F9F" w:rsidP="00B02F62">
      <w:pPr>
        <w:rPr>
          <w:rFonts w:ascii="Poppins" w:hAnsi="Poppins" w:cs="Poppins"/>
          <w:sz w:val="18"/>
          <w:szCs w:val="18"/>
        </w:rPr>
      </w:pPr>
    </w:p>
    <w:p w14:paraId="5EF1D8E7" w14:textId="1F2E362A" w:rsidR="00AD4A1F" w:rsidRPr="0096213B" w:rsidRDefault="00AD4A1F" w:rsidP="00B02F62">
      <w:pPr>
        <w:rPr>
          <w:rFonts w:ascii="Poppins" w:hAnsi="Poppins" w:cs="Poppins"/>
          <w:sz w:val="18"/>
          <w:szCs w:val="18"/>
        </w:rPr>
      </w:pPr>
    </w:p>
    <w:p w14:paraId="0A8F5591" w14:textId="212BF676" w:rsidR="00B02F62" w:rsidRDefault="00B02F62" w:rsidP="00B02F62">
      <w:pPr>
        <w:rPr>
          <w:rFonts w:ascii="Poppins" w:hAnsi="Poppins" w:cs="Poppins"/>
          <w:sz w:val="18"/>
          <w:szCs w:val="18"/>
        </w:rPr>
      </w:pPr>
    </w:p>
    <w:p w14:paraId="2E9ACFA1" w14:textId="041C2743" w:rsidR="00863CFF" w:rsidRDefault="00863CFF" w:rsidP="00B02F62">
      <w:pPr>
        <w:rPr>
          <w:rFonts w:ascii="Poppins" w:hAnsi="Poppins" w:cs="Poppins"/>
          <w:sz w:val="18"/>
          <w:szCs w:val="18"/>
        </w:rPr>
      </w:pPr>
    </w:p>
    <w:p w14:paraId="471AEBAA" w14:textId="6ECFA6AE" w:rsidR="00863CFF" w:rsidRDefault="00863CFF" w:rsidP="00B02F62">
      <w:pPr>
        <w:rPr>
          <w:rFonts w:ascii="Poppins" w:hAnsi="Poppins" w:cs="Poppins"/>
          <w:sz w:val="18"/>
          <w:szCs w:val="18"/>
        </w:rPr>
      </w:pPr>
    </w:p>
    <w:p w14:paraId="2F3A5DD1" w14:textId="6D2DF776" w:rsidR="00863CFF" w:rsidRDefault="00863CFF" w:rsidP="00B02F62">
      <w:pPr>
        <w:rPr>
          <w:rFonts w:ascii="Poppins" w:hAnsi="Poppins" w:cs="Poppins"/>
          <w:sz w:val="18"/>
          <w:szCs w:val="18"/>
        </w:rPr>
      </w:pPr>
    </w:p>
    <w:p w14:paraId="177B5039" w14:textId="70C152FA" w:rsidR="00863CFF" w:rsidRDefault="00863CFF" w:rsidP="00B02F62">
      <w:pPr>
        <w:rPr>
          <w:rFonts w:ascii="Poppins" w:hAnsi="Poppins" w:cs="Poppins"/>
          <w:sz w:val="18"/>
          <w:szCs w:val="18"/>
        </w:rPr>
      </w:pPr>
    </w:p>
    <w:p w14:paraId="43992A78" w14:textId="65FF1BED" w:rsidR="00863CFF" w:rsidRDefault="00863CFF" w:rsidP="00B02F62">
      <w:pPr>
        <w:rPr>
          <w:rFonts w:ascii="Poppins" w:hAnsi="Poppins" w:cs="Poppins"/>
          <w:sz w:val="18"/>
          <w:szCs w:val="18"/>
        </w:rPr>
      </w:pPr>
    </w:p>
    <w:p w14:paraId="06DF473E" w14:textId="3EBCB777" w:rsidR="00863CFF" w:rsidRDefault="00863CFF" w:rsidP="00B02F62">
      <w:pPr>
        <w:rPr>
          <w:rFonts w:ascii="Poppins" w:hAnsi="Poppins" w:cs="Poppins"/>
          <w:sz w:val="18"/>
          <w:szCs w:val="18"/>
        </w:rPr>
      </w:pPr>
    </w:p>
    <w:p w14:paraId="68D734EF" w14:textId="23169376" w:rsidR="00863CFF" w:rsidRDefault="00863CFF" w:rsidP="00B02F62">
      <w:pPr>
        <w:rPr>
          <w:rFonts w:ascii="Poppins" w:hAnsi="Poppins" w:cs="Poppins"/>
          <w:sz w:val="18"/>
          <w:szCs w:val="18"/>
        </w:rPr>
      </w:pPr>
    </w:p>
    <w:p w14:paraId="3423D927" w14:textId="5E4E8B5A" w:rsidR="00863CFF" w:rsidRDefault="00863CFF" w:rsidP="00B02F62">
      <w:pPr>
        <w:rPr>
          <w:rFonts w:ascii="Poppins" w:hAnsi="Poppins" w:cs="Poppins"/>
          <w:sz w:val="18"/>
          <w:szCs w:val="18"/>
        </w:rPr>
      </w:pPr>
    </w:p>
    <w:p w14:paraId="0644E1E7" w14:textId="1B9B051B" w:rsidR="00863CFF" w:rsidRDefault="00863CFF" w:rsidP="00B02F62">
      <w:pPr>
        <w:rPr>
          <w:rFonts w:ascii="Poppins" w:hAnsi="Poppins" w:cs="Poppins"/>
          <w:sz w:val="18"/>
          <w:szCs w:val="18"/>
        </w:rPr>
      </w:pPr>
    </w:p>
    <w:p w14:paraId="251F9A67" w14:textId="487320BB" w:rsidR="00863CFF" w:rsidRDefault="00863CFF" w:rsidP="00B02F62">
      <w:pPr>
        <w:rPr>
          <w:rFonts w:ascii="Poppins" w:hAnsi="Poppins" w:cs="Poppins"/>
          <w:sz w:val="18"/>
          <w:szCs w:val="18"/>
        </w:rPr>
      </w:pPr>
    </w:p>
    <w:p w14:paraId="03BB926F" w14:textId="77777777" w:rsidR="00863CFF" w:rsidRPr="0096213B" w:rsidRDefault="00863CFF"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13D1D8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63CFF">
        <w:rPr>
          <w:rFonts w:ascii="Poppins" w:hAnsi="Poppins" w:cs="Poppins"/>
          <w:sz w:val="18"/>
          <w:szCs w:val="18"/>
        </w:rPr>
        <w:t>12</w:t>
      </w:r>
      <w:r w:rsidR="00336251" w:rsidRPr="0096213B">
        <w:rPr>
          <w:rFonts w:ascii="Poppins" w:hAnsi="Poppins" w:cs="Poppins"/>
          <w:sz w:val="18"/>
          <w:szCs w:val="18"/>
        </w:rPr>
        <w:t>/</w:t>
      </w:r>
      <w:r w:rsidR="001457B2" w:rsidRPr="0096213B">
        <w:rPr>
          <w:rFonts w:ascii="Poppins" w:hAnsi="Poppins" w:cs="Poppins"/>
          <w:sz w:val="18"/>
          <w:szCs w:val="18"/>
        </w:rPr>
        <w:t>0</w:t>
      </w:r>
      <w:r w:rsidR="00426575">
        <w:rPr>
          <w:rFonts w:ascii="Poppins" w:hAnsi="Poppins" w:cs="Poppins"/>
          <w:sz w:val="18"/>
          <w:szCs w:val="18"/>
        </w:rPr>
        <w:t>8</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863CFF">
        <w:rPr>
          <w:rFonts w:ascii="Poppins" w:hAnsi="Poppins" w:cs="Poppins"/>
          <w:sz w:val="18"/>
          <w:szCs w:val="18"/>
        </w:rPr>
        <w:t>23</w:t>
      </w:r>
      <w:r w:rsidR="00336251" w:rsidRPr="0096213B">
        <w:rPr>
          <w:rFonts w:ascii="Poppins" w:hAnsi="Poppins" w:cs="Poppins"/>
          <w:sz w:val="18"/>
          <w:szCs w:val="18"/>
        </w:rPr>
        <w:t>/</w:t>
      </w:r>
      <w:r w:rsidR="0003140D" w:rsidRPr="0096213B">
        <w:rPr>
          <w:rFonts w:ascii="Poppins" w:hAnsi="Poppins" w:cs="Poppins"/>
          <w:sz w:val="18"/>
          <w:szCs w:val="18"/>
        </w:rPr>
        <w:t>0</w:t>
      </w:r>
      <w:r w:rsidR="00735C6C" w:rsidRPr="0096213B">
        <w:rPr>
          <w:rFonts w:ascii="Poppins" w:hAnsi="Poppins" w:cs="Poppins"/>
          <w:sz w:val="18"/>
          <w:szCs w:val="18"/>
        </w:rPr>
        <w:t>8</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92D99D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63CFF">
        <w:rPr>
          <w:rFonts w:ascii="Poppins" w:hAnsi="Poppins" w:cs="Poppins"/>
          <w:b/>
          <w:bCs/>
          <w:i/>
          <w:sz w:val="18"/>
          <w:szCs w:val="18"/>
          <w:lang w:eastAsia="es-PE"/>
        </w:rPr>
        <w:t>26</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B877D1" w:rsidRPr="0096213B">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7F568825" w:rsidR="00A75228" w:rsidRPr="0096213B" w:rsidRDefault="00702CB9" w:rsidP="00336251">
      <w:pPr>
        <w:pBdr>
          <w:top w:val="single" w:sz="4" w:space="1" w:color="auto"/>
          <w:bottom w:val="single" w:sz="4" w:space="1" w:color="auto"/>
        </w:pBdr>
        <w:jc w:val="center"/>
        <w:rPr>
          <w:rFonts w:ascii="Poppins" w:hAnsi="Poppins" w:cs="Poppins"/>
          <w:bCs/>
        </w:rPr>
      </w:pPr>
      <w:r w:rsidRPr="004A1393">
        <w:rPr>
          <w:noProof/>
        </w:rPr>
        <w:drawing>
          <wp:inline distT="0" distB="0" distL="0" distR="0" wp14:anchorId="35B1E6C2" wp14:editId="40533F6E">
            <wp:extent cx="5490845" cy="2750515"/>
            <wp:effectExtent l="0" t="0" r="0" b="0"/>
            <wp:docPr id="1418032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32123" name=""/>
                    <pic:cNvPicPr/>
                  </pic:nvPicPr>
                  <pic:blipFill>
                    <a:blip r:embed="rId17"/>
                    <a:stretch>
                      <a:fillRect/>
                    </a:stretch>
                  </pic:blipFill>
                  <pic:spPr>
                    <a:xfrm>
                      <a:off x="0" y="0"/>
                      <a:ext cx="5494988" cy="275259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2F0CDA2"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426575">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850776" w:rsidRPr="0096213B">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y 8</w:t>
      </w:r>
      <w:r w:rsidR="00426575">
        <w:rPr>
          <w:rFonts w:ascii="Poppins" w:hAnsi="Poppins" w:cs="Poppins"/>
          <w:sz w:val="18"/>
          <w:szCs w:val="18"/>
        </w:rPr>
        <w:t>6</w:t>
      </w:r>
      <w:r w:rsidR="00FB4E6A" w:rsidRPr="0096213B">
        <w:rPr>
          <w:rFonts w:ascii="Poppins" w:hAnsi="Poppins" w:cs="Poppins"/>
          <w:sz w:val="18"/>
          <w:szCs w:val="18"/>
        </w:rPr>
        <w:t>%</w:t>
      </w:r>
      <w:r w:rsidR="00850776"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A57AA">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2573F3CD"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9A57AA">
        <w:rPr>
          <w:rFonts w:ascii="Poppins" w:hAnsi="Poppins" w:cs="Poppins"/>
          <w:sz w:val="18"/>
          <w:szCs w:val="18"/>
        </w:rPr>
        <w:t>26</w:t>
      </w:r>
      <w:r w:rsidRPr="0096213B">
        <w:rPr>
          <w:rFonts w:ascii="Poppins" w:hAnsi="Poppins" w:cs="Poppins"/>
          <w:sz w:val="18"/>
          <w:szCs w:val="18"/>
        </w:rPr>
        <w:t xml:space="preserve"> de </w:t>
      </w:r>
      <w:r w:rsidR="00FB4E6A" w:rsidRPr="0096213B">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046A2287" w14:textId="54B5361A" w:rsidR="00FC618C" w:rsidRPr="0096213B" w:rsidRDefault="00FC618C" w:rsidP="00FC618C">
      <w:pPr>
        <w:jc w:val="both"/>
        <w:rPr>
          <w:rFonts w:ascii="Poppins" w:hAnsi="Poppins" w:cs="Poppins"/>
          <w:sz w:val="18"/>
          <w:szCs w:val="18"/>
        </w:rPr>
      </w:pPr>
      <w:r w:rsidRPr="0096213B">
        <w:rPr>
          <w:rFonts w:ascii="Poppins" w:hAnsi="Poppins" w:cs="Poppins"/>
          <w:sz w:val="18"/>
          <w:szCs w:val="18"/>
        </w:rPr>
        <w:lastRenderedPageBreak/>
        <w:t xml:space="preserve"> 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DCDCA4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9A57AA">
        <w:rPr>
          <w:rFonts w:ascii="Poppins" w:hAnsi="Poppins" w:cs="Poppins"/>
          <w:sz w:val="18"/>
          <w:szCs w:val="18"/>
        </w:rPr>
        <w:t>5</w:t>
      </w:r>
      <w:r w:rsidR="00A33C99" w:rsidRPr="0096213B">
        <w:rPr>
          <w:rFonts w:ascii="Poppins" w:hAnsi="Poppins" w:cs="Poppins"/>
          <w:sz w:val="18"/>
          <w:szCs w:val="18"/>
        </w:rPr>
        <w:t>,</w:t>
      </w:r>
      <w:r w:rsidR="009A57AA">
        <w:rPr>
          <w:rFonts w:ascii="Poppins" w:hAnsi="Poppins" w:cs="Poppins"/>
          <w:sz w:val="18"/>
          <w:szCs w:val="18"/>
        </w:rPr>
        <w:t>7</w:t>
      </w:r>
      <w:r w:rsidR="00426575">
        <w:rPr>
          <w:rFonts w:ascii="Poppins" w:hAnsi="Poppins" w:cs="Poppins"/>
          <w:sz w:val="18"/>
          <w:szCs w:val="18"/>
        </w:rPr>
        <w:t>3</w:t>
      </w:r>
      <w:r w:rsidR="00A33C99" w:rsidRPr="0096213B">
        <w:rPr>
          <w:rFonts w:ascii="Poppins" w:hAnsi="Poppins" w:cs="Poppins"/>
          <w:sz w:val="18"/>
          <w:szCs w:val="18"/>
        </w:rPr>
        <w:t xml:space="preserve"> cent$/galón equivalente a </w:t>
      </w:r>
      <w:r w:rsidR="009A57AA">
        <w:rPr>
          <w:rFonts w:ascii="Poppins" w:hAnsi="Poppins" w:cs="Poppins"/>
          <w:sz w:val="18"/>
          <w:szCs w:val="18"/>
        </w:rPr>
        <w:t>6</w:t>
      </w:r>
      <w:r w:rsidR="00A33C99" w:rsidRPr="0096213B">
        <w:rPr>
          <w:rFonts w:ascii="Poppins" w:hAnsi="Poppins" w:cs="Poppins"/>
          <w:sz w:val="18"/>
          <w:szCs w:val="18"/>
        </w:rPr>
        <w:t>,</w:t>
      </w:r>
      <w:r w:rsidR="009A57AA">
        <w:rPr>
          <w:rFonts w:ascii="Poppins" w:hAnsi="Poppins" w:cs="Poppins"/>
          <w:sz w:val="18"/>
          <w:szCs w:val="18"/>
        </w:rPr>
        <w:t>61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B81982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9A57AA">
        <w:rPr>
          <w:rFonts w:ascii="Poppins" w:hAnsi="Poppins" w:cs="Poppins"/>
          <w:sz w:val="18"/>
          <w:szCs w:val="18"/>
        </w:rPr>
        <w:t>62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E64857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426575">
        <w:rPr>
          <w:rFonts w:ascii="Poppins" w:hAnsi="Poppins" w:cs="Poppins"/>
          <w:sz w:val="18"/>
          <w:szCs w:val="18"/>
        </w:rPr>
        <w:t>7</w:t>
      </w:r>
      <w:r w:rsidR="009A57AA">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4C05D0" w:rsidRPr="0096213B">
        <w:rPr>
          <w:rFonts w:ascii="Poppins" w:hAnsi="Poppins" w:cs="Poppins"/>
          <w:sz w:val="18"/>
          <w:szCs w:val="18"/>
        </w:rPr>
        <w:t>6</w:t>
      </w:r>
      <w:r w:rsidR="009A57AA">
        <w:rPr>
          <w:rFonts w:ascii="Poppins" w:hAnsi="Poppins" w:cs="Poppins"/>
          <w:sz w:val="18"/>
          <w:szCs w:val="18"/>
        </w:rPr>
        <w:t>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6AA4835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9A57AA">
        <w:rPr>
          <w:rFonts w:ascii="Poppins" w:hAnsi="Poppins" w:cs="Poppins"/>
          <w:sz w:val="18"/>
          <w:szCs w:val="18"/>
        </w:rPr>
        <w:t>39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33C99" w:rsidRPr="0096213B">
        <w:rPr>
          <w:rFonts w:ascii="Poppins" w:hAnsi="Poppins" w:cs="Poppins"/>
          <w:sz w:val="18"/>
          <w:szCs w:val="18"/>
        </w:rPr>
        <w:t>7,</w:t>
      </w:r>
      <w:r w:rsidR="009A57AA">
        <w:rPr>
          <w:rFonts w:ascii="Poppins" w:hAnsi="Poppins" w:cs="Poppins"/>
          <w:sz w:val="18"/>
          <w:szCs w:val="18"/>
        </w:rPr>
        <w:t>5</w:t>
      </w:r>
      <w:r w:rsidR="00426575">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3248097"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9A57AA">
        <w:rPr>
          <w:rFonts w:ascii="Poppins" w:hAnsi="Poppins" w:cs="Poppins"/>
          <w:sz w:val="18"/>
          <w:szCs w:val="18"/>
        </w:rPr>
        <w:t>62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F75B3B7"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w:t>
      </w:r>
      <w:r w:rsidR="00515BE2">
        <w:rPr>
          <w:rFonts w:ascii="Poppins" w:hAnsi="Poppins" w:cs="Poppins"/>
          <w:bCs/>
          <w:sz w:val="18"/>
          <w:szCs w:val="18"/>
        </w:rPr>
        <w:t>2</w:t>
      </w:r>
      <w:r w:rsidRPr="0096213B">
        <w:rPr>
          <w:rFonts w:ascii="Poppins" w:hAnsi="Poppins" w:cs="Poppins"/>
          <w:bCs/>
          <w:sz w:val="18"/>
          <w:szCs w:val="18"/>
        </w:rPr>
        <w:t>,</w:t>
      </w:r>
      <w:r w:rsidR="00515BE2">
        <w:rPr>
          <w:rFonts w:ascii="Poppins" w:hAnsi="Poppins" w:cs="Poppins"/>
          <w:bCs/>
          <w:sz w:val="18"/>
          <w:szCs w:val="18"/>
        </w:rPr>
        <w:t>4</w:t>
      </w:r>
      <w:r w:rsidR="009A57AA">
        <w:rPr>
          <w:rFonts w:ascii="Poppins" w:hAnsi="Poppins" w:cs="Poppins"/>
          <w:bCs/>
          <w:sz w:val="18"/>
          <w:szCs w:val="18"/>
        </w:rPr>
        <w:t>4</w:t>
      </w:r>
      <w:r w:rsidRPr="0096213B">
        <w:rPr>
          <w:rFonts w:ascii="Poppins" w:hAnsi="Poppins" w:cs="Poppins"/>
          <w:bCs/>
          <w:sz w:val="18"/>
          <w:szCs w:val="18"/>
        </w:rPr>
        <w:t xml:space="preserve"> </w:t>
      </w:r>
      <w:r w:rsidR="00B42047" w:rsidRPr="0096213B">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409E9B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9A57AA">
        <w:rPr>
          <w:rFonts w:ascii="Poppins" w:hAnsi="Poppins" w:cs="Poppins"/>
          <w:sz w:val="18"/>
          <w:szCs w:val="18"/>
        </w:rPr>
        <w:t>17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7B12E0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986A53">
        <w:rPr>
          <w:rFonts w:ascii="Poppins" w:hAnsi="Poppins" w:cs="Poppins"/>
          <w:sz w:val="18"/>
          <w:szCs w:val="18"/>
          <w:lang w:eastAsia="en-US"/>
        </w:rPr>
        <w:t xml:space="preserve">a </w:t>
      </w:r>
      <w:r w:rsidR="003C1266"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CD3200" w:rsidRPr="00986A53">
        <w:rPr>
          <w:rFonts w:ascii="Poppins" w:hAnsi="Poppins" w:cs="Poppins"/>
          <w:sz w:val="18"/>
          <w:szCs w:val="18"/>
          <w:lang w:eastAsia="en-US"/>
        </w:rPr>
        <w:t>3</w:t>
      </w:r>
      <w:r w:rsidR="00433FB6" w:rsidRPr="00986A53">
        <w:rPr>
          <w:rFonts w:ascii="Poppins" w:hAnsi="Poppins" w:cs="Poppins"/>
          <w:sz w:val="18"/>
          <w:szCs w:val="18"/>
          <w:lang w:eastAsia="en-US"/>
        </w:rPr>
        <w:t>2</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Pr="00986A53">
        <w:rPr>
          <w:rFonts w:ascii="Poppins" w:hAnsi="Poppins" w:cs="Poppins"/>
          <w:sz w:val="18"/>
          <w:szCs w:val="18"/>
          <w:lang w:eastAsia="en-US"/>
        </w:rPr>
        <w:t xml:space="preserve"> </w:t>
      </w:r>
      <w:r w:rsidR="002C3713" w:rsidRPr="00986A53">
        <w:rPr>
          <w:rFonts w:ascii="Poppins" w:hAnsi="Poppins" w:cs="Poppins"/>
          <w:sz w:val="18"/>
          <w:szCs w:val="18"/>
          <w:lang w:eastAsia="en-US"/>
        </w:rPr>
        <w:t xml:space="preserve">para el </w:t>
      </w:r>
      <w:r w:rsidRPr="00986A53">
        <w:rPr>
          <w:rFonts w:ascii="Poppins" w:hAnsi="Poppins" w:cs="Poppins"/>
          <w:sz w:val="18"/>
          <w:szCs w:val="18"/>
          <w:lang w:eastAsia="en-US"/>
        </w:rPr>
        <w:t>GLP</w:t>
      </w:r>
      <w:r w:rsidR="00996628" w:rsidRPr="00986A53">
        <w:rPr>
          <w:rFonts w:ascii="Poppins" w:hAnsi="Poppins" w:cs="Poppins"/>
          <w:sz w:val="18"/>
          <w:szCs w:val="18"/>
          <w:lang w:eastAsia="en-US"/>
        </w:rPr>
        <w:t>;</w:t>
      </w:r>
      <w:r w:rsidRPr="00986A53">
        <w:rPr>
          <w:rFonts w:ascii="Poppins" w:hAnsi="Poppins" w:cs="Poppins"/>
          <w:sz w:val="18"/>
          <w:szCs w:val="18"/>
          <w:lang w:eastAsia="en-US"/>
        </w:rPr>
        <w:t xml:space="preserve"> </w:t>
      </w:r>
      <w:r w:rsidR="006863BF"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515BE2" w:rsidRPr="00986A53">
        <w:rPr>
          <w:rFonts w:ascii="Poppins" w:hAnsi="Poppins" w:cs="Poppins"/>
          <w:sz w:val="18"/>
          <w:szCs w:val="18"/>
          <w:lang w:eastAsia="en-US"/>
        </w:rPr>
        <w:t>2</w:t>
      </w:r>
      <w:r w:rsidR="00986A53" w:rsidRPr="00986A53">
        <w:rPr>
          <w:rFonts w:ascii="Poppins" w:hAnsi="Poppins" w:cs="Poppins"/>
          <w:sz w:val="18"/>
          <w:szCs w:val="18"/>
          <w:lang w:eastAsia="en-US"/>
        </w:rPr>
        <w:t>7</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las gasolinas</w:t>
      </w:r>
      <w:r w:rsidR="00996628" w:rsidRPr="00986A53">
        <w:rPr>
          <w:rFonts w:ascii="Poppins" w:hAnsi="Poppins" w:cs="Poppins"/>
          <w:sz w:val="18"/>
          <w:szCs w:val="18"/>
          <w:lang w:eastAsia="en-US"/>
        </w:rPr>
        <w:t xml:space="preserve"> y</w:t>
      </w:r>
      <w:r w:rsidR="002C3713" w:rsidRPr="00986A53">
        <w:rPr>
          <w:rFonts w:ascii="Poppins" w:hAnsi="Poppins" w:cs="Poppins"/>
          <w:sz w:val="18"/>
          <w:szCs w:val="18"/>
          <w:lang w:eastAsia="en-US"/>
        </w:rPr>
        <w:t xml:space="preserve"> </w:t>
      </w:r>
      <w:r w:rsidR="006863BF"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99393C" w:rsidRPr="00986A53">
        <w:rPr>
          <w:rFonts w:ascii="Poppins" w:hAnsi="Poppins" w:cs="Poppins"/>
          <w:sz w:val="18"/>
          <w:szCs w:val="18"/>
          <w:lang w:eastAsia="en-US"/>
        </w:rPr>
        <w:t>2</w:t>
      </w:r>
      <w:r w:rsidR="00986A53" w:rsidRPr="00986A53">
        <w:rPr>
          <w:rFonts w:ascii="Poppins" w:hAnsi="Poppins" w:cs="Poppins"/>
          <w:sz w:val="18"/>
          <w:szCs w:val="18"/>
          <w:lang w:eastAsia="en-US"/>
        </w:rPr>
        <w:t>2</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8A5B6E6" w:rsidR="004A1495" w:rsidRPr="0096213B" w:rsidRDefault="00F86EE8" w:rsidP="004F74EE">
      <w:pPr>
        <w:pBdr>
          <w:top w:val="single" w:sz="4" w:space="1" w:color="auto"/>
          <w:bottom w:val="single" w:sz="4" w:space="1" w:color="auto"/>
        </w:pBdr>
        <w:jc w:val="center"/>
        <w:rPr>
          <w:rFonts w:ascii="Poppins" w:hAnsi="Poppins" w:cs="Poppins"/>
          <w:sz w:val="18"/>
          <w:szCs w:val="18"/>
          <w:lang w:val="es-PE" w:eastAsia="en-US"/>
        </w:rPr>
      </w:pPr>
      <w:r w:rsidRPr="00F86EE8">
        <w:rPr>
          <w:noProof/>
        </w:rPr>
        <w:drawing>
          <wp:inline distT="0" distB="0" distL="0" distR="0" wp14:anchorId="4774F703" wp14:editId="4986FA8A">
            <wp:extent cx="8001416" cy="297674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20783" cy="298395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5213D0C6" w:rsidR="000F7442" w:rsidRPr="0096213B" w:rsidRDefault="00496BF7" w:rsidP="000F7442">
            <w:pPr>
              <w:jc w:val="center"/>
              <w:rPr>
                <w:rFonts w:ascii="Poppins" w:hAnsi="Poppins" w:cs="Poppins"/>
                <w:sz w:val="8"/>
                <w:szCs w:val="20"/>
              </w:rPr>
            </w:pPr>
            <w:r w:rsidRPr="00496BF7">
              <w:rPr>
                <w:rFonts w:ascii="Poppins" w:hAnsi="Poppins" w:cs="Poppins"/>
                <w:noProof/>
                <w:sz w:val="8"/>
                <w:szCs w:val="20"/>
              </w:rPr>
              <w:drawing>
                <wp:inline distT="0" distB="0" distL="0" distR="0" wp14:anchorId="627AD698" wp14:editId="48E9C024">
                  <wp:extent cx="3561715" cy="2530549"/>
                  <wp:effectExtent l="0" t="0" r="635"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3025" cy="253148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CD95351" w:rsidR="00EF3BE9" w:rsidRPr="0096213B" w:rsidRDefault="00496BF7" w:rsidP="00977837">
            <w:pPr>
              <w:ind w:left="-618" w:right="-654"/>
              <w:jc w:val="center"/>
              <w:rPr>
                <w:rFonts w:ascii="Poppins" w:hAnsi="Poppins" w:cs="Poppins"/>
                <w:noProof/>
                <w:sz w:val="20"/>
                <w:szCs w:val="20"/>
              </w:rPr>
            </w:pPr>
            <w:r w:rsidRPr="00496BF7">
              <w:rPr>
                <w:rFonts w:ascii="Poppins" w:hAnsi="Poppins" w:cs="Poppins"/>
                <w:noProof/>
                <w:sz w:val="20"/>
                <w:szCs w:val="20"/>
              </w:rPr>
              <w:drawing>
                <wp:inline distT="0" distB="0" distL="0" distR="0" wp14:anchorId="65D8F351" wp14:editId="49A6C671">
                  <wp:extent cx="5210175" cy="2604977"/>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14221" cy="2607000"/>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1CC7DE90" w:rsidR="00551F16" w:rsidRPr="0096213B" w:rsidRDefault="00986A5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86A53">
        <w:rPr>
          <w:noProof/>
        </w:rPr>
        <w:drawing>
          <wp:inline distT="0" distB="0" distL="0" distR="0" wp14:anchorId="62C5AB60" wp14:editId="4836759C">
            <wp:extent cx="5655945" cy="2126512"/>
            <wp:effectExtent l="0" t="0" r="1905"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0404" cy="2128188"/>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6AB19D1" w:rsidR="00F70B88" w:rsidRPr="0096213B" w:rsidRDefault="00B41862" w:rsidP="00604758">
      <w:pPr>
        <w:spacing w:line="0" w:lineRule="atLeast"/>
        <w:ind w:right="-567"/>
        <w:jc w:val="both"/>
        <w:rPr>
          <w:rFonts w:ascii="Poppins" w:hAnsi="Poppins" w:cs="Poppins"/>
          <w:noProof/>
          <w:sz w:val="20"/>
          <w:szCs w:val="20"/>
        </w:rPr>
      </w:pPr>
      <w:r w:rsidRPr="00B41862">
        <w:drawing>
          <wp:inline distT="0" distB="0" distL="0" distR="0" wp14:anchorId="2D4C2910" wp14:editId="479F4037">
            <wp:extent cx="5850255" cy="2034791"/>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8191" cy="203755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9B3807F" w:rsidR="00127A54" w:rsidRPr="0096213B" w:rsidRDefault="00B41862" w:rsidP="006220EA">
      <w:pPr>
        <w:rPr>
          <w:rFonts w:ascii="Poppins" w:hAnsi="Poppins" w:cs="Poppins"/>
          <w:i/>
          <w:sz w:val="14"/>
          <w:szCs w:val="14"/>
        </w:rPr>
      </w:pPr>
      <w:r w:rsidRPr="00B41862">
        <w:drawing>
          <wp:inline distT="0" distB="0" distL="0" distR="0" wp14:anchorId="2C77E918" wp14:editId="4A3D0EAB">
            <wp:extent cx="5850255" cy="7061835"/>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18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0009EBB" w:rsidR="005048C1" w:rsidRPr="0096213B" w:rsidRDefault="000D0081" w:rsidP="005048C1">
      <w:pPr>
        <w:jc w:val="both"/>
        <w:rPr>
          <w:rFonts w:ascii="Poppins" w:hAnsi="Poppins" w:cs="Poppins"/>
          <w:i/>
          <w:iCs/>
          <w:sz w:val="12"/>
          <w:szCs w:val="12"/>
        </w:rPr>
      </w:pPr>
      <w:r w:rsidRPr="000D0081">
        <w:drawing>
          <wp:inline distT="0" distB="0" distL="0" distR="0" wp14:anchorId="16D9BB8D" wp14:editId="61F8DEF8">
            <wp:extent cx="5850255" cy="6629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762" cy="66299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65073B04" w14:textId="5AA809D8" w:rsidR="009A57AA" w:rsidRDefault="009A57AA" w:rsidP="009A57AA">
      <w:pPr>
        <w:jc w:val="center"/>
        <w:rPr>
          <w:rFonts w:asciiTheme="minorHAnsi" w:hAnsiTheme="minorHAnsi" w:cstheme="minorHAnsi"/>
          <w:sz w:val="22"/>
          <w:szCs w:val="22"/>
        </w:rPr>
      </w:pPr>
      <w:r>
        <w:rPr>
          <w:noProof/>
        </w:rPr>
        <w:drawing>
          <wp:inline distT="0" distB="0" distL="0" distR="0" wp14:anchorId="0BD2B0C5" wp14:editId="399FD0E3">
            <wp:extent cx="5541035" cy="3096289"/>
            <wp:effectExtent l="19050" t="19050" r="21590" b="27940"/>
            <wp:docPr id="380274482" name="Imagen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1755" cy="3113455"/>
                    </a:xfrm>
                    <a:prstGeom prst="rect">
                      <a:avLst/>
                    </a:prstGeom>
                    <a:noFill/>
                    <a:ln>
                      <a:solidFill>
                        <a:schemeClr val="accent1"/>
                      </a:solidFill>
                    </a:ln>
                  </pic:spPr>
                </pic:pic>
              </a:graphicData>
            </a:graphic>
          </wp:inline>
        </w:drawing>
      </w:r>
    </w:p>
    <w:p w14:paraId="7B8E84F2" w14:textId="77777777" w:rsidR="009A57AA" w:rsidRDefault="009A57AA" w:rsidP="009A57AA">
      <w:pPr>
        <w:jc w:val="center"/>
        <w:rPr>
          <w:rFonts w:asciiTheme="minorHAnsi" w:hAnsiTheme="minorHAnsi" w:cstheme="minorHAnsi"/>
          <w:sz w:val="22"/>
          <w:szCs w:val="22"/>
        </w:rPr>
      </w:pPr>
    </w:p>
    <w:p w14:paraId="61700103" w14:textId="77777777" w:rsidR="009A57AA" w:rsidRDefault="009A57AA" w:rsidP="009A57AA">
      <w:pPr>
        <w:jc w:val="center"/>
        <w:rPr>
          <w:rFonts w:asciiTheme="minorHAnsi" w:hAnsiTheme="minorHAnsi" w:cstheme="minorHAnsi"/>
          <w:sz w:val="22"/>
          <w:szCs w:val="22"/>
        </w:rPr>
      </w:pPr>
    </w:p>
    <w:p w14:paraId="20E3B3E6" w14:textId="77777777" w:rsidR="009A57AA" w:rsidRDefault="009A57AA" w:rsidP="009A57AA">
      <w:pPr>
        <w:jc w:val="center"/>
        <w:rPr>
          <w:rFonts w:asciiTheme="minorHAnsi" w:hAnsiTheme="minorHAnsi" w:cstheme="minorHAnsi"/>
          <w:sz w:val="22"/>
          <w:szCs w:val="22"/>
        </w:rPr>
      </w:pPr>
      <w:r>
        <w:rPr>
          <w:noProof/>
        </w:rPr>
        <w:drawing>
          <wp:inline distT="0" distB="0" distL="0" distR="0" wp14:anchorId="657EB6E7" wp14:editId="1308B3E9">
            <wp:extent cx="5519625" cy="3191983"/>
            <wp:effectExtent l="19050" t="19050" r="24130" b="27940"/>
            <wp:docPr id="1662330666" name="Imagen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1416" cy="3210368"/>
                    </a:xfrm>
                    <a:prstGeom prst="rect">
                      <a:avLst/>
                    </a:prstGeom>
                    <a:noFill/>
                    <a:ln>
                      <a:solidFill>
                        <a:schemeClr val="accent1"/>
                      </a:solidFill>
                    </a:ln>
                  </pic:spPr>
                </pic:pic>
              </a:graphicData>
            </a:graphic>
          </wp:inline>
        </w:drawing>
      </w:r>
    </w:p>
    <w:p w14:paraId="5A792FEE" w14:textId="77777777" w:rsidR="009A57AA" w:rsidRDefault="009A57AA" w:rsidP="009A57AA">
      <w:pPr>
        <w:jc w:val="center"/>
        <w:rPr>
          <w:rFonts w:asciiTheme="minorHAnsi" w:hAnsiTheme="minorHAnsi" w:cstheme="minorHAnsi"/>
          <w:b/>
          <w:iCs/>
          <w:u w:val="single"/>
        </w:rPr>
      </w:pPr>
    </w:p>
    <w:p w14:paraId="7630B232" w14:textId="1FBF5CDF" w:rsidR="009A57AA" w:rsidRDefault="009A57AA" w:rsidP="009A57AA">
      <w:pPr>
        <w:jc w:val="center"/>
        <w:rPr>
          <w:rFonts w:asciiTheme="minorHAnsi" w:hAnsiTheme="minorHAnsi" w:cstheme="minorHAnsi"/>
          <w:b/>
          <w:iCs/>
          <w:u w:val="single"/>
        </w:rPr>
      </w:pPr>
      <w:r>
        <w:rPr>
          <w:noProof/>
        </w:rPr>
        <w:lastRenderedPageBreak/>
        <w:drawing>
          <wp:inline distT="0" distB="0" distL="0" distR="0" wp14:anchorId="117F1C07" wp14:editId="38C46B4C">
            <wp:extent cx="5339644" cy="3191982"/>
            <wp:effectExtent l="19050" t="19050" r="13970" b="27940"/>
            <wp:docPr id="1340717584" name="Imagen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71921" cy="3211277"/>
                    </a:xfrm>
                    <a:prstGeom prst="rect">
                      <a:avLst/>
                    </a:prstGeom>
                    <a:noFill/>
                    <a:ln>
                      <a:solidFill>
                        <a:schemeClr val="accent1"/>
                      </a:solidFill>
                    </a:ln>
                  </pic:spPr>
                </pic:pic>
              </a:graphicData>
            </a:graphic>
          </wp:inline>
        </w:drawing>
      </w:r>
    </w:p>
    <w:p w14:paraId="0B5A8E51" w14:textId="5FA6BFD1" w:rsidR="009A57AA" w:rsidRDefault="009A57AA" w:rsidP="009A57AA">
      <w:pPr>
        <w:jc w:val="center"/>
        <w:rPr>
          <w:rFonts w:asciiTheme="minorHAnsi" w:hAnsiTheme="minorHAnsi" w:cstheme="minorHAnsi"/>
          <w:b/>
          <w:iCs/>
          <w:u w:val="single"/>
        </w:rPr>
      </w:pPr>
    </w:p>
    <w:p w14:paraId="1B19913D" w14:textId="77777777" w:rsidR="009A57AA" w:rsidRDefault="009A57AA" w:rsidP="009A57AA">
      <w:pPr>
        <w:jc w:val="center"/>
        <w:rPr>
          <w:rFonts w:asciiTheme="minorHAnsi" w:hAnsiTheme="minorHAnsi" w:cstheme="minorHAnsi"/>
          <w:b/>
          <w:iCs/>
          <w:u w:val="single"/>
        </w:rPr>
      </w:pPr>
    </w:p>
    <w:p w14:paraId="45312837" w14:textId="77777777" w:rsidR="009A57AA" w:rsidRDefault="009A57AA" w:rsidP="009A57AA">
      <w:pPr>
        <w:jc w:val="center"/>
        <w:rPr>
          <w:rFonts w:asciiTheme="minorHAnsi" w:hAnsiTheme="minorHAnsi" w:cstheme="minorHAnsi"/>
          <w:b/>
          <w:iCs/>
          <w:u w:val="single"/>
        </w:rPr>
      </w:pPr>
    </w:p>
    <w:p w14:paraId="09E0B028" w14:textId="77777777" w:rsidR="009A57AA" w:rsidRDefault="009A57AA" w:rsidP="009A57AA">
      <w:pPr>
        <w:jc w:val="center"/>
        <w:rPr>
          <w:rFonts w:asciiTheme="minorHAnsi" w:hAnsiTheme="minorHAnsi" w:cstheme="minorHAnsi"/>
          <w:b/>
          <w:iCs/>
          <w:u w:val="single"/>
        </w:rPr>
      </w:pPr>
      <w:r>
        <w:rPr>
          <w:noProof/>
        </w:rPr>
        <w:drawing>
          <wp:inline distT="0" distB="0" distL="0" distR="0" wp14:anchorId="710858DE" wp14:editId="02520611">
            <wp:extent cx="5340035" cy="3043126"/>
            <wp:effectExtent l="19050" t="19050" r="13335" b="24130"/>
            <wp:docPr id="1435230355" name="Imagen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5741" cy="3057775"/>
                    </a:xfrm>
                    <a:prstGeom prst="rect">
                      <a:avLst/>
                    </a:prstGeom>
                    <a:noFill/>
                    <a:ln>
                      <a:solidFill>
                        <a:schemeClr val="accent1"/>
                      </a:solidFill>
                    </a:ln>
                  </pic:spPr>
                </pic:pic>
              </a:graphicData>
            </a:graphic>
          </wp:inline>
        </w:drawing>
      </w:r>
    </w:p>
    <w:p w14:paraId="28388E17" w14:textId="77777777" w:rsidR="00426575" w:rsidRDefault="00426575" w:rsidP="00426575">
      <w:pPr>
        <w:jc w:val="center"/>
        <w:rPr>
          <w:rFonts w:asciiTheme="minorHAnsi" w:hAnsiTheme="minorHAnsi" w:cstheme="minorHAnsi"/>
          <w:sz w:val="22"/>
          <w:szCs w:val="22"/>
        </w:rPr>
      </w:pPr>
    </w:p>
    <w:p w14:paraId="69DFA4BC" w14:textId="77777777" w:rsidR="00426575" w:rsidRDefault="00426575" w:rsidP="00426575">
      <w:pPr>
        <w:jc w:val="center"/>
        <w:rPr>
          <w:rFonts w:asciiTheme="minorHAnsi" w:hAnsiTheme="minorHAnsi" w:cstheme="minorHAnsi"/>
          <w:sz w:val="22"/>
          <w:szCs w:val="22"/>
        </w:rPr>
      </w:pPr>
    </w:p>
    <w:p w14:paraId="43BFB928" w14:textId="5DC98BC2" w:rsidR="00426575" w:rsidRDefault="00426575" w:rsidP="00426575">
      <w:pPr>
        <w:jc w:val="center"/>
        <w:rPr>
          <w:rFonts w:asciiTheme="minorHAnsi" w:hAnsiTheme="minorHAnsi" w:cstheme="minorHAnsi"/>
          <w:sz w:val="22"/>
          <w:szCs w:val="22"/>
        </w:rPr>
      </w:pPr>
    </w:p>
    <w:p w14:paraId="2D2F0CD9" w14:textId="77777777" w:rsidR="00426575" w:rsidRDefault="00426575" w:rsidP="00426575">
      <w:pPr>
        <w:jc w:val="center"/>
        <w:rPr>
          <w:rFonts w:asciiTheme="minorHAnsi" w:hAnsiTheme="minorHAnsi" w:cstheme="minorHAnsi"/>
          <w:b/>
          <w:iCs/>
          <w:u w:val="single"/>
        </w:rPr>
      </w:pPr>
    </w:p>
    <w:p w14:paraId="010CA818" w14:textId="18036759" w:rsidR="00426575" w:rsidRDefault="00426575" w:rsidP="00426575">
      <w:pPr>
        <w:jc w:val="center"/>
        <w:rPr>
          <w:rFonts w:asciiTheme="minorHAnsi" w:hAnsiTheme="minorHAnsi" w:cstheme="minorHAnsi"/>
          <w:b/>
          <w:iCs/>
          <w:u w:val="single"/>
        </w:rPr>
      </w:pPr>
    </w:p>
    <w:p w14:paraId="70CE7D56" w14:textId="77777777" w:rsidR="00426575" w:rsidRDefault="00426575" w:rsidP="00426575">
      <w:pPr>
        <w:jc w:val="center"/>
        <w:rPr>
          <w:rFonts w:asciiTheme="minorHAnsi" w:hAnsiTheme="minorHAnsi" w:cstheme="minorHAnsi"/>
          <w:b/>
          <w:iCs/>
          <w:u w:val="single"/>
        </w:rPr>
      </w:pPr>
    </w:p>
    <w:p w14:paraId="5D994A3A" w14:textId="77777777" w:rsidR="00426575" w:rsidRDefault="00426575" w:rsidP="00426575">
      <w:pPr>
        <w:jc w:val="center"/>
        <w:rPr>
          <w:rFonts w:asciiTheme="minorHAnsi" w:hAnsiTheme="minorHAnsi" w:cstheme="minorHAnsi"/>
          <w:b/>
          <w:iCs/>
          <w:u w:val="single"/>
        </w:rPr>
      </w:pPr>
    </w:p>
    <w:p w14:paraId="5CC18509" w14:textId="55A07AF3" w:rsidR="00426575" w:rsidRDefault="00426575" w:rsidP="00426575">
      <w:pPr>
        <w:jc w:val="center"/>
        <w:rPr>
          <w:rFonts w:asciiTheme="minorHAnsi" w:hAnsiTheme="minorHAnsi" w:cstheme="minorHAnsi"/>
          <w:b/>
          <w:iCs/>
          <w:u w:val="single"/>
        </w:rPr>
      </w:pPr>
    </w:p>
    <w:p w14:paraId="1436A373" w14:textId="58DA82C8" w:rsidR="00923AA2" w:rsidRDefault="00923AA2" w:rsidP="00923AA2">
      <w:pPr>
        <w:jc w:val="center"/>
        <w:rPr>
          <w:rFonts w:asciiTheme="minorHAnsi" w:hAnsiTheme="minorHAnsi" w:cstheme="minorHAnsi"/>
          <w:sz w:val="22"/>
          <w:szCs w:val="22"/>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0D0081"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0139BD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930D25">
            <w:rPr>
              <w:rFonts w:ascii="Poppins" w:hAnsi="Poppins" w:cs="Poppins"/>
              <w:b/>
              <w:sz w:val="22"/>
              <w:szCs w:val="22"/>
              <w:lang w:val="it-IT"/>
            </w:rPr>
            <w:t>5</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02BF97D"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930D25">
            <w:rPr>
              <w:rFonts w:ascii="Poppins" w:hAnsi="Poppins" w:cs="Poppins"/>
              <w:b/>
              <w:sz w:val="22"/>
              <w:szCs w:val="22"/>
              <w:lang w:val="it-IT"/>
            </w:rPr>
            <w:t>5</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9AD9D60"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930D25">
            <w:rPr>
              <w:rFonts w:ascii="Poppins" w:hAnsi="Poppins" w:cs="Poppins"/>
              <w:b/>
              <w:sz w:val="22"/>
              <w:szCs w:val="22"/>
              <w:lang w:val="it-IT"/>
            </w:rPr>
            <w:t>5</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5CA358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930D25">
            <w:rPr>
              <w:rFonts w:ascii="Poppins" w:hAnsi="Poppins" w:cs="Poppins"/>
              <w:b/>
              <w:sz w:val="22"/>
              <w:szCs w:val="22"/>
              <w:lang w:val="it-IT"/>
            </w:rPr>
            <w:t>5</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emf"/><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19</Pages>
  <Words>4508</Words>
  <Characters>24797</Characters>
  <Application>Microsoft Office Word</Application>
  <DocSecurity>0</DocSecurity>
  <Lines>206</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2024-06-20T23:20:00Z</cp:lastPrinted>
  <dcterms:created xsi:type="dcterms:W3CDTF">2024-08-28T16:40:00Z</dcterms:created>
  <dcterms:modified xsi:type="dcterms:W3CDTF">2024-08-29T15:30:00Z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