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A8B0E5F"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546306">
        <w:rPr>
          <w:rFonts w:ascii="Poppins" w:hAnsi="Poppins" w:cs="Poppins"/>
          <w:sz w:val="24"/>
          <w:szCs w:val="22"/>
          <w:u w:val="single"/>
          <w:lang w:val="es-PE"/>
        </w:rPr>
        <w:t>4</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15600C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46306">
        <w:rPr>
          <w:rFonts w:ascii="Poppins" w:hAnsi="Poppins" w:cs="Poppins"/>
          <w:b/>
          <w:bCs/>
          <w:sz w:val="22"/>
          <w:szCs w:val="22"/>
        </w:rPr>
        <w:t>26</w:t>
      </w:r>
      <w:r w:rsidR="00316BFF">
        <w:rPr>
          <w:rFonts w:ascii="Poppins" w:hAnsi="Poppins" w:cs="Poppins"/>
          <w:b/>
          <w:bCs/>
          <w:sz w:val="22"/>
          <w:szCs w:val="22"/>
        </w:rPr>
        <w:t>/</w:t>
      </w:r>
      <w:r w:rsidR="005151B0">
        <w:rPr>
          <w:rFonts w:ascii="Poppins" w:hAnsi="Poppins" w:cs="Poppins"/>
          <w:b/>
          <w:bCs/>
          <w:sz w:val="22"/>
          <w:szCs w:val="22"/>
        </w:rPr>
        <w:t>0</w:t>
      </w:r>
      <w:r w:rsidR="0094258C">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31029855" w:rsidR="00AB06BA" w:rsidRPr="001C2FD3" w:rsidRDefault="0005292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FFE5F7B" wp14:editId="2C2A09E9">
            <wp:extent cx="5416550" cy="29972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6701" cy="3002817"/>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lastRenderedPageBreak/>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F284E9F"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60</w:t>
      </w:r>
      <w:r w:rsidR="00E23D92" w:rsidRPr="00273F37">
        <w:rPr>
          <w:rFonts w:ascii="Poppins" w:hAnsi="Poppins" w:cs="Poppins"/>
          <w:sz w:val="18"/>
          <w:szCs w:val="18"/>
        </w:rPr>
        <w:t>,</w:t>
      </w:r>
      <w:r w:rsidR="00A07A4E">
        <w:rPr>
          <w:rFonts w:ascii="Poppins" w:hAnsi="Poppins" w:cs="Poppins"/>
          <w:sz w:val="18"/>
          <w:szCs w:val="18"/>
        </w:rPr>
        <w:t>39</w:t>
      </w:r>
      <w:r w:rsidRPr="00273F37">
        <w:rPr>
          <w:rFonts w:ascii="Poppins" w:hAnsi="Poppins" w:cs="Poppins"/>
          <w:sz w:val="18"/>
          <w:szCs w:val="18"/>
        </w:rPr>
        <w:t xml:space="preserve"> US$/Bl, las gasolinas registraron un precio superior a </w:t>
      </w:r>
      <w:r w:rsidR="007A079C">
        <w:rPr>
          <w:rFonts w:ascii="Poppins" w:hAnsi="Poppins" w:cs="Poppins"/>
          <w:sz w:val="18"/>
          <w:szCs w:val="18"/>
        </w:rPr>
        <w:t>7</w:t>
      </w:r>
      <w:r w:rsidR="00A07A4E">
        <w:rPr>
          <w:rFonts w:ascii="Poppins" w:hAnsi="Poppins" w:cs="Poppins"/>
          <w:sz w:val="18"/>
          <w:szCs w:val="18"/>
        </w:rPr>
        <w:t>5</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A07A4E">
        <w:rPr>
          <w:rFonts w:ascii="Poppins" w:hAnsi="Poppins" w:cs="Poppins"/>
          <w:sz w:val="18"/>
          <w:szCs w:val="18"/>
        </w:rPr>
        <w:t>91</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A07A4E">
        <w:rPr>
          <w:rFonts w:ascii="Poppins" w:hAnsi="Poppins" w:cs="Poppins"/>
          <w:sz w:val="18"/>
          <w:szCs w:val="18"/>
        </w:rPr>
        <w:t>8</w:t>
      </w:r>
      <w:r w:rsidR="00941CD2" w:rsidRPr="00273F37">
        <w:rPr>
          <w:rFonts w:ascii="Poppins" w:hAnsi="Poppins" w:cs="Poppins"/>
          <w:sz w:val="18"/>
          <w:szCs w:val="18"/>
        </w:rPr>
        <w:t>,</w:t>
      </w:r>
      <w:r w:rsidR="00A07A4E">
        <w:rPr>
          <w:rFonts w:ascii="Poppins" w:hAnsi="Poppins" w:cs="Poppins"/>
          <w:sz w:val="18"/>
          <w:szCs w:val="18"/>
        </w:rPr>
        <w:t>9</w:t>
      </w:r>
      <w:r w:rsidR="00B816EA">
        <w:rPr>
          <w:rFonts w:ascii="Poppins" w:hAnsi="Poppins" w:cs="Poppins"/>
          <w:sz w:val="18"/>
          <w:szCs w:val="18"/>
        </w:rPr>
        <w:t>6</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37CE4599"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B816EA">
        <w:rPr>
          <w:rFonts w:ascii="Poppins" w:hAnsi="Poppins" w:cs="Poppins"/>
          <w:bCs/>
          <w:sz w:val="18"/>
          <w:szCs w:val="18"/>
        </w:rPr>
        <w:t>0</w:t>
      </w:r>
      <w:r w:rsidR="00A07A4E">
        <w:rPr>
          <w:rFonts w:ascii="Poppins" w:hAnsi="Poppins" w:cs="Poppins"/>
          <w:bCs/>
          <w:sz w:val="18"/>
          <w:szCs w:val="18"/>
        </w:rPr>
        <w:t>9</w:t>
      </w:r>
      <w:r w:rsidR="007D7CB0">
        <w:rPr>
          <w:rFonts w:ascii="Poppins" w:hAnsi="Poppins" w:cs="Poppins"/>
          <w:bCs/>
          <w:sz w:val="18"/>
          <w:szCs w:val="18"/>
        </w:rPr>
        <w:t>.</w:t>
      </w:r>
      <w:r w:rsidR="00B816EA">
        <w:rPr>
          <w:rFonts w:ascii="Poppins" w:hAnsi="Poppins" w:cs="Poppins"/>
          <w:bCs/>
          <w:sz w:val="18"/>
          <w:szCs w:val="18"/>
        </w:rPr>
        <w:t>0</w:t>
      </w:r>
      <w:r w:rsidR="00784CB3" w:rsidRPr="00ED72E4">
        <w:rPr>
          <w:rFonts w:ascii="Poppins" w:hAnsi="Poppins" w:cs="Poppins"/>
          <w:bCs/>
          <w:sz w:val="18"/>
          <w:szCs w:val="18"/>
        </w:rPr>
        <w:t>1</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A07A4E">
        <w:rPr>
          <w:rFonts w:ascii="Poppins" w:hAnsi="Poppins" w:cs="Poppins"/>
          <w:bCs/>
          <w:sz w:val="18"/>
          <w:szCs w:val="18"/>
        </w:rPr>
        <w:t>23</w:t>
      </w:r>
      <w:r w:rsidR="005151B0">
        <w:rPr>
          <w:rFonts w:ascii="Poppins" w:hAnsi="Poppins" w:cs="Poppins"/>
          <w:bCs/>
          <w:sz w:val="18"/>
          <w:szCs w:val="18"/>
        </w:rPr>
        <w:t>.01</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6BBB819C" w14:textId="77777777" w:rsidR="00812AE9" w:rsidRPr="000E0BA2" w:rsidRDefault="00812AE9" w:rsidP="00812AE9">
      <w:pPr>
        <w:pStyle w:val="Prrafodelista"/>
        <w:numPr>
          <w:ilvl w:val="0"/>
          <w:numId w:val="30"/>
        </w:numPr>
        <w:ind w:left="425"/>
        <w:contextualSpacing/>
        <w:jc w:val="both"/>
        <w:rPr>
          <w:rFonts w:ascii="Poppins" w:hAnsi="Poppins" w:cs="Poppins"/>
          <w:b/>
          <w:sz w:val="18"/>
          <w:szCs w:val="18"/>
        </w:rPr>
      </w:pPr>
      <w:r w:rsidRPr="000E0BA2">
        <w:rPr>
          <w:rFonts w:ascii="Poppins" w:hAnsi="Poppins" w:cs="Poppins"/>
          <w:b/>
          <w:sz w:val="18"/>
          <w:szCs w:val="18"/>
        </w:rPr>
        <w:t xml:space="preserve">El incremento de los inventarios de </w:t>
      </w:r>
      <w:r>
        <w:rPr>
          <w:rFonts w:ascii="Poppins" w:hAnsi="Poppins" w:cs="Poppins"/>
          <w:b/>
          <w:sz w:val="18"/>
          <w:szCs w:val="18"/>
        </w:rPr>
        <w:t xml:space="preserve">crudo, </w:t>
      </w:r>
      <w:r w:rsidRPr="000E0BA2">
        <w:rPr>
          <w:rFonts w:ascii="Poppins" w:hAnsi="Poppins" w:cs="Poppins"/>
          <w:b/>
          <w:sz w:val="18"/>
          <w:szCs w:val="18"/>
        </w:rPr>
        <w:t>gasolinas</w:t>
      </w:r>
      <w:r>
        <w:rPr>
          <w:rFonts w:ascii="Poppins" w:hAnsi="Poppins" w:cs="Poppins"/>
          <w:b/>
          <w:sz w:val="18"/>
          <w:szCs w:val="18"/>
        </w:rPr>
        <w:t xml:space="preserve"> y destilado medio</w:t>
      </w:r>
      <w:r w:rsidRPr="000E0BA2">
        <w:rPr>
          <w:rFonts w:ascii="Poppins" w:hAnsi="Poppins" w:cs="Poppins"/>
          <w:b/>
          <w:sz w:val="18"/>
          <w:szCs w:val="18"/>
        </w:rPr>
        <w:t xml:space="preserve">, así como el descenso de las existencias de </w:t>
      </w:r>
      <w:r>
        <w:rPr>
          <w:rFonts w:ascii="Poppins" w:hAnsi="Poppins" w:cs="Poppins"/>
          <w:b/>
          <w:sz w:val="18"/>
          <w:szCs w:val="18"/>
        </w:rPr>
        <w:t>propano</w:t>
      </w:r>
      <w:r w:rsidRPr="000E0BA2">
        <w:rPr>
          <w:rFonts w:ascii="Poppins" w:hAnsi="Poppins" w:cs="Poppins"/>
          <w:b/>
          <w:sz w:val="18"/>
          <w:szCs w:val="18"/>
        </w:rPr>
        <w:t xml:space="preserve">, al </w:t>
      </w:r>
      <w:r>
        <w:rPr>
          <w:rFonts w:ascii="Poppins" w:hAnsi="Poppins" w:cs="Poppins"/>
          <w:b/>
          <w:sz w:val="18"/>
          <w:szCs w:val="18"/>
        </w:rPr>
        <w:t>16</w:t>
      </w:r>
      <w:r w:rsidRPr="000E0BA2">
        <w:rPr>
          <w:rFonts w:ascii="Poppins" w:hAnsi="Poppins" w:cs="Poppins"/>
          <w:b/>
          <w:sz w:val="18"/>
          <w:szCs w:val="18"/>
        </w:rPr>
        <w:t xml:space="preserve"> de </w:t>
      </w:r>
      <w:r>
        <w:rPr>
          <w:rFonts w:ascii="Poppins" w:hAnsi="Poppins" w:cs="Poppins"/>
          <w:b/>
          <w:sz w:val="18"/>
          <w:szCs w:val="18"/>
        </w:rPr>
        <w:t>enero</w:t>
      </w:r>
      <w:r w:rsidRPr="000E0BA2">
        <w:rPr>
          <w:rFonts w:ascii="Poppins" w:hAnsi="Poppins" w:cs="Poppins"/>
          <w:b/>
          <w:sz w:val="18"/>
          <w:szCs w:val="18"/>
        </w:rPr>
        <w:t xml:space="preserve"> del 202</w:t>
      </w:r>
      <w:r>
        <w:rPr>
          <w:rFonts w:ascii="Poppins" w:hAnsi="Poppins" w:cs="Poppins"/>
          <w:b/>
          <w:sz w:val="18"/>
          <w:szCs w:val="18"/>
        </w:rPr>
        <w:t>6</w:t>
      </w:r>
    </w:p>
    <w:p w14:paraId="13683BDB" w14:textId="77777777" w:rsidR="00812AE9" w:rsidRPr="000E0BA2" w:rsidRDefault="00812AE9" w:rsidP="00812AE9">
      <w:pPr>
        <w:shd w:val="clear" w:color="auto" w:fill="FFFFFF"/>
        <w:ind w:left="425"/>
        <w:jc w:val="both"/>
        <w:rPr>
          <w:rFonts w:ascii="Poppins" w:hAnsi="Poppins" w:cs="Poppins"/>
          <w:sz w:val="18"/>
          <w:szCs w:val="18"/>
        </w:rPr>
      </w:pPr>
    </w:p>
    <w:p w14:paraId="20CCEF8A" w14:textId="77777777" w:rsidR="00812AE9" w:rsidRPr="000E0BA2" w:rsidRDefault="00812AE9" w:rsidP="00812AE9">
      <w:pPr>
        <w:shd w:val="clear" w:color="auto" w:fill="FFFFFF"/>
        <w:ind w:left="425"/>
        <w:jc w:val="both"/>
        <w:rPr>
          <w:rFonts w:ascii="Poppins" w:hAnsi="Poppins" w:cs="Poppins"/>
          <w:sz w:val="18"/>
          <w:szCs w:val="18"/>
        </w:rPr>
      </w:pPr>
      <w:r w:rsidRPr="000E0BA2">
        <w:rPr>
          <w:rFonts w:ascii="Poppins" w:hAnsi="Poppins" w:cs="Poppins"/>
          <w:sz w:val="18"/>
          <w:szCs w:val="18"/>
        </w:rPr>
        <w:t xml:space="preserve">Los inventarios de petróleo de Estados Unidos se </w:t>
      </w:r>
      <w:r>
        <w:rPr>
          <w:rFonts w:ascii="Poppins" w:hAnsi="Poppins" w:cs="Poppins"/>
          <w:sz w:val="18"/>
          <w:szCs w:val="18"/>
        </w:rPr>
        <w:t>incrementaron</w:t>
      </w:r>
      <w:r w:rsidRPr="000E0BA2">
        <w:rPr>
          <w:rFonts w:ascii="Poppins" w:hAnsi="Poppins" w:cs="Poppins"/>
          <w:sz w:val="18"/>
          <w:szCs w:val="18"/>
        </w:rPr>
        <w:t xml:space="preserve"> en </w:t>
      </w:r>
      <w:r>
        <w:rPr>
          <w:rFonts w:ascii="Poppins" w:hAnsi="Poppins" w:cs="Poppins"/>
          <w:sz w:val="18"/>
          <w:szCs w:val="18"/>
        </w:rPr>
        <w:t>3</w:t>
      </w:r>
      <w:r w:rsidRPr="000E0BA2">
        <w:rPr>
          <w:rFonts w:ascii="Poppins" w:hAnsi="Poppins" w:cs="Poppins"/>
          <w:sz w:val="18"/>
          <w:szCs w:val="18"/>
        </w:rPr>
        <w:t>,</w:t>
      </w:r>
      <w:r>
        <w:rPr>
          <w:rFonts w:ascii="Poppins" w:hAnsi="Poppins" w:cs="Poppins"/>
          <w:sz w:val="18"/>
          <w:szCs w:val="18"/>
        </w:rPr>
        <w:t>6</w:t>
      </w:r>
      <w:r w:rsidRPr="000E0BA2">
        <w:rPr>
          <w:rFonts w:ascii="Poppins" w:hAnsi="Poppins" w:cs="Poppins"/>
          <w:sz w:val="18"/>
          <w:szCs w:val="18"/>
        </w:rPr>
        <w:t xml:space="preserve"> millones de barriles alcanzando los 4</w:t>
      </w:r>
      <w:r>
        <w:rPr>
          <w:rFonts w:ascii="Poppins" w:hAnsi="Poppins" w:cs="Poppins"/>
          <w:sz w:val="18"/>
          <w:szCs w:val="18"/>
        </w:rPr>
        <w:t>26</w:t>
      </w:r>
      <w:r w:rsidRPr="000E0BA2">
        <w:rPr>
          <w:rFonts w:ascii="Poppins" w:hAnsi="Poppins" w:cs="Poppins"/>
          <w:sz w:val="18"/>
          <w:szCs w:val="18"/>
        </w:rPr>
        <w:t>,</w:t>
      </w:r>
      <w:r>
        <w:rPr>
          <w:rFonts w:ascii="Poppins" w:hAnsi="Poppins" w:cs="Poppins"/>
          <w:sz w:val="18"/>
          <w:szCs w:val="18"/>
        </w:rPr>
        <w:t>0</w:t>
      </w:r>
      <w:r w:rsidRPr="000E0BA2">
        <w:rPr>
          <w:rFonts w:ascii="Poppins" w:hAnsi="Poppins" w:cs="Poppins"/>
          <w:sz w:val="18"/>
          <w:szCs w:val="18"/>
        </w:rPr>
        <w:t xml:space="preserve"> millones de barriles, ubicándose en un -</w:t>
      </w:r>
      <w:r>
        <w:rPr>
          <w:rFonts w:ascii="Poppins" w:hAnsi="Poppins" w:cs="Poppins"/>
          <w:sz w:val="18"/>
          <w:szCs w:val="18"/>
        </w:rPr>
        <w:t>2</w:t>
      </w:r>
      <w:r w:rsidRPr="000E0BA2">
        <w:rPr>
          <w:rFonts w:ascii="Poppins" w:hAnsi="Poppins" w:cs="Poppins"/>
          <w:sz w:val="18"/>
          <w:szCs w:val="18"/>
        </w:rPr>
        <w:t>% por debajo de la media de los últimos 5 años, para esta época del año.</w:t>
      </w:r>
    </w:p>
    <w:p w14:paraId="710E56B3" w14:textId="77777777" w:rsidR="00812AE9" w:rsidRPr="000E0BA2" w:rsidRDefault="00812AE9" w:rsidP="00812AE9">
      <w:pPr>
        <w:shd w:val="clear" w:color="auto" w:fill="FFFFFF"/>
        <w:ind w:left="425"/>
        <w:jc w:val="both"/>
        <w:rPr>
          <w:rFonts w:ascii="Poppins" w:hAnsi="Poppins" w:cs="Poppins"/>
          <w:sz w:val="18"/>
          <w:szCs w:val="18"/>
        </w:rPr>
      </w:pPr>
    </w:p>
    <w:p w14:paraId="4E20FB80" w14:textId="77777777" w:rsidR="00812AE9" w:rsidRPr="000E0BA2" w:rsidRDefault="00812AE9" w:rsidP="00812AE9">
      <w:pPr>
        <w:shd w:val="clear" w:color="auto" w:fill="FFFFFF"/>
        <w:ind w:left="425"/>
        <w:jc w:val="both"/>
        <w:rPr>
          <w:rFonts w:ascii="Poppins" w:hAnsi="Poppins" w:cs="Poppins"/>
          <w:sz w:val="18"/>
          <w:szCs w:val="18"/>
        </w:rPr>
      </w:pPr>
      <w:r w:rsidRPr="000E0BA2">
        <w:rPr>
          <w:rFonts w:ascii="Poppins" w:hAnsi="Poppins" w:cs="Poppins"/>
          <w:sz w:val="18"/>
          <w:szCs w:val="18"/>
        </w:rPr>
        <w:t>Por su parte, las existencias de gasolinas aumentaron en</w:t>
      </w:r>
      <w:r>
        <w:rPr>
          <w:rFonts w:ascii="Poppins" w:hAnsi="Poppins" w:cs="Poppins"/>
          <w:sz w:val="18"/>
          <w:szCs w:val="18"/>
        </w:rPr>
        <w:t xml:space="preserve"> 6,0 </w:t>
      </w:r>
      <w:r w:rsidRPr="000E0BA2">
        <w:rPr>
          <w:rFonts w:ascii="Poppins" w:hAnsi="Poppins" w:cs="Poppins"/>
          <w:sz w:val="18"/>
          <w:szCs w:val="18"/>
        </w:rPr>
        <w:t>millones de barriles, reportando un total de 2</w:t>
      </w:r>
      <w:r>
        <w:rPr>
          <w:rFonts w:ascii="Poppins" w:hAnsi="Poppins" w:cs="Poppins"/>
          <w:sz w:val="18"/>
          <w:szCs w:val="18"/>
        </w:rPr>
        <w:t>57</w:t>
      </w:r>
      <w:r w:rsidRPr="000E0BA2">
        <w:rPr>
          <w:rFonts w:ascii="Poppins" w:hAnsi="Poppins" w:cs="Poppins"/>
          <w:sz w:val="18"/>
          <w:szCs w:val="18"/>
        </w:rPr>
        <w:t>,</w:t>
      </w:r>
      <w:r>
        <w:rPr>
          <w:rFonts w:ascii="Poppins" w:hAnsi="Poppins" w:cs="Poppins"/>
          <w:sz w:val="18"/>
          <w:szCs w:val="18"/>
        </w:rPr>
        <w:t xml:space="preserve">0 </w:t>
      </w:r>
      <w:r w:rsidRPr="000E0BA2">
        <w:rPr>
          <w:rFonts w:ascii="Poppins" w:hAnsi="Poppins" w:cs="Poppins"/>
          <w:sz w:val="18"/>
          <w:szCs w:val="18"/>
        </w:rPr>
        <w:t xml:space="preserve">millones de barriles. Asimismo, los inventarios de destilados, que incluyen al diésel y al combustible para calefacción </w:t>
      </w:r>
      <w:r>
        <w:rPr>
          <w:rFonts w:ascii="Poppins" w:hAnsi="Poppins" w:cs="Poppins"/>
          <w:sz w:val="18"/>
          <w:szCs w:val="18"/>
        </w:rPr>
        <w:t>se elevaron</w:t>
      </w:r>
      <w:r w:rsidRPr="000E0BA2">
        <w:rPr>
          <w:rFonts w:ascii="Poppins" w:hAnsi="Poppins" w:cs="Poppins"/>
          <w:sz w:val="18"/>
          <w:szCs w:val="18"/>
        </w:rPr>
        <w:t xml:space="preserve"> en </w:t>
      </w:r>
      <w:r>
        <w:rPr>
          <w:rFonts w:ascii="Poppins" w:hAnsi="Poppins" w:cs="Poppins"/>
          <w:sz w:val="18"/>
          <w:szCs w:val="18"/>
        </w:rPr>
        <w:t xml:space="preserve">3,3 </w:t>
      </w:r>
      <w:r w:rsidRPr="000E0BA2">
        <w:rPr>
          <w:rFonts w:ascii="Poppins" w:hAnsi="Poppins" w:cs="Poppins"/>
          <w:sz w:val="18"/>
          <w:szCs w:val="18"/>
        </w:rPr>
        <w:t>millones de barriles, ubicándose en 1</w:t>
      </w:r>
      <w:r>
        <w:rPr>
          <w:rFonts w:ascii="Poppins" w:hAnsi="Poppins" w:cs="Poppins"/>
          <w:sz w:val="18"/>
          <w:szCs w:val="18"/>
        </w:rPr>
        <w:t>32</w:t>
      </w:r>
      <w:r w:rsidRPr="000E0BA2">
        <w:rPr>
          <w:rFonts w:ascii="Poppins" w:hAnsi="Poppins" w:cs="Poppins"/>
          <w:sz w:val="18"/>
          <w:szCs w:val="18"/>
        </w:rPr>
        <w:t>,</w:t>
      </w:r>
      <w:r>
        <w:rPr>
          <w:rFonts w:ascii="Poppins" w:hAnsi="Poppins" w:cs="Poppins"/>
          <w:sz w:val="18"/>
          <w:szCs w:val="18"/>
        </w:rPr>
        <w:t>6</w:t>
      </w:r>
      <w:r w:rsidRPr="000E0BA2">
        <w:rPr>
          <w:rFonts w:ascii="Poppins" w:hAnsi="Poppins" w:cs="Poppins"/>
          <w:sz w:val="18"/>
          <w:szCs w:val="18"/>
        </w:rPr>
        <w:t xml:space="preserve"> millones de barriles</w:t>
      </w:r>
      <w:r>
        <w:rPr>
          <w:rFonts w:ascii="Poppins" w:hAnsi="Poppins" w:cs="Poppins"/>
          <w:sz w:val="18"/>
          <w:szCs w:val="18"/>
        </w:rPr>
        <w:t>.</w:t>
      </w:r>
    </w:p>
    <w:p w14:paraId="625D3BAF" w14:textId="77777777" w:rsidR="00812AE9" w:rsidRPr="000E0BA2" w:rsidRDefault="00812AE9" w:rsidP="00812AE9">
      <w:pPr>
        <w:shd w:val="clear" w:color="auto" w:fill="FFFFFF"/>
        <w:ind w:left="425"/>
        <w:jc w:val="both"/>
        <w:rPr>
          <w:rFonts w:ascii="Poppins" w:hAnsi="Poppins" w:cs="Poppins"/>
          <w:sz w:val="18"/>
          <w:szCs w:val="18"/>
        </w:rPr>
      </w:pPr>
    </w:p>
    <w:p w14:paraId="2DC78EC7" w14:textId="77777777" w:rsidR="00812AE9" w:rsidRPr="000E0BA2" w:rsidRDefault="00812AE9" w:rsidP="00812AE9">
      <w:pPr>
        <w:shd w:val="clear" w:color="auto" w:fill="FFFFFF"/>
        <w:ind w:left="425"/>
        <w:jc w:val="both"/>
        <w:rPr>
          <w:rFonts w:ascii="Poppins" w:hAnsi="Poppins" w:cs="Poppins"/>
          <w:sz w:val="18"/>
          <w:szCs w:val="18"/>
        </w:rPr>
      </w:pPr>
      <w:r w:rsidRPr="000E0BA2">
        <w:rPr>
          <w:rFonts w:ascii="Poppins" w:hAnsi="Poppins" w:cs="Poppins"/>
          <w:sz w:val="18"/>
          <w:szCs w:val="18"/>
        </w:rPr>
        <w:t>Finalmente, las existencias de propano se</w:t>
      </w:r>
      <w:r>
        <w:rPr>
          <w:rFonts w:ascii="Poppins" w:hAnsi="Poppins" w:cs="Poppins"/>
          <w:sz w:val="18"/>
          <w:szCs w:val="18"/>
        </w:rPr>
        <w:t xml:space="preserve"> redujeron </w:t>
      </w:r>
      <w:r w:rsidRPr="000E0BA2">
        <w:rPr>
          <w:rFonts w:ascii="Poppins" w:hAnsi="Poppins" w:cs="Poppins"/>
          <w:sz w:val="18"/>
          <w:szCs w:val="18"/>
        </w:rPr>
        <w:t xml:space="preserve">en </w:t>
      </w:r>
      <w:r>
        <w:rPr>
          <w:rFonts w:ascii="Poppins" w:hAnsi="Poppins" w:cs="Poppins"/>
          <w:sz w:val="18"/>
          <w:szCs w:val="18"/>
        </w:rPr>
        <w:t xml:space="preserve">2,07 </w:t>
      </w:r>
      <w:r w:rsidRPr="000E0BA2">
        <w:rPr>
          <w:rFonts w:ascii="Poppins" w:hAnsi="Poppins" w:cs="Poppins"/>
          <w:sz w:val="18"/>
          <w:szCs w:val="18"/>
        </w:rPr>
        <w:t xml:space="preserve">millones de barriles, registrando un nivel de </w:t>
      </w:r>
      <w:r>
        <w:rPr>
          <w:rFonts w:ascii="Poppins" w:hAnsi="Poppins" w:cs="Poppins"/>
          <w:sz w:val="18"/>
          <w:szCs w:val="18"/>
        </w:rPr>
        <w:t>93</w:t>
      </w:r>
      <w:r w:rsidRPr="000E0BA2">
        <w:rPr>
          <w:rFonts w:ascii="Poppins" w:hAnsi="Poppins" w:cs="Poppins"/>
          <w:sz w:val="18"/>
          <w:szCs w:val="18"/>
        </w:rPr>
        <w:t>,</w:t>
      </w:r>
      <w:r>
        <w:rPr>
          <w:rFonts w:ascii="Poppins" w:hAnsi="Poppins" w:cs="Poppins"/>
          <w:sz w:val="18"/>
          <w:szCs w:val="18"/>
        </w:rPr>
        <w:t>64</w:t>
      </w:r>
      <w:r w:rsidRPr="000E0BA2">
        <w:rPr>
          <w:rFonts w:ascii="Poppins" w:hAnsi="Poppins" w:cs="Poppins"/>
          <w:sz w:val="18"/>
          <w:szCs w:val="18"/>
        </w:rPr>
        <w:t xml:space="preserve"> millones de barriles</w:t>
      </w:r>
      <w:r>
        <w:rPr>
          <w:rFonts w:ascii="Poppins" w:hAnsi="Poppins" w:cs="Poppins"/>
          <w:sz w:val="18"/>
          <w:szCs w:val="18"/>
        </w:rPr>
        <w:t>.</w:t>
      </w:r>
    </w:p>
    <w:p w14:paraId="5BBD38D7" w14:textId="77777777" w:rsidR="00812AE9" w:rsidRPr="00FB7768" w:rsidRDefault="00812AE9" w:rsidP="00812AE9">
      <w:pPr>
        <w:shd w:val="clear" w:color="auto" w:fill="FFFFFF"/>
        <w:ind w:left="425"/>
        <w:jc w:val="both"/>
        <w:rPr>
          <w:rFonts w:ascii="Poppins" w:hAnsi="Poppins" w:cs="Poppins"/>
          <w:sz w:val="18"/>
          <w:szCs w:val="18"/>
          <w:highlight w:val="yellow"/>
        </w:rPr>
      </w:pPr>
    </w:p>
    <w:p w14:paraId="053A7410" w14:textId="77777777" w:rsidR="00812AE9" w:rsidRPr="0028596F" w:rsidRDefault="00812AE9" w:rsidP="00812AE9">
      <w:pPr>
        <w:pStyle w:val="Prrafodelista"/>
        <w:numPr>
          <w:ilvl w:val="0"/>
          <w:numId w:val="30"/>
        </w:numPr>
        <w:ind w:left="425"/>
        <w:contextualSpacing/>
        <w:jc w:val="both"/>
        <w:rPr>
          <w:rFonts w:ascii="Poppins" w:hAnsi="Poppins" w:cs="Poppins"/>
          <w:b/>
          <w:sz w:val="18"/>
          <w:szCs w:val="18"/>
        </w:rPr>
      </w:pPr>
      <w:r w:rsidRPr="0028596F">
        <w:rPr>
          <w:rFonts w:ascii="Poppins" w:hAnsi="Poppins" w:cs="Poppins"/>
          <w:b/>
          <w:sz w:val="18"/>
          <w:szCs w:val="18"/>
        </w:rPr>
        <w:t xml:space="preserve">EE.UU. reconfigura el control del crudo venezolano entre </w:t>
      </w:r>
      <w:r>
        <w:rPr>
          <w:rFonts w:ascii="Poppins" w:hAnsi="Poppins" w:cs="Poppins"/>
          <w:b/>
          <w:sz w:val="18"/>
          <w:szCs w:val="18"/>
        </w:rPr>
        <w:t xml:space="preserve">el </w:t>
      </w:r>
      <w:r w:rsidRPr="0028596F">
        <w:rPr>
          <w:rFonts w:ascii="Poppins" w:hAnsi="Poppins" w:cs="Poppins"/>
          <w:b/>
          <w:sz w:val="18"/>
          <w:szCs w:val="18"/>
        </w:rPr>
        <w:t xml:space="preserve">“cerco” marítimo y licencias ampliadas </w:t>
      </w:r>
      <w:r>
        <w:rPr>
          <w:rFonts w:ascii="Poppins" w:hAnsi="Poppins" w:cs="Poppins"/>
          <w:b/>
          <w:sz w:val="18"/>
          <w:szCs w:val="18"/>
        </w:rPr>
        <w:t>para</w:t>
      </w:r>
      <w:r w:rsidRPr="0028596F">
        <w:rPr>
          <w:rFonts w:ascii="Poppins" w:hAnsi="Poppins" w:cs="Poppins"/>
          <w:b/>
          <w:sz w:val="18"/>
          <w:szCs w:val="18"/>
        </w:rPr>
        <w:t xml:space="preserve"> exportaciones supervisadas</w:t>
      </w:r>
    </w:p>
    <w:p w14:paraId="2E834921" w14:textId="77777777" w:rsidR="00812AE9" w:rsidRPr="000374EE" w:rsidRDefault="00812AE9" w:rsidP="00812AE9">
      <w:pPr>
        <w:shd w:val="clear" w:color="auto" w:fill="FFFFFF"/>
        <w:ind w:left="425"/>
        <w:jc w:val="both"/>
        <w:rPr>
          <w:rFonts w:ascii="Poppins" w:hAnsi="Poppins" w:cs="Poppins"/>
          <w:sz w:val="18"/>
          <w:szCs w:val="18"/>
          <w:highlight w:val="yellow"/>
        </w:rPr>
      </w:pPr>
    </w:p>
    <w:p w14:paraId="7D993D1E" w14:textId="77777777" w:rsidR="00812AE9" w:rsidRPr="00270151" w:rsidRDefault="00812AE9" w:rsidP="00812AE9">
      <w:pPr>
        <w:shd w:val="clear" w:color="auto" w:fill="FFFFFF"/>
        <w:ind w:left="425"/>
        <w:jc w:val="both"/>
        <w:rPr>
          <w:rFonts w:ascii="Poppins" w:hAnsi="Poppins" w:cs="Poppins"/>
          <w:sz w:val="18"/>
          <w:szCs w:val="18"/>
        </w:rPr>
      </w:pPr>
      <w:r w:rsidRPr="00270151">
        <w:rPr>
          <w:rFonts w:ascii="Poppins" w:hAnsi="Poppins" w:cs="Poppins"/>
          <w:sz w:val="18"/>
          <w:szCs w:val="18"/>
        </w:rPr>
        <w:t xml:space="preserve">Tras la intervención político-militar del 3 de enero, en la que fuerzas estadounidenses detuvieron al presidente Nicolás Maduro y lo trasladaron a EE.UU. para enfrentar cargos federales, este país endureció su estrategia de control sobre los flujos de crudo venezolano, desplazando el énfasis desde sanciones financieras hacia acciones logísticas y </w:t>
      </w:r>
      <w:r w:rsidRPr="00270151">
        <w:rPr>
          <w:rFonts w:ascii="Poppins" w:hAnsi="Poppins" w:cs="Poppins"/>
          <w:sz w:val="18"/>
          <w:szCs w:val="18"/>
        </w:rPr>
        <w:lastRenderedPageBreak/>
        <w:t>comercialización supervisada. Si bien en semanas previas se habían reportado incautaciones de buques vinculados a comercio sancionado, el foco reciente pasó a canalizar las exportaciones exclusivamente mediante esquemas autorizados, reduciendo la operatividad informal y el uso de almacenamiento flotante. En este marco, EE.UU. avanzó en la ampliación de licencias petroleras, particularmente para Chevron, que permitirían a la compañía pagar regalías e impuestos en efectivo y exportar una mayor proporción de su producción, superando la restricción previa que limitaba los envíos a cerca del 50 % de la producción local.</w:t>
      </w:r>
    </w:p>
    <w:p w14:paraId="7ACAA8B2" w14:textId="77777777" w:rsidR="00812AE9" w:rsidRPr="00270151" w:rsidRDefault="00812AE9" w:rsidP="00812AE9">
      <w:pPr>
        <w:shd w:val="clear" w:color="auto" w:fill="FFFFFF"/>
        <w:ind w:left="425"/>
        <w:jc w:val="both"/>
        <w:rPr>
          <w:rFonts w:ascii="Poppins" w:hAnsi="Poppins" w:cs="Poppins"/>
          <w:sz w:val="18"/>
          <w:szCs w:val="18"/>
        </w:rPr>
      </w:pPr>
    </w:p>
    <w:p w14:paraId="4BB6BE28" w14:textId="77777777" w:rsidR="00812AE9" w:rsidRPr="00270151" w:rsidRDefault="00812AE9" w:rsidP="00812AE9">
      <w:pPr>
        <w:shd w:val="clear" w:color="auto" w:fill="FFFFFF"/>
        <w:ind w:left="425"/>
        <w:jc w:val="both"/>
        <w:rPr>
          <w:rFonts w:ascii="Poppins" w:hAnsi="Poppins" w:cs="Poppins"/>
          <w:sz w:val="18"/>
          <w:szCs w:val="18"/>
        </w:rPr>
      </w:pPr>
      <w:r w:rsidRPr="00270151">
        <w:rPr>
          <w:rFonts w:ascii="Poppins" w:hAnsi="Poppins" w:cs="Poppins"/>
          <w:sz w:val="18"/>
          <w:szCs w:val="18"/>
        </w:rPr>
        <w:t>En paralelo, EE.UU. habilitó la comercialización supervisada de crudo venezolano, avanzando con un esquema que contempla la colocación de 30–50 millones de barriles en mercados internacionales. Según Reuters, hasta el 21 de enero se habrían exportado aproximadamente 7,8 millones de barriles, con ingresos canalizados a cuentas bajo control estadounidense. En este contexto, Vitol y Trafigura, amparadas en licencias de EE.UU., comenzaron a ofrecer cargamentos de crudo y fuel oil venezolano a refinerías de Asia y otros destinos, aplicando descuentos relevantes frente al Brent para asegurar salida logística y recolocar barriles previamente limitados por las sanciones. Estas operaciones contribuyeron a aliviar parcialmente la saturación de inventarios y el uso de almacenamiento flotante frente a la costa venezolana, aunque los flujos hacia China continúan condicionados por el marco de control vigente.</w:t>
      </w:r>
    </w:p>
    <w:p w14:paraId="3CA9EA5C" w14:textId="77777777" w:rsidR="00812AE9" w:rsidRPr="00270151" w:rsidRDefault="00812AE9" w:rsidP="00812AE9">
      <w:pPr>
        <w:shd w:val="clear" w:color="auto" w:fill="FFFFFF"/>
        <w:ind w:left="425"/>
        <w:jc w:val="both"/>
        <w:rPr>
          <w:rFonts w:ascii="Poppins" w:hAnsi="Poppins" w:cs="Poppins"/>
          <w:sz w:val="18"/>
          <w:szCs w:val="18"/>
        </w:rPr>
      </w:pPr>
    </w:p>
    <w:p w14:paraId="5D909F7D" w14:textId="77777777" w:rsidR="00812AE9" w:rsidRDefault="00812AE9" w:rsidP="00812AE9">
      <w:pPr>
        <w:shd w:val="clear" w:color="auto" w:fill="FFFFFF"/>
        <w:ind w:left="425"/>
        <w:jc w:val="both"/>
        <w:rPr>
          <w:rFonts w:ascii="Poppins" w:hAnsi="Poppins" w:cs="Poppins"/>
          <w:sz w:val="18"/>
          <w:szCs w:val="18"/>
          <w:highlight w:val="yellow"/>
        </w:rPr>
      </w:pPr>
      <w:r w:rsidRPr="00270151">
        <w:rPr>
          <w:rFonts w:ascii="Poppins" w:hAnsi="Poppins" w:cs="Poppins"/>
          <w:sz w:val="18"/>
          <w:szCs w:val="18"/>
        </w:rPr>
        <w:t>Si bien la producción venezolana representa una fracción acotada del mercado global, este conjunto de medidas está introduciendo oferta incremental de crudo pesado en un contexto de holgura estructural del balance petrolero de 2026. En términos de mercado, la normalización supervisada de los flujos venezolanos ha tenido un impacto neto moderado sobre el precio del</w:t>
      </w:r>
      <w:r w:rsidRPr="009153C4">
        <w:rPr>
          <w:rFonts w:ascii="Poppins" w:hAnsi="Poppins" w:cs="Poppins"/>
          <w:sz w:val="18"/>
          <w:szCs w:val="18"/>
        </w:rPr>
        <w:t xml:space="preserve"> crudo, contribuyendo a moderar el sesgo alcista derivado de otros focos geopolíticos.</w:t>
      </w:r>
    </w:p>
    <w:p w14:paraId="104376F9" w14:textId="77777777" w:rsidR="00812AE9" w:rsidRPr="000374EE" w:rsidRDefault="00812AE9" w:rsidP="00812AE9">
      <w:pPr>
        <w:shd w:val="clear" w:color="auto" w:fill="FFFFFF"/>
        <w:ind w:left="425"/>
        <w:jc w:val="both"/>
        <w:rPr>
          <w:rFonts w:ascii="Poppins" w:hAnsi="Poppins" w:cs="Poppins"/>
          <w:sz w:val="18"/>
          <w:szCs w:val="18"/>
          <w:highlight w:val="yellow"/>
        </w:rPr>
      </w:pPr>
    </w:p>
    <w:p w14:paraId="0737EBE7" w14:textId="77777777" w:rsidR="00812AE9" w:rsidRPr="009546EB" w:rsidRDefault="00812AE9" w:rsidP="00812AE9">
      <w:pPr>
        <w:pStyle w:val="Prrafodelista"/>
        <w:numPr>
          <w:ilvl w:val="0"/>
          <w:numId w:val="30"/>
        </w:numPr>
        <w:ind w:left="425"/>
        <w:contextualSpacing/>
        <w:jc w:val="both"/>
        <w:rPr>
          <w:rFonts w:ascii="Poppins" w:hAnsi="Poppins" w:cs="Poppins"/>
          <w:b/>
          <w:sz w:val="18"/>
          <w:szCs w:val="18"/>
        </w:rPr>
      </w:pPr>
      <w:r w:rsidRPr="009546EB">
        <w:rPr>
          <w:rFonts w:ascii="Poppins" w:hAnsi="Poppins" w:cs="Poppins"/>
          <w:b/>
          <w:sz w:val="18"/>
          <w:szCs w:val="18"/>
        </w:rPr>
        <w:t>Ola de frío extremo en EE.UU. impulsa la demanda de gas, electricidad y refinados</w:t>
      </w:r>
    </w:p>
    <w:p w14:paraId="0761AE4D" w14:textId="77777777" w:rsidR="00812AE9" w:rsidRPr="009546EB" w:rsidRDefault="00812AE9" w:rsidP="00812AE9">
      <w:pPr>
        <w:jc w:val="both"/>
        <w:rPr>
          <w:rFonts w:ascii="Poppins" w:hAnsi="Poppins" w:cs="Poppins"/>
          <w:b/>
          <w:sz w:val="18"/>
          <w:szCs w:val="18"/>
        </w:rPr>
      </w:pPr>
    </w:p>
    <w:p w14:paraId="496867FC" w14:textId="77777777" w:rsidR="00812AE9" w:rsidRDefault="00812AE9" w:rsidP="00812AE9">
      <w:pPr>
        <w:shd w:val="clear" w:color="auto" w:fill="FFFFFF"/>
        <w:ind w:left="425"/>
        <w:jc w:val="both"/>
        <w:rPr>
          <w:rFonts w:ascii="Poppins" w:hAnsi="Poppins" w:cs="Poppins"/>
          <w:sz w:val="18"/>
          <w:szCs w:val="18"/>
        </w:rPr>
      </w:pPr>
      <w:r w:rsidRPr="009546EB">
        <w:rPr>
          <w:rFonts w:ascii="Poppins" w:hAnsi="Poppins" w:cs="Poppins"/>
          <w:sz w:val="18"/>
          <w:szCs w:val="18"/>
        </w:rPr>
        <w:t>Desde el 18 de enero, una intensa ola de frío polar afectó amplias zonas de Estados Unidos, con alertas invernales para entre 150 y 170 millones de personas en el Medio Oeste, Grandes Llanuras, Noreste, Valle de Ohio, Atlántico Medio y Texas. En varias de estas regiones, las temperaturas mínimas descendieron hasta –20 °C a –30 °C, con sensaciones térmicas aún más bajas por efecto del viento, alcanzando niveles considerados peligrosos para personas e infraestructura. Por un lado, el frío interrumpió la producción de petróleo en varias zonas obligando a cerrar pozos de forma preventiva y provocaron fallas en equipos y ductos, reduciendo temporalmente la producción de crudo en alrededor de 300 mil bpd. Aunque estas caídas fueron transitorias, bastaron para tensionar el mercado.</w:t>
      </w:r>
    </w:p>
    <w:p w14:paraId="456A083C" w14:textId="77777777" w:rsidR="00812AE9" w:rsidRDefault="00812AE9" w:rsidP="00812AE9">
      <w:pPr>
        <w:shd w:val="clear" w:color="auto" w:fill="FFFFFF"/>
        <w:ind w:left="425"/>
        <w:jc w:val="both"/>
        <w:rPr>
          <w:rFonts w:ascii="Poppins" w:hAnsi="Poppins" w:cs="Poppins"/>
          <w:sz w:val="18"/>
          <w:szCs w:val="18"/>
        </w:rPr>
      </w:pPr>
    </w:p>
    <w:p w14:paraId="0FCACFE6" w14:textId="77777777" w:rsidR="00812AE9" w:rsidRDefault="00812AE9" w:rsidP="00812AE9">
      <w:pPr>
        <w:shd w:val="clear" w:color="auto" w:fill="FFFFFF"/>
        <w:ind w:left="425"/>
        <w:jc w:val="both"/>
        <w:rPr>
          <w:rFonts w:ascii="Poppins" w:hAnsi="Poppins" w:cs="Poppins"/>
          <w:sz w:val="18"/>
          <w:szCs w:val="18"/>
        </w:rPr>
      </w:pPr>
      <w:r w:rsidRPr="009546EB">
        <w:rPr>
          <w:rFonts w:ascii="Poppins" w:hAnsi="Poppins" w:cs="Poppins"/>
          <w:sz w:val="18"/>
          <w:szCs w:val="18"/>
        </w:rPr>
        <w:t>Al mismo tiempo, el frío disparó el consumo de energía para calefacción. La demanda de gas natural en Estados Unidos subió hasta unos 156</w:t>
      </w:r>
      <w:r>
        <w:rPr>
          <w:rFonts w:ascii="Poppins" w:hAnsi="Poppins" w:cs="Poppins"/>
          <w:sz w:val="18"/>
          <w:szCs w:val="18"/>
        </w:rPr>
        <w:t xml:space="preserve"> mil</w:t>
      </w:r>
      <w:r w:rsidRPr="009546EB">
        <w:rPr>
          <w:rFonts w:ascii="Poppins" w:hAnsi="Poppins" w:cs="Poppins"/>
          <w:sz w:val="18"/>
          <w:szCs w:val="18"/>
        </w:rPr>
        <w:t xml:space="preserve"> millones de pies cúbicos </w:t>
      </w:r>
      <w:r>
        <w:rPr>
          <w:rFonts w:ascii="Poppins" w:hAnsi="Poppins" w:cs="Poppins"/>
          <w:sz w:val="18"/>
          <w:szCs w:val="18"/>
        </w:rPr>
        <w:t>por día</w:t>
      </w:r>
      <w:r w:rsidRPr="009546EB">
        <w:rPr>
          <w:rFonts w:ascii="Poppins" w:hAnsi="Poppins" w:cs="Poppins"/>
          <w:sz w:val="18"/>
          <w:szCs w:val="18"/>
        </w:rPr>
        <w:t>, muy por encima de lo habitual para esta época, llevando el precio del gas a alrededor de 5,3 US$</w:t>
      </w:r>
      <w:r>
        <w:rPr>
          <w:rFonts w:ascii="Poppins" w:hAnsi="Poppins" w:cs="Poppins"/>
          <w:sz w:val="18"/>
          <w:szCs w:val="18"/>
        </w:rPr>
        <w:t>/</w:t>
      </w:r>
      <w:r w:rsidRPr="009546EB">
        <w:rPr>
          <w:rFonts w:ascii="Poppins" w:hAnsi="Poppins" w:cs="Poppins"/>
          <w:sz w:val="18"/>
          <w:szCs w:val="18"/>
        </w:rPr>
        <w:t xml:space="preserve">millón de BTU, el nivel más alto desde 2022. En el sistema eléctrico, los operadores anticiparon picos históricos de consumo, con </w:t>
      </w:r>
      <w:r>
        <w:rPr>
          <w:rFonts w:ascii="Poppins" w:hAnsi="Poppins" w:cs="Poppins"/>
          <w:sz w:val="18"/>
          <w:szCs w:val="18"/>
        </w:rPr>
        <w:t xml:space="preserve">empresas operadores eléctricas como </w:t>
      </w:r>
      <w:r w:rsidRPr="009546EB">
        <w:rPr>
          <w:rFonts w:ascii="Poppins" w:hAnsi="Poppins" w:cs="Poppins"/>
          <w:sz w:val="18"/>
          <w:szCs w:val="18"/>
        </w:rPr>
        <w:t xml:space="preserve">PJM (este del país) proyectando 147 </w:t>
      </w:r>
      <w:r>
        <w:rPr>
          <w:rFonts w:ascii="Poppins" w:hAnsi="Poppins" w:cs="Poppins"/>
          <w:sz w:val="18"/>
          <w:szCs w:val="18"/>
        </w:rPr>
        <w:t>GW</w:t>
      </w:r>
      <w:r w:rsidRPr="009546EB">
        <w:rPr>
          <w:rFonts w:ascii="Poppins" w:hAnsi="Poppins" w:cs="Poppins"/>
          <w:sz w:val="18"/>
          <w:szCs w:val="18"/>
        </w:rPr>
        <w:t xml:space="preserve"> y </w:t>
      </w:r>
      <w:r>
        <w:rPr>
          <w:rFonts w:ascii="Poppins" w:hAnsi="Poppins" w:cs="Poppins"/>
          <w:sz w:val="18"/>
          <w:szCs w:val="18"/>
        </w:rPr>
        <w:t xml:space="preserve">en </w:t>
      </w:r>
      <w:r w:rsidRPr="009546EB">
        <w:rPr>
          <w:rFonts w:ascii="Poppins" w:hAnsi="Poppins" w:cs="Poppins"/>
          <w:sz w:val="18"/>
          <w:szCs w:val="18"/>
        </w:rPr>
        <w:t>Texas (</w:t>
      </w:r>
      <w:r>
        <w:rPr>
          <w:rFonts w:ascii="Poppins" w:hAnsi="Poppins" w:cs="Poppins"/>
          <w:sz w:val="18"/>
          <w:szCs w:val="18"/>
        </w:rPr>
        <w:t xml:space="preserve">empresa </w:t>
      </w:r>
      <w:r w:rsidRPr="009546EB">
        <w:rPr>
          <w:rFonts w:ascii="Poppins" w:hAnsi="Poppins" w:cs="Poppins"/>
          <w:sz w:val="18"/>
          <w:szCs w:val="18"/>
        </w:rPr>
        <w:t xml:space="preserve">ERCOT) cerca de 85 </w:t>
      </w:r>
      <w:r>
        <w:rPr>
          <w:rFonts w:ascii="Poppins" w:hAnsi="Poppins" w:cs="Poppins"/>
          <w:sz w:val="18"/>
          <w:szCs w:val="18"/>
        </w:rPr>
        <w:t>GW</w:t>
      </w:r>
      <w:r w:rsidRPr="009546EB">
        <w:rPr>
          <w:rFonts w:ascii="Poppins" w:hAnsi="Poppins" w:cs="Poppins"/>
          <w:sz w:val="18"/>
          <w:szCs w:val="18"/>
        </w:rPr>
        <w:t xml:space="preserve">. </w:t>
      </w:r>
      <w:r>
        <w:rPr>
          <w:rFonts w:ascii="Poppins" w:hAnsi="Poppins" w:cs="Poppins"/>
          <w:sz w:val="18"/>
          <w:szCs w:val="18"/>
        </w:rPr>
        <w:t>Finalmente, e</w:t>
      </w:r>
      <w:r w:rsidRPr="009546EB">
        <w:rPr>
          <w:rFonts w:ascii="Poppins" w:hAnsi="Poppins" w:cs="Poppins"/>
          <w:sz w:val="18"/>
          <w:szCs w:val="18"/>
        </w:rPr>
        <w:t>n regiones como Nueva Inglaterra, donde el gas es limitado, fue necesario usar</w:t>
      </w:r>
      <w:r>
        <w:rPr>
          <w:rFonts w:ascii="Poppins" w:hAnsi="Poppins" w:cs="Poppins"/>
          <w:sz w:val="18"/>
          <w:szCs w:val="18"/>
        </w:rPr>
        <w:t xml:space="preserve"> </w:t>
      </w:r>
      <w:r>
        <w:rPr>
          <w:rFonts w:ascii="Poppins" w:hAnsi="Poppins" w:cs="Poppins"/>
          <w:sz w:val="18"/>
          <w:szCs w:val="18"/>
        </w:rPr>
        <w:lastRenderedPageBreak/>
        <w:t>fuel oil (residual)</w:t>
      </w:r>
      <w:r w:rsidRPr="009546EB">
        <w:rPr>
          <w:rFonts w:ascii="Poppins" w:hAnsi="Poppins" w:cs="Poppins"/>
          <w:sz w:val="18"/>
          <w:szCs w:val="18"/>
        </w:rPr>
        <w:t xml:space="preserve"> para cerca del 40% de la generación eléctrica, lo que incrementó la demanda de derivados del petróleo como el diésel y </w:t>
      </w:r>
      <w:r>
        <w:rPr>
          <w:rFonts w:ascii="Poppins" w:hAnsi="Poppins" w:cs="Poppins"/>
          <w:sz w:val="18"/>
          <w:szCs w:val="18"/>
        </w:rPr>
        <w:t>residuales.</w:t>
      </w:r>
    </w:p>
    <w:p w14:paraId="729665D2" w14:textId="77777777" w:rsidR="00812AE9" w:rsidRDefault="00812AE9" w:rsidP="00812AE9">
      <w:pPr>
        <w:shd w:val="clear" w:color="auto" w:fill="FFFFFF"/>
        <w:ind w:left="425"/>
        <w:jc w:val="both"/>
        <w:rPr>
          <w:rFonts w:ascii="Poppins" w:hAnsi="Poppins" w:cs="Poppins"/>
          <w:sz w:val="18"/>
          <w:szCs w:val="18"/>
        </w:rPr>
      </w:pPr>
    </w:p>
    <w:p w14:paraId="0ECD1D22" w14:textId="77777777" w:rsidR="00812AE9" w:rsidRPr="00E538B8" w:rsidRDefault="00812AE9" w:rsidP="00812AE9">
      <w:pPr>
        <w:pStyle w:val="Prrafodelista"/>
        <w:numPr>
          <w:ilvl w:val="0"/>
          <w:numId w:val="30"/>
        </w:numPr>
        <w:ind w:left="425"/>
        <w:contextualSpacing/>
        <w:jc w:val="both"/>
        <w:rPr>
          <w:rFonts w:ascii="Poppins" w:hAnsi="Poppins" w:cs="Poppins"/>
          <w:b/>
          <w:sz w:val="18"/>
          <w:szCs w:val="18"/>
        </w:rPr>
      </w:pPr>
      <w:r w:rsidRPr="00E538B8">
        <w:rPr>
          <w:rFonts w:ascii="Poppins" w:hAnsi="Poppins" w:cs="Poppins"/>
          <w:b/>
          <w:sz w:val="18"/>
          <w:szCs w:val="18"/>
        </w:rPr>
        <w:t>Escalada de tensiones entre EE.UU. e Irán reactiva la prima geopolítica y sostiene el Brent en la zona de 65 US$/barril</w:t>
      </w:r>
    </w:p>
    <w:p w14:paraId="6DE34DEE" w14:textId="77777777" w:rsidR="00812AE9" w:rsidRPr="000374EE" w:rsidRDefault="00812AE9" w:rsidP="00812AE9">
      <w:pPr>
        <w:shd w:val="clear" w:color="auto" w:fill="FFFFFF"/>
        <w:ind w:left="425"/>
        <w:jc w:val="both"/>
        <w:rPr>
          <w:rFonts w:ascii="Poppins" w:hAnsi="Poppins" w:cs="Poppins"/>
          <w:sz w:val="18"/>
          <w:szCs w:val="18"/>
          <w:highlight w:val="yellow"/>
        </w:rPr>
      </w:pPr>
    </w:p>
    <w:p w14:paraId="4431A696" w14:textId="77777777" w:rsidR="00812AE9" w:rsidRDefault="00812AE9" w:rsidP="00812AE9">
      <w:pPr>
        <w:shd w:val="clear" w:color="auto" w:fill="FFFFFF"/>
        <w:ind w:left="425"/>
        <w:jc w:val="both"/>
        <w:rPr>
          <w:rFonts w:ascii="Poppins" w:hAnsi="Poppins" w:cs="Poppins"/>
          <w:sz w:val="18"/>
          <w:szCs w:val="18"/>
        </w:rPr>
      </w:pPr>
      <w:r w:rsidRPr="00D44178">
        <w:rPr>
          <w:rFonts w:ascii="Poppins" w:hAnsi="Poppins" w:cs="Poppins"/>
          <w:sz w:val="18"/>
          <w:szCs w:val="18"/>
        </w:rPr>
        <w:t xml:space="preserve">La prima geopolítica del crudo se reactivó con fuerza tras el deterioro de la situación interna en Irán, donde protestas sociales persistentes desde fines de diciembre, impulsadas por la inflación elevada, deterioro del poder adquisitivo, escasez de bienes básicos y creciente rechazo al control político del régimen, elevaron el riesgo de inestabilidad de este país petrolero. Este contexto interno actuó como catalizador para una escalada externa, luego que esta semana, EE.UU. elevara explícitamente el tono militar, anunciando el reposicionamiento de sus activos navales en Medio Oriente, incluido el porta-aviones USS Abraham Lincoln y varios destructores. El giro devolvió al mercado al modo “riesgo de interrupción”, impulsando al Brent hacia </w:t>
      </w:r>
      <w:r>
        <w:rPr>
          <w:rFonts w:ascii="Poppins" w:hAnsi="Poppins" w:cs="Poppins"/>
          <w:sz w:val="18"/>
          <w:szCs w:val="18"/>
        </w:rPr>
        <w:t>los</w:t>
      </w:r>
      <w:r w:rsidRPr="00D44178">
        <w:rPr>
          <w:rFonts w:ascii="Poppins" w:hAnsi="Poppins" w:cs="Poppins"/>
          <w:sz w:val="18"/>
          <w:szCs w:val="18"/>
        </w:rPr>
        <w:t xml:space="preserve"> 6</w:t>
      </w:r>
      <w:r>
        <w:rPr>
          <w:rFonts w:ascii="Poppins" w:hAnsi="Poppins" w:cs="Poppins"/>
          <w:sz w:val="18"/>
          <w:szCs w:val="18"/>
        </w:rPr>
        <w:t>5 US$</w:t>
      </w:r>
      <w:r w:rsidRPr="00D44178">
        <w:rPr>
          <w:rFonts w:ascii="Poppins" w:hAnsi="Poppins" w:cs="Poppins"/>
          <w:sz w:val="18"/>
          <w:szCs w:val="18"/>
        </w:rPr>
        <w:t>/barril</w:t>
      </w:r>
      <w:r>
        <w:rPr>
          <w:rFonts w:ascii="Poppins" w:hAnsi="Poppins" w:cs="Poppins"/>
          <w:sz w:val="18"/>
          <w:szCs w:val="18"/>
        </w:rPr>
        <w:t>.</w:t>
      </w:r>
    </w:p>
    <w:p w14:paraId="3FD09D89" w14:textId="77777777" w:rsidR="00812AE9" w:rsidRDefault="00812AE9" w:rsidP="00812AE9">
      <w:pPr>
        <w:shd w:val="clear" w:color="auto" w:fill="FFFFFF"/>
        <w:ind w:left="425"/>
        <w:jc w:val="both"/>
        <w:rPr>
          <w:rFonts w:ascii="Poppins" w:hAnsi="Poppins" w:cs="Poppins"/>
          <w:sz w:val="18"/>
          <w:szCs w:val="18"/>
        </w:rPr>
      </w:pPr>
    </w:p>
    <w:p w14:paraId="413870D4" w14:textId="77777777" w:rsidR="00812AE9" w:rsidRDefault="00812AE9" w:rsidP="00812AE9">
      <w:pPr>
        <w:shd w:val="clear" w:color="auto" w:fill="FFFFFF"/>
        <w:ind w:left="425"/>
        <w:jc w:val="both"/>
        <w:rPr>
          <w:rFonts w:ascii="Poppins" w:hAnsi="Poppins" w:cs="Poppins"/>
          <w:sz w:val="18"/>
          <w:szCs w:val="18"/>
        </w:rPr>
      </w:pPr>
      <w:r w:rsidRPr="00D44178">
        <w:rPr>
          <w:rFonts w:ascii="Poppins" w:hAnsi="Poppins" w:cs="Poppins"/>
          <w:sz w:val="18"/>
          <w:szCs w:val="18"/>
        </w:rPr>
        <w:t xml:space="preserve">El impacto se amplificó por el endurecimiento </w:t>
      </w:r>
      <w:r>
        <w:rPr>
          <w:rFonts w:ascii="Poppins" w:hAnsi="Poppins" w:cs="Poppins"/>
          <w:sz w:val="18"/>
          <w:szCs w:val="18"/>
        </w:rPr>
        <w:t>de sanciones a Irán</w:t>
      </w:r>
      <w:r w:rsidRPr="00D44178">
        <w:rPr>
          <w:rFonts w:ascii="Poppins" w:hAnsi="Poppins" w:cs="Poppins"/>
          <w:sz w:val="18"/>
          <w:szCs w:val="18"/>
        </w:rPr>
        <w:t>. El Departamento del Tesoro</w:t>
      </w:r>
      <w:r>
        <w:rPr>
          <w:rFonts w:ascii="Poppins" w:hAnsi="Poppins" w:cs="Poppins"/>
          <w:sz w:val="18"/>
          <w:szCs w:val="18"/>
        </w:rPr>
        <w:t xml:space="preserve"> (A través de la </w:t>
      </w:r>
      <w:r w:rsidRPr="00D44178">
        <w:rPr>
          <w:rFonts w:ascii="Poppins" w:hAnsi="Poppins" w:cs="Poppins"/>
          <w:sz w:val="18"/>
          <w:szCs w:val="18"/>
        </w:rPr>
        <w:t>OFAC</w:t>
      </w:r>
      <w:r>
        <w:rPr>
          <w:rFonts w:ascii="Poppins" w:hAnsi="Poppins" w:cs="Poppins"/>
          <w:sz w:val="18"/>
          <w:szCs w:val="18"/>
        </w:rPr>
        <w:t xml:space="preserve">) </w:t>
      </w:r>
      <w:r w:rsidRPr="00D44178">
        <w:rPr>
          <w:rFonts w:ascii="Poppins" w:hAnsi="Poppins" w:cs="Poppins"/>
          <w:sz w:val="18"/>
          <w:szCs w:val="18"/>
        </w:rPr>
        <w:t xml:space="preserve">sancionó 9 buques y 8 firmas vinculadas a la </w:t>
      </w:r>
      <w:r w:rsidRPr="00D44178">
        <w:rPr>
          <w:rFonts w:ascii="Poppins" w:hAnsi="Poppins" w:cs="Poppins"/>
          <w:i/>
          <w:iCs/>
          <w:sz w:val="18"/>
          <w:szCs w:val="18"/>
        </w:rPr>
        <w:t>“flota fantasma”</w:t>
      </w:r>
      <w:r w:rsidRPr="00D44178">
        <w:rPr>
          <w:rFonts w:ascii="Poppins" w:hAnsi="Poppins" w:cs="Poppins"/>
          <w:sz w:val="18"/>
          <w:szCs w:val="18"/>
        </w:rPr>
        <w:t xml:space="preserve"> iraní, señalando que hab</w:t>
      </w:r>
      <w:r>
        <w:rPr>
          <w:rFonts w:ascii="Poppins" w:hAnsi="Poppins" w:cs="Poppins"/>
          <w:sz w:val="18"/>
          <w:szCs w:val="18"/>
        </w:rPr>
        <w:t>r</w:t>
      </w:r>
      <w:r w:rsidRPr="00D44178">
        <w:rPr>
          <w:rFonts w:ascii="Poppins" w:hAnsi="Poppins" w:cs="Poppins"/>
          <w:sz w:val="18"/>
          <w:szCs w:val="18"/>
        </w:rPr>
        <w:t xml:space="preserve">ían movido </w:t>
      </w:r>
      <w:r w:rsidRPr="00D44178">
        <w:rPr>
          <w:rFonts w:ascii="Poppins" w:hAnsi="Poppins" w:cs="Poppins"/>
          <w:i/>
          <w:iCs/>
          <w:sz w:val="18"/>
          <w:szCs w:val="18"/>
        </w:rPr>
        <w:t>“cientos de millones de dólares</w:t>
      </w:r>
      <w:r w:rsidRPr="00D44178">
        <w:rPr>
          <w:rFonts w:ascii="Poppins" w:hAnsi="Poppins" w:cs="Poppins"/>
          <w:sz w:val="18"/>
          <w:szCs w:val="18"/>
        </w:rPr>
        <w:t xml:space="preserve">” en exportaciones de crudo y productos. Estas medidas elevan los costos de flete, seguros y </w:t>
      </w:r>
      <w:r>
        <w:rPr>
          <w:rFonts w:ascii="Poppins" w:hAnsi="Poppins" w:cs="Poppins"/>
          <w:sz w:val="18"/>
          <w:szCs w:val="18"/>
        </w:rPr>
        <w:t>obligan a nuevas rutas</w:t>
      </w:r>
      <w:r w:rsidRPr="00D44178">
        <w:rPr>
          <w:rFonts w:ascii="Poppins" w:hAnsi="Poppins" w:cs="Poppins"/>
          <w:sz w:val="18"/>
          <w:szCs w:val="18"/>
        </w:rPr>
        <w:t xml:space="preserve">, reduciendo la oferta </w:t>
      </w:r>
      <w:r w:rsidRPr="00D44178">
        <w:rPr>
          <w:rFonts w:ascii="Poppins" w:hAnsi="Poppins" w:cs="Poppins"/>
          <w:i/>
          <w:iCs/>
          <w:sz w:val="18"/>
          <w:szCs w:val="18"/>
        </w:rPr>
        <w:t>“efectiva”</w:t>
      </w:r>
      <w:r w:rsidRPr="00D44178">
        <w:rPr>
          <w:rFonts w:ascii="Poppins" w:hAnsi="Poppins" w:cs="Poppins"/>
          <w:sz w:val="18"/>
          <w:szCs w:val="18"/>
        </w:rPr>
        <w:t xml:space="preserve"> disponible, aun si la producción iraní no cae inmediatamente. </w:t>
      </w:r>
      <w:r w:rsidRPr="00823B8F">
        <w:rPr>
          <w:rFonts w:ascii="Poppins" w:hAnsi="Poppins" w:cs="Poppins"/>
          <w:sz w:val="18"/>
          <w:szCs w:val="18"/>
        </w:rPr>
        <w:t>Según Reuters, no es necesario un cierre efectivo del Estrecho de Ormuz para que el mercado incorpore prima</w:t>
      </w:r>
      <w:r>
        <w:rPr>
          <w:rFonts w:ascii="Poppins" w:hAnsi="Poppins" w:cs="Poppins"/>
          <w:sz w:val="18"/>
          <w:szCs w:val="18"/>
        </w:rPr>
        <w:t>s</w:t>
      </w:r>
      <w:r w:rsidRPr="00823B8F">
        <w:rPr>
          <w:rFonts w:ascii="Poppins" w:hAnsi="Poppins" w:cs="Poppins"/>
          <w:sz w:val="18"/>
          <w:szCs w:val="18"/>
        </w:rPr>
        <w:t xml:space="preserve"> adicional</w:t>
      </w:r>
      <w:r>
        <w:rPr>
          <w:rFonts w:ascii="Poppins" w:hAnsi="Poppins" w:cs="Poppins"/>
          <w:sz w:val="18"/>
          <w:szCs w:val="18"/>
        </w:rPr>
        <w:t xml:space="preserve">es, </w:t>
      </w:r>
      <w:r w:rsidRPr="00823B8F">
        <w:rPr>
          <w:rFonts w:ascii="Poppins" w:hAnsi="Poppins" w:cs="Poppins"/>
          <w:sz w:val="18"/>
          <w:szCs w:val="18"/>
        </w:rPr>
        <w:t>basta</w:t>
      </w:r>
      <w:r>
        <w:rPr>
          <w:rFonts w:ascii="Poppins" w:hAnsi="Poppins" w:cs="Poppins"/>
          <w:sz w:val="18"/>
          <w:szCs w:val="18"/>
        </w:rPr>
        <w:t>ndo</w:t>
      </w:r>
      <w:r w:rsidRPr="00823B8F">
        <w:rPr>
          <w:rFonts w:ascii="Poppins" w:hAnsi="Poppins" w:cs="Poppins"/>
          <w:sz w:val="18"/>
          <w:szCs w:val="18"/>
        </w:rPr>
        <w:t xml:space="preserve"> con un aumento </w:t>
      </w:r>
      <w:r>
        <w:rPr>
          <w:rFonts w:ascii="Poppins" w:hAnsi="Poppins" w:cs="Poppins"/>
          <w:sz w:val="18"/>
          <w:szCs w:val="18"/>
        </w:rPr>
        <w:t xml:space="preserve">en costos </w:t>
      </w:r>
      <w:r w:rsidRPr="00823B8F">
        <w:rPr>
          <w:rFonts w:ascii="Poppins" w:hAnsi="Poppins" w:cs="Poppins"/>
          <w:sz w:val="18"/>
          <w:szCs w:val="18"/>
        </w:rPr>
        <w:t>de seguro</w:t>
      </w:r>
      <w:r>
        <w:rPr>
          <w:rFonts w:ascii="Poppins" w:hAnsi="Poppins" w:cs="Poppins"/>
          <w:sz w:val="18"/>
          <w:szCs w:val="18"/>
        </w:rPr>
        <w:t>s</w:t>
      </w:r>
      <w:r w:rsidRPr="00823B8F">
        <w:rPr>
          <w:rFonts w:ascii="Poppins" w:hAnsi="Poppins" w:cs="Poppins"/>
          <w:sz w:val="18"/>
          <w:szCs w:val="18"/>
        </w:rPr>
        <w:t>, flete</w:t>
      </w:r>
      <w:r>
        <w:rPr>
          <w:rFonts w:ascii="Poppins" w:hAnsi="Poppins" w:cs="Poppins"/>
          <w:sz w:val="18"/>
          <w:szCs w:val="18"/>
        </w:rPr>
        <w:t>s</w:t>
      </w:r>
      <w:r w:rsidRPr="00823B8F">
        <w:rPr>
          <w:rFonts w:ascii="Poppins" w:hAnsi="Poppins" w:cs="Poppins"/>
          <w:sz w:val="18"/>
          <w:szCs w:val="18"/>
        </w:rPr>
        <w:t xml:space="preserve"> y la aversión al riesgo, considerando que por ese paso transitan alrededor de 14,5 millones de b</w:t>
      </w:r>
      <w:r>
        <w:rPr>
          <w:rFonts w:ascii="Poppins" w:hAnsi="Poppins" w:cs="Poppins"/>
          <w:sz w:val="18"/>
          <w:szCs w:val="18"/>
        </w:rPr>
        <w:t>pd</w:t>
      </w:r>
      <w:r w:rsidRPr="00823B8F">
        <w:rPr>
          <w:rFonts w:ascii="Poppins" w:hAnsi="Poppins" w:cs="Poppins"/>
          <w:sz w:val="18"/>
          <w:szCs w:val="18"/>
        </w:rPr>
        <w:t>, del comercio marítimo mundial de crudo, de acuerdo con la AIE.</w:t>
      </w:r>
    </w:p>
    <w:p w14:paraId="2D4D499C" w14:textId="77777777" w:rsidR="00812AE9" w:rsidRDefault="00812AE9" w:rsidP="00812AE9">
      <w:pPr>
        <w:shd w:val="clear" w:color="auto" w:fill="FFFFFF"/>
        <w:ind w:left="425"/>
        <w:jc w:val="both"/>
        <w:rPr>
          <w:rFonts w:ascii="Poppins" w:hAnsi="Poppins" w:cs="Poppins"/>
          <w:sz w:val="18"/>
          <w:szCs w:val="18"/>
        </w:rPr>
      </w:pPr>
    </w:p>
    <w:p w14:paraId="090DC249" w14:textId="77777777" w:rsidR="00812AE9" w:rsidRPr="00482600" w:rsidRDefault="00812AE9" w:rsidP="00812AE9">
      <w:pPr>
        <w:pStyle w:val="Prrafodelista"/>
        <w:numPr>
          <w:ilvl w:val="0"/>
          <w:numId w:val="30"/>
        </w:numPr>
        <w:ind w:left="425"/>
        <w:contextualSpacing/>
        <w:jc w:val="both"/>
        <w:rPr>
          <w:rFonts w:ascii="Poppins" w:hAnsi="Poppins" w:cs="Poppins"/>
          <w:b/>
          <w:sz w:val="18"/>
          <w:szCs w:val="18"/>
        </w:rPr>
      </w:pPr>
      <w:r w:rsidRPr="00482600">
        <w:rPr>
          <w:rFonts w:ascii="Poppins" w:hAnsi="Poppins" w:cs="Poppins"/>
          <w:b/>
          <w:sz w:val="18"/>
          <w:szCs w:val="18"/>
        </w:rPr>
        <w:t>Parada del megacampo Tengiz en Kazajistán empu</w:t>
      </w:r>
      <w:r>
        <w:rPr>
          <w:rFonts w:ascii="Poppins" w:hAnsi="Poppins" w:cs="Poppins"/>
          <w:b/>
          <w:sz w:val="18"/>
          <w:szCs w:val="18"/>
        </w:rPr>
        <w:t>jó</w:t>
      </w:r>
      <w:r w:rsidRPr="00482600">
        <w:rPr>
          <w:rFonts w:ascii="Poppins" w:hAnsi="Poppins" w:cs="Poppins"/>
          <w:b/>
          <w:sz w:val="18"/>
          <w:szCs w:val="18"/>
        </w:rPr>
        <w:t xml:space="preserve"> </w:t>
      </w:r>
      <w:r>
        <w:rPr>
          <w:rFonts w:ascii="Poppins" w:hAnsi="Poppins" w:cs="Poppins"/>
          <w:b/>
          <w:sz w:val="18"/>
          <w:szCs w:val="18"/>
        </w:rPr>
        <w:t xml:space="preserve">temporalmente </w:t>
      </w:r>
      <w:r w:rsidRPr="00482600">
        <w:rPr>
          <w:rFonts w:ascii="Poppins" w:hAnsi="Poppins" w:cs="Poppins"/>
          <w:b/>
          <w:sz w:val="18"/>
          <w:szCs w:val="18"/>
        </w:rPr>
        <w:t>al alza el precio del petróleo</w:t>
      </w:r>
    </w:p>
    <w:p w14:paraId="6FE33179" w14:textId="77777777" w:rsidR="00812AE9" w:rsidRDefault="00812AE9" w:rsidP="00812AE9">
      <w:pPr>
        <w:shd w:val="clear" w:color="auto" w:fill="FFFFFF"/>
        <w:ind w:left="425"/>
        <w:jc w:val="both"/>
        <w:rPr>
          <w:rFonts w:ascii="Poppins" w:hAnsi="Poppins" w:cs="Poppins"/>
          <w:sz w:val="18"/>
          <w:szCs w:val="18"/>
          <w:highlight w:val="yellow"/>
        </w:rPr>
      </w:pPr>
    </w:p>
    <w:p w14:paraId="79EDEFAE" w14:textId="77777777" w:rsidR="00812AE9" w:rsidRDefault="00812AE9" w:rsidP="00812AE9">
      <w:pPr>
        <w:shd w:val="clear" w:color="auto" w:fill="FFFFFF"/>
        <w:ind w:left="425"/>
        <w:jc w:val="both"/>
        <w:rPr>
          <w:rFonts w:ascii="Poppins" w:hAnsi="Poppins" w:cs="Poppins"/>
          <w:sz w:val="18"/>
          <w:szCs w:val="18"/>
        </w:rPr>
      </w:pPr>
      <w:r w:rsidRPr="00482600">
        <w:rPr>
          <w:rFonts w:ascii="Poppins" w:hAnsi="Poppins" w:cs="Poppins"/>
          <w:sz w:val="18"/>
          <w:szCs w:val="18"/>
        </w:rPr>
        <w:t>Un incendio ocurrido el 18 de enero obligó a detener Tengiz, uno de los yacimientos petroleros más grandes del mundo, ubicado en Kazajistán. Por razones de seguridad, las autoridades ordenaron parar completamente la producción, lo que retiró de forma abrupta una cantidad significativa de petróleo del mercado. Tengiz había alcanzado en 2025 una capacidad cercana a 900</w:t>
      </w:r>
      <w:r>
        <w:rPr>
          <w:rFonts w:ascii="Poppins" w:hAnsi="Poppins" w:cs="Poppins"/>
          <w:sz w:val="18"/>
          <w:szCs w:val="18"/>
        </w:rPr>
        <w:t xml:space="preserve"> mil </w:t>
      </w:r>
      <w:r w:rsidRPr="00482600">
        <w:rPr>
          <w:rFonts w:ascii="Poppins" w:hAnsi="Poppins" w:cs="Poppins"/>
          <w:sz w:val="18"/>
          <w:szCs w:val="18"/>
        </w:rPr>
        <w:t>barriles</w:t>
      </w:r>
      <w:r>
        <w:rPr>
          <w:rFonts w:ascii="Poppins" w:hAnsi="Poppins" w:cs="Poppins"/>
          <w:sz w:val="18"/>
          <w:szCs w:val="18"/>
        </w:rPr>
        <w:t xml:space="preserve"> por día (900 mil bpd), </w:t>
      </w:r>
      <w:r w:rsidRPr="00482600">
        <w:rPr>
          <w:rFonts w:ascii="Poppins" w:hAnsi="Poppins" w:cs="Poppins"/>
          <w:sz w:val="18"/>
          <w:szCs w:val="18"/>
        </w:rPr>
        <w:t>por lo que su salida, aunque temporal, generó preocupación inmediata entre los compradores</w:t>
      </w:r>
      <w:r>
        <w:rPr>
          <w:rFonts w:ascii="Poppins" w:hAnsi="Poppins" w:cs="Poppins"/>
          <w:sz w:val="18"/>
          <w:szCs w:val="18"/>
        </w:rPr>
        <w:t>.</w:t>
      </w:r>
    </w:p>
    <w:p w14:paraId="3810E8D0" w14:textId="77777777" w:rsidR="00812AE9" w:rsidRPr="00482600" w:rsidRDefault="00812AE9" w:rsidP="00812AE9">
      <w:pPr>
        <w:shd w:val="clear" w:color="auto" w:fill="FFFFFF"/>
        <w:ind w:left="425"/>
        <w:jc w:val="both"/>
        <w:rPr>
          <w:rFonts w:ascii="Poppins" w:hAnsi="Poppins" w:cs="Poppins"/>
          <w:sz w:val="18"/>
          <w:szCs w:val="18"/>
        </w:rPr>
      </w:pPr>
    </w:p>
    <w:p w14:paraId="7BC03E1D" w14:textId="77777777" w:rsidR="00812AE9" w:rsidRDefault="00812AE9" w:rsidP="00812AE9">
      <w:pPr>
        <w:shd w:val="clear" w:color="auto" w:fill="FFFFFF"/>
        <w:ind w:left="425"/>
        <w:jc w:val="both"/>
        <w:rPr>
          <w:rFonts w:ascii="Poppins" w:hAnsi="Poppins" w:cs="Poppins"/>
          <w:sz w:val="18"/>
          <w:szCs w:val="18"/>
        </w:rPr>
      </w:pPr>
      <w:r w:rsidRPr="00482600">
        <w:rPr>
          <w:rFonts w:ascii="Poppins" w:hAnsi="Poppins" w:cs="Poppins"/>
          <w:sz w:val="18"/>
          <w:szCs w:val="18"/>
        </w:rPr>
        <w:t>El impacto fue mayor porque Tengiz es la principal fuente de petróleo que alimenta el oleoducto del Caspio (CPC), por donde se transporta cerca del 80% del crudo que exporta Kazajistá</w:t>
      </w:r>
      <w:r>
        <w:rPr>
          <w:rFonts w:ascii="Poppins" w:hAnsi="Poppins" w:cs="Poppins"/>
          <w:sz w:val="18"/>
          <w:szCs w:val="18"/>
        </w:rPr>
        <w:t>n</w:t>
      </w:r>
      <w:r w:rsidRPr="00482600">
        <w:rPr>
          <w:rFonts w:ascii="Poppins" w:hAnsi="Poppins" w:cs="Poppins"/>
          <w:sz w:val="18"/>
          <w:szCs w:val="18"/>
        </w:rPr>
        <w:t xml:space="preserve">. Como consecuencia </w:t>
      </w:r>
      <w:r>
        <w:rPr>
          <w:rFonts w:ascii="Poppins" w:hAnsi="Poppins" w:cs="Poppins"/>
          <w:sz w:val="18"/>
          <w:szCs w:val="18"/>
        </w:rPr>
        <w:t>de la detención de las operaciones</w:t>
      </w:r>
      <w:r w:rsidRPr="00482600">
        <w:rPr>
          <w:rFonts w:ascii="Poppins" w:hAnsi="Poppins" w:cs="Poppins"/>
          <w:sz w:val="18"/>
          <w:szCs w:val="18"/>
        </w:rPr>
        <w:t>, las exportaciones por esta vía cayeron 24% en diciembre, y la producción total del país se redujo 35% en los primeros días de enero. Aunque el operador del campo confirmó el reinicio gradual de las operaciones tras restablecer el sistema eléctrico, el retorno ha sido lento</w:t>
      </w:r>
      <w:r>
        <w:rPr>
          <w:rFonts w:ascii="Poppins" w:hAnsi="Poppins" w:cs="Poppins"/>
          <w:sz w:val="18"/>
          <w:szCs w:val="18"/>
        </w:rPr>
        <w:t>.</w:t>
      </w:r>
    </w:p>
    <w:p w14:paraId="70619967" w14:textId="227B2BF4" w:rsidR="00784CB3" w:rsidRDefault="00784CB3" w:rsidP="00784CB3">
      <w:pPr>
        <w:shd w:val="clear" w:color="auto" w:fill="FFFFFF"/>
        <w:ind w:left="425"/>
        <w:jc w:val="both"/>
        <w:rPr>
          <w:rFonts w:ascii="Poppins" w:hAnsi="Poppins" w:cs="Poppins"/>
          <w:sz w:val="18"/>
          <w:szCs w:val="18"/>
          <w:highlight w:val="yellow"/>
        </w:rPr>
      </w:pPr>
    </w:p>
    <w:p w14:paraId="6A51E237" w14:textId="63CAF613" w:rsidR="00750E29" w:rsidRDefault="00750E29" w:rsidP="00784CB3">
      <w:pPr>
        <w:shd w:val="clear" w:color="auto" w:fill="FFFFFF"/>
        <w:ind w:left="425"/>
        <w:jc w:val="both"/>
        <w:rPr>
          <w:rFonts w:ascii="Poppins" w:hAnsi="Poppins" w:cs="Poppins"/>
          <w:sz w:val="18"/>
          <w:szCs w:val="18"/>
          <w:highlight w:val="yellow"/>
        </w:rPr>
      </w:pPr>
    </w:p>
    <w:p w14:paraId="7C4F2D36" w14:textId="0486698E" w:rsidR="00812AE9" w:rsidRDefault="00812AE9" w:rsidP="00784CB3">
      <w:pPr>
        <w:shd w:val="clear" w:color="auto" w:fill="FFFFFF"/>
        <w:ind w:left="425"/>
        <w:jc w:val="both"/>
        <w:rPr>
          <w:rFonts w:ascii="Poppins" w:hAnsi="Poppins" w:cs="Poppins"/>
          <w:sz w:val="18"/>
          <w:szCs w:val="18"/>
          <w:highlight w:val="yellow"/>
        </w:rPr>
      </w:pPr>
    </w:p>
    <w:p w14:paraId="338C26A8" w14:textId="22B3CC1B" w:rsidR="00812AE9" w:rsidRDefault="00812AE9" w:rsidP="00784CB3">
      <w:pPr>
        <w:shd w:val="clear" w:color="auto" w:fill="FFFFFF"/>
        <w:ind w:left="425"/>
        <w:jc w:val="both"/>
        <w:rPr>
          <w:rFonts w:ascii="Poppins" w:hAnsi="Poppins" w:cs="Poppins"/>
          <w:sz w:val="18"/>
          <w:szCs w:val="18"/>
          <w:highlight w:val="yellow"/>
        </w:rPr>
      </w:pPr>
    </w:p>
    <w:p w14:paraId="66A9EFD0" w14:textId="77777777" w:rsidR="00812AE9" w:rsidRPr="00A54DE8" w:rsidRDefault="00812AE9" w:rsidP="00784CB3">
      <w:pPr>
        <w:shd w:val="clear" w:color="auto" w:fill="FFFFFF"/>
        <w:ind w:left="425"/>
        <w:jc w:val="both"/>
        <w:rPr>
          <w:rFonts w:ascii="Poppins" w:hAnsi="Poppins" w:cs="Poppins"/>
          <w:sz w:val="18"/>
          <w:szCs w:val="18"/>
          <w:highlight w:val="yellow"/>
        </w:rPr>
      </w:pPr>
    </w:p>
    <w:p w14:paraId="77901E32" w14:textId="3507E131"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413AD4BF" w:rsidR="0000213D"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4F70749E" w:rsidR="00CD537C" w:rsidRDefault="00CD537C" w:rsidP="00D87FA1">
      <w:pPr>
        <w:ind w:left="426"/>
        <w:jc w:val="both"/>
        <w:rPr>
          <w:rFonts w:ascii="Poppins" w:hAnsi="Poppins" w:cs="Poppins"/>
          <w:sz w:val="18"/>
          <w:szCs w:val="18"/>
        </w:rPr>
      </w:pPr>
    </w:p>
    <w:p w14:paraId="2836C012" w14:textId="2061EDC2" w:rsidR="00750E29" w:rsidRDefault="00750E29" w:rsidP="00D87FA1">
      <w:pPr>
        <w:ind w:left="426"/>
        <w:jc w:val="both"/>
        <w:rPr>
          <w:rFonts w:ascii="Poppins" w:hAnsi="Poppins" w:cs="Poppins"/>
          <w:sz w:val="18"/>
          <w:szCs w:val="18"/>
        </w:rPr>
      </w:pPr>
    </w:p>
    <w:p w14:paraId="67EAF43B" w14:textId="3BA86396" w:rsidR="00812AE9" w:rsidRDefault="00812AE9" w:rsidP="00D87FA1">
      <w:pPr>
        <w:ind w:left="426"/>
        <w:jc w:val="both"/>
        <w:rPr>
          <w:rFonts w:ascii="Poppins" w:hAnsi="Poppins" w:cs="Poppins"/>
          <w:sz w:val="18"/>
          <w:szCs w:val="18"/>
        </w:rPr>
      </w:pPr>
    </w:p>
    <w:p w14:paraId="46013766" w14:textId="77777777" w:rsidR="00812AE9" w:rsidRDefault="00812AE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2E876E7F"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9833DB">
        <w:rPr>
          <w:rFonts w:ascii="Poppins" w:hAnsi="Poppins" w:cs="Poppins"/>
          <w:sz w:val="18"/>
          <w:szCs w:val="18"/>
        </w:rPr>
        <w:t>3</w:t>
      </w:r>
      <w:r w:rsidR="00DE2753">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5151B0">
        <w:rPr>
          <w:rFonts w:ascii="Poppins" w:hAnsi="Poppins" w:cs="Poppins"/>
          <w:sz w:val="18"/>
          <w:szCs w:val="18"/>
        </w:rPr>
        <w:t>26</w:t>
      </w:r>
      <w:r w:rsidR="007C4098">
        <w:rPr>
          <w:rFonts w:ascii="Poppins" w:hAnsi="Poppins" w:cs="Poppins"/>
          <w:sz w:val="18"/>
          <w:szCs w:val="18"/>
        </w:rPr>
        <w:t xml:space="preserve"> de</w:t>
      </w:r>
      <w:r w:rsidRPr="00581B20">
        <w:rPr>
          <w:rFonts w:ascii="Poppins" w:hAnsi="Poppins" w:cs="Poppins"/>
          <w:sz w:val="18"/>
          <w:szCs w:val="18"/>
        </w:rPr>
        <w:t xml:space="preserve"> </w:t>
      </w:r>
      <w:r w:rsidR="00DE2753">
        <w:rPr>
          <w:rFonts w:ascii="Poppins" w:hAnsi="Poppins" w:cs="Poppins"/>
          <w:sz w:val="18"/>
          <w:szCs w:val="18"/>
        </w:rPr>
        <w:t>dic</w:t>
      </w:r>
      <w:r w:rsidR="009833DB">
        <w:rPr>
          <w:rFonts w:ascii="Poppins" w:hAnsi="Poppins" w:cs="Poppins"/>
          <w:sz w:val="18"/>
          <w:szCs w:val="18"/>
        </w:rPr>
        <w: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DE2753">
        <w:rPr>
          <w:rFonts w:ascii="Poppins" w:hAnsi="Poppins" w:cs="Poppins"/>
          <w:sz w:val="18"/>
          <w:szCs w:val="18"/>
        </w:rPr>
        <w:t>9</w:t>
      </w:r>
      <w:r w:rsidRPr="00581B20">
        <w:rPr>
          <w:rFonts w:ascii="Poppins" w:hAnsi="Poppins" w:cs="Poppins"/>
          <w:sz w:val="18"/>
          <w:szCs w:val="18"/>
        </w:rPr>
        <w:t xml:space="preserve"> de </w:t>
      </w:r>
      <w:r w:rsidR="00DE2753">
        <w:rPr>
          <w:rFonts w:ascii="Poppins" w:hAnsi="Poppins" w:cs="Poppins"/>
          <w:sz w:val="18"/>
          <w:szCs w:val="18"/>
        </w:rPr>
        <w:t>enero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6FEB52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052927">
        <w:rPr>
          <w:rFonts w:ascii="Poppins" w:hAnsi="Poppins" w:cs="Poppins"/>
          <w:sz w:val="18"/>
          <w:szCs w:val="18"/>
        </w:rPr>
        <w:t>27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151B0">
        <w:rPr>
          <w:rFonts w:ascii="Poppins" w:hAnsi="Poppins" w:cs="Poppins"/>
          <w:sz w:val="18"/>
          <w:szCs w:val="18"/>
        </w:rPr>
        <w:t>enero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052927">
        <w:rPr>
          <w:rFonts w:ascii="Poppins" w:hAnsi="Poppins" w:cs="Poppins"/>
          <w:sz w:val="18"/>
          <w:szCs w:val="18"/>
        </w:rPr>
        <w:t>jueves</w:t>
      </w:r>
      <w:r w:rsidR="00E059C7">
        <w:rPr>
          <w:rFonts w:ascii="Poppins" w:hAnsi="Poppins" w:cs="Poppins"/>
          <w:sz w:val="18"/>
          <w:szCs w:val="18"/>
        </w:rPr>
        <w:t xml:space="preserve"> </w:t>
      </w:r>
      <w:r w:rsidR="00052927">
        <w:rPr>
          <w:rFonts w:ascii="Poppins" w:hAnsi="Poppins" w:cs="Poppins"/>
          <w:sz w:val="18"/>
          <w:szCs w:val="18"/>
        </w:rPr>
        <w:t>2</w:t>
      </w:r>
      <w:r w:rsidR="003F0A74">
        <w:rPr>
          <w:rFonts w:ascii="Poppins" w:hAnsi="Poppins" w:cs="Poppins"/>
          <w:sz w:val="18"/>
          <w:szCs w:val="18"/>
        </w:rPr>
        <w:t>9</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DE2753">
        <w:rPr>
          <w:rFonts w:ascii="Poppins" w:hAnsi="Poppins" w:cs="Poppins"/>
          <w:sz w:val="18"/>
          <w:szCs w:val="18"/>
        </w:rPr>
        <w:t>enero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7D587FE"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B816EA">
        <w:rPr>
          <w:rFonts w:ascii="Poppins" w:hAnsi="Poppins" w:cs="Poppins"/>
          <w:sz w:val="18"/>
          <w:szCs w:val="18"/>
        </w:rPr>
        <w:t>2</w:t>
      </w:r>
      <w:r w:rsidR="00052927">
        <w:rPr>
          <w:rFonts w:ascii="Poppins" w:hAnsi="Poppins" w:cs="Poppins"/>
          <w:sz w:val="18"/>
          <w:szCs w:val="18"/>
        </w:rPr>
        <w:t>7</w:t>
      </w:r>
      <w:r w:rsidRPr="00A01E92">
        <w:rPr>
          <w:rFonts w:ascii="Poppins" w:hAnsi="Poppins" w:cs="Poppins"/>
          <w:sz w:val="18"/>
          <w:szCs w:val="18"/>
        </w:rPr>
        <w:t>.</w:t>
      </w:r>
      <w:r w:rsidR="005151B0">
        <w:rPr>
          <w:rFonts w:ascii="Poppins" w:hAnsi="Poppins" w:cs="Poppins"/>
          <w:sz w:val="18"/>
          <w:szCs w:val="18"/>
        </w:rPr>
        <w:t>0</w:t>
      </w:r>
      <w:r w:rsidR="00C27332" w:rsidRPr="00A01E92">
        <w:rPr>
          <w:rFonts w:ascii="Poppins" w:hAnsi="Poppins" w:cs="Poppins"/>
          <w:sz w:val="18"/>
          <w:szCs w:val="18"/>
        </w:rPr>
        <w:t>1</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9C7995">
        <w:rPr>
          <w:rFonts w:ascii="Poppins" w:hAnsi="Poppins" w:cs="Poppins"/>
          <w:sz w:val="18"/>
          <w:szCs w:val="18"/>
        </w:rPr>
        <w:t>+</w:t>
      </w:r>
      <w:r w:rsidR="00093757" w:rsidRPr="00A01E92">
        <w:rPr>
          <w:rFonts w:ascii="Poppins" w:hAnsi="Poppins" w:cs="Poppins"/>
          <w:sz w:val="18"/>
          <w:szCs w:val="18"/>
        </w:rPr>
        <w:t>0,</w:t>
      </w:r>
      <w:r w:rsidR="00D176B1">
        <w:rPr>
          <w:rFonts w:ascii="Poppins" w:hAnsi="Poppins" w:cs="Poppins"/>
          <w:sz w:val="18"/>
          <w:szCs w:val="18"/>
        </w:rPr>
        <w:t>24</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D176B1">
        <w:rPr>
          <w:rFonts w:ascii="Poppins" w:hAnsi="Poppins" w:cs="Poppins"/>
          <w:sz w:val="18"/>
          <w:szCs w:val="18"/>
        </w:rPr>
        <w:t>20</w:t>
      </w:r>
      <w:r w:rsidR="00465772" w:rsidRPr="00A01E92">
        <w:rPr>
          <w:rFonts w:ascii="Poppins" w:hAnsi="Poppins" w:cs="Poppins"/>
          <w:sz w:val="18"/>
          <w:szCs w:val="18"/>
        </w:rPr>
        <w:t xml:space="preserve"> S/Gln)</w:t>
      </w:r>
      <w:r w:rsidR="00BC45B5" w:rsidRPr="00A01E92">
        <w:rPr>
          <w:rFonts w:ascii="Poppins" w:hAnsi="Poppins" w:cs="Poppins"/>
          <w:sz w:val="18"/>
          <w:szCs w:val="18"/>
        </w:rPr>
        <w:t xml:space="preserve">, </w:t>
      </w:r>
      <w:r w:rsidR="00A01E92" w:rsidRPr="00A01E92">
        <w:rPr>
          <w:rFonts w:ascii="Poppins" w:hAnsi="Poppins" w:cs="Poppins"/>
          <w:sz w:val="18"/>
          <w:szCs w:val="18"/>
        </w:rPr>
        <w:t>G</w:t>
      </w:r>
      <w:r w:rsidR="00A01E92" w:rsidRPr="00A01E92">
        <w:rPr>
          <w:rFonts w:ascii="Poppins" w:hAnsi="Poppins" w:cs="Poppins"/>
          <w:sz w:val="18"/>
          <w:szCs w:val="18"/>
          <w:lang w:val="es-PE"/>
        </w:rPr>
        <w:t>asohol Premium (</w:t>
      </w:r>
      <w:r w:rsidR="009C7995">
        <w:rPr>
          <w:rFonts w:ascii="Poppins" w:hAnsi="Poppins" w:cs="Poppins"/>
          <w:sz w:val="18"/>
          <w:szCs w:val="18"/>
          <w:lang w:val="es-PE"/>
        </w:rPr>
        <w:t>+</w:t>
      </w:r>
      <w:r w:rsidR="00A01E92" w:rsidRPr="00A01E92">
        <w:rPr>
          <w:rFonts w:ascii="Poppins" w:hAnsi="Poppins" w:cs="Poppins"/>
          <w:sz w:val="18"/>
          <w:szCs w:val="18"/>
          <w:lang w:val="es-PE"/>
        </w:rPr>
        <w:t>0,</w:t>
      </w:r>
      <w:r w:rsidR="00D176B1">
        <w:rPr>
          <w:rFonts w:ascii="Poppins" w:hAnsi="Poppins" w:cs="Poppins"/>
          <w:sz w:val="18"/>
          <w:szCs w:val="18"/>
          <w:lang w:val="es-PE"/>
        </w:rPr>
        <w:t>2</w:t>
      </w:r>
      <w:r w:rsidR="00093757">
        <w:rPr>
          <w:rFonts w:ascii="Poppins" w:hAnsi="Poppins" w:cs="Poppins"/>
          <w:sz w:val="18"/>
          <w:szCs w:val="18"/>
          <w:lang w:val="es-PE"/>
        </w:rPr>
        <w:t>0</w:t>
      </w:r>
      <w:r w:rsidR="00A01E92" w:rsidRPr="00A01E92">
        <w:rPr>
          <w:rFonts w:ascii="Poppins" w:hAnsi="Poppins" w:cs="Poppins"/>
          <w:sz w:val="18"/>
          <w:szCs w:val="18"/>
          <w:lang w:val="es-PE"/>
        </w:rPr>
        <w:t xml:space="preserve"> S/Gln), </w:t>
      </w:r>
      <w:r w:rsidR="00A01E92" w:rsidRPr="00A01E92">
        <w:rPr>
          <w:rFonts w:ascii="Poppins" w:hAnsi="Poppins" w:cs="Poppins"/>
          <w:sz w:val="18"/>
          <w:szCs w:val="18"/>
        </w:rPr>
        <w:t>Gasohol Regular (</w:t>
      </w:r>
      <w:r w:rsidR="009C7995">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D176B1">
        <w:rPr>
          <w:rFonts w:ascii="Poppins" w:hAnsi="Poppins" w:cs="Poppins"/>
          <w:sz w:val="18"/>
          <w:szCs w:val="18"/>
        </w:rPr>
        <w:t>16</w:t>
      </w:r>
      <w:r w:rsidR="00A01E92" w:rsidRPr="00A01E92">
        <w:rPr>
          <w:rFonts w:ascii="Poppins" w:hAnsi="Poppins" w:cs="Poppins"/>
          <w:sz w:val="18"/>
          <w:szCs w:val="18"/>
        </w:rPr>
        <w:t xml:space="preserve"> S/Gln)</w:t>
      </w:r>
      <w:r w:rsidR="00093757">
        <w:rPr>
          <w:rFonts w:ascii="Poppins" w:hAnsi="Poppins" w:cs="Poppins"/>
          <w:sz w:val="18"/>
          <w:szCs w:val="18"/>
        </w:rPr>
        <w:t>, Diésel B5 UV S-50</w:t>
      </w:r>
      <w:r w:rsidR="00093757" w:rsidRPr="00A01E92">
        <w:rPr>
          <w:rFonts w:ascii="Poppins" w:hAnsi="Poppins" w:cs="Poppins"/>
          <w:sz w:val="18"/>
          <w:szCs w:val="18"/>
        </w:rPr>
        <w:t xml:space="preserve"> (</w:t>
      </w:r>
      <w:r w:rsidR="009C7995">
        <w:rPr>
          <w:rFonts w:ascii="Poppins" w:hAnsi="Poppins" w:cs="Poppins"/>
          <w:sz w:val="18"/>
          <w:szCs w:val="18"/>
        </w:rPr>
        <w:t>+</w:t>
      </w:r>
      <w:r w:rsidR="00093757">
        <w:rPr>
          <w:rFonts w:ascii="Poppins" w:hAnsi="Poppins" w:cs="Poppins"/>
          <w:sz w:val="18"/>
          <w:szCs w:val="18"/>
        </w:rPr>
        <w:t>0</w:t>
      </w:r>
      <w:r w:rsidR="00093757" w:rsidRPr="00A01E92">
        <w:rPr>
          <w:rFonts w:ascii="Poppins" w:hAnsi="Poppins" w:cs="Poppins"/>
          <w:sz w:val="18"/>
          <w:szCs w:val="18"/>
        </w:rPr>
        <w:t>,</w:t>
      </w:r>
      <w:r w:rsidR="00D176B1">
        <w:rPr>
          <w:rFonts w:ascii="Poppins" w:hAnsi="Poppins" w:cs="Poppins"/>
          <w:sz w:val="18"/>
          <w:szCs w:val="18"/>
        </w:rPr>
        <w:t>25</w:t>
      </w:r>
      <w:r w:rsidR="00093757" w:rsidRPr="00A01E92">
        <w:rPr>
          <w:rFonts w:ascii="Poppins" w:hAnsi="Poppins" w:cs="Poppins"/>
          <w:sz w:val="18"/>
          <w:szCs w:val="18"/>
        </w:rPr>
        <w:t xml:space="preserve"> S/Gln) </w:t>
      </w:r>
      <w:r w:rsidR="00093757">
        <w:rPr>
          <w:rFonts w:ascii="Poppins" w:hAnsi="Poppins" w:cs="Poppins"/>
          <w:sz w:val="18"/>
          <w:szCs w:val="18"/>
        </w:rPr>
        <w:t>y Diésel B5 S-50</w:t>
      </w:r>
      <w:r w:rsidR="00093757" w:rsidRPr="00A01E92">
        <w:rPr>
          <w:rFonts w:ascii="Poppins" w:hAnsi="Poppins" w:cs="Poppins"/>
          <w:sz w:val="18"/>
          <w:szCs w:val="18"/>
        </w:rPr>
        <w:t xml:space="preserve"> (</w:t>
      </w:r>
      <w:r w:rsidR="009C7995">
        <w:rPr>
          <w:rFonts w:ascii="Poppins" w:hAnsi="Poppins" w:cs="Poppins"/>
          <w:sz w:val="18"/>
          <w:szCs w:val="18"/>
        </w:rPr>
        <w:t>+</w:t>
      </w:r>
      <w:r w:rsidR="00093757">
        <w:rPr>
          <w:rFonts w:ascii="Poppins" w:hAnsi="Poppins" w:cs="Poppins"/>
          <w:sz w:val="18"/>
          <w:szCs w:val="18"/>
        </w:rPr>
        <w:t>0</w:t>
      </w:r>
      <w:r w:rsidR="00093757" w:rsidRPr="00A01E92">
        <w:rPr>
          <w:rFonts w:ascii="Poppins" w:hAnsi="Poppins" w:cs="Poppins"/>
          <w:sz w:val="18"/>
          <w:szCs w:val="18"/>
        </w:rPr>
        <w:t>,</w:t>
      </w:r>
      <w:r w:rsidR="00D176B1">
        <w:rPr>
          <w:rFonts w:ascii="Poppins" w:hAnsi="Poppins" w:cs="Poppins"/>
          <w:sz w:val="18"/>
          <w:szCs w:val="18"/>
        </w:rPr>
        <w:t>25</w:t>
      </w:r>
      <w:r w:rsidR="00093757" w:rsidRPr="00A01E92">
        <w:rPr>
          <w:rFonts w:ascii="Poppins" w:hAnsi="Poppins" w:cs="Poppins"/>
          <w:sz w:val="18"/>
          <w:szCs w:val="18"/>
        </w:rPr>
        <w:t xml:space="preserve"> S/Gln)</w:t>
      </w:r>
      <w:r w:rsidR="00A01E92" w:rsidRPr="00A01E92">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6840E6D3"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B489A">
        <w:rPr>
          <w:rFonts w:ascii="Poppins" w:hAnsi="Poppins" w:cs="Poppins"/>
          <w:sz w:val="18"/>
          <w:szCs w:val="18"/>
        </w:rPr>
        <w:t>0</w:t>
      </w:r>
      <w:r w:rsidR="00052927">
        <w:rPr>
          <w:rFonts w:ascii="Poppins" w:hAnsi="Poppins" w:cs="Poppins"/>
          <w:sz w:val="18"/>
          <w:szCs w:val="18"/>
        </w:rPr>
        <w:t>9</w:t>
      </w:r>
      <w:r w:rsidR="00E7305B">
        <w:rPr>
          <w:rFonts w:ascii="Poppins" w:hAnsi="Poppins" w:cs="Poppins"/>
          <w:sz w:val="18"/>
          <w:szCs w:val="18"/>
        </w:rPr>
        <w:t>/</w:t>
      </w:r>
      <w:r w:rsidR="006B489A">
        <w:rPr>
          <w:rFonts w:ascii="Poppins" w:hAnsi="Poppins" w:cs="Poppins"/>
          <w:sz w:val="18"/>
          <w:szCs w:val="18"/>
        </w:rPr>
        <w:t>0</w:t>
      </w:r>
      <w:r w:rsidR="000C00CF">
        <w:rPr>
          <w:rFonts w:ascii="Poppins" w:hAnsi="Poppins" w:cs="Poppins"/>
          <w:sz w:val="18"/>
          <w:szCs w:val="18"/>
        </w:rPr>
        <w:t>1</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052927">
        <w:rPr>
          <w:rFonts w:ascii="Poppins" w:hAnsi="Poppins" w:cs="Poppins"/>
          <w:sz w:val="18"/>
          <w:szCs w:val="18"/>
        </w:rPr>
        <w:t>23</w:t>
      </w:r>
      <w:r w:rsidR="00336251" w:rsidRPr="0096213B">
        <w:rPr>
          <w:rFonts w:ascii="Poppins" w:hAnsi="Poppins" w:cs="Poppins"/>
          <w:sz w:val="18"/>
          <w:szCs w:val="18"/>
        </w:rPr>
        <w:t>/</w:t>
      </w:r>
      <w:r w:rsidR="005151B0">
        <w:rPr>
          <w:rFonts w:ascii="Poppins" w:hAnsi="Poppins" w:cs="Poppins"/>
          <w:sz w:val="18"/>
          <w:szCs w:val="18"/>
        </w:rPr>
        <w:t>0</w:t>
      </w:r>
      <w:r w:rsidR="00EA6962">
        <w:rPr>
          <w:rFonts w:ascii="Poppins" w:hAnsi="Poppins" w:cs="Poppins"/>
          <w:sz w:val="18"/>
          <w:szCs w:val="18"/>
        </w:rPr>
        <w:t>1</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CF20D0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52927">
        <w:rPr>
          <w:rFonts w:ascii="Poppins" w:hAnsi="Poppins" w:cs="Poppins"/>
          <w:b/>
          <w:bCs/>
          <w:i/>
          <w:sz w:val="18"/>
          <w:szCs w:val="18"/>
          <w:lang w:eastAsia="es-PE"/>
        </w:rPr>
        <w:t>26</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EA6962">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DCF706D" w:rsidR="00A86191" w:rsidRPr="0096213B" w:rsidRDefault="000F5DDD"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0627D67" wp14:editId="3DD393B0">
            <wp:extent cx="5436272" cy="32258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0798" cy="324628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4AB1CE8"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9C7995">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C7995">
        <w:rPr>
          <w:rFonts w:ascii="Poppins" w:hAnsi="Poppins" w:cs="Poppins"/>
          <w:sz w:val="18"/>
          <w:szCs w:val="18"/>
        </w:rPr>
        <w:t>7</w:t>
      </w:r>
      <w:r w:rsidR="00D176B1">
        <w:rPr>
          <w:rFonts w:ascii="Poppins" w:hAnsi="Poppins" w:cs="Poppins"/>
          <w:sz w:val="18"/>
          <w:szCs w:val="18"/>
        </w:rPr>
        <w:t>8</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0C6B195F"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0F5DDD">
        <w:rPr>
          <w:rFonts w:ascii="Poppins" w:hAnsi="Poppins" w:cs="Poppins"/>
          <w:sz w:val="18"/>
          <w:szCs w:val="18"/>
        </w:rPr>
        <w:t>26</w:t>
      </w:r>
      <w:r w:rsidR="00F07057">
        <w:rPr>
          <w:rFonts w:ascii="Poppins" w:hAnsi="Poppins" w:cs="Poppins"/>
          <w:sz w:val="18"/>
          <w:szCs w:val="18"/>
        </w:rPr>
        <w:t xml:space="preserve"> </w:t>
      </w:r>
      <w:r w:rsidRPr="0096213B">
        <w:rPr>
          <w:rFonts w:ascii="Poppins" w:hAnsi="Poppins" w:cs="Poppins"/>
          <w:sz w:val="18"/>
          <w:szCs w:val="18"/>
        </w:rPr>
        <w:t xml:space="preserve">de </w:t>
      </w:r>
      <w:r w:rsidR="00EF32FA">
        <w:rPr>
          <w:rFonts w:ascii="Poppins" w:hAnsi="Poppins" w:cs="Poppins"/>
          <w:sz w:val="18"/>
          <w:szCs w:val="18"/>
        </w:rPr>
        <w:t>enero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5900BC0"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F1449">
        <w:rPr>
          <w:rFonts w:ascii="Poppins" w:hAnsi="Poppins" w:cs="Poppins"/>
          <w:sz w:val="18"/>
          <w:szCs w:val="18"/>
        </w:rPr>
        <w:t>7</w:t>
      </w:r>
      <w:r w:rsidR="00A33C99" w:rsidRPr="0096213B">
        <w:rPr>
          <w:rFonts w:ascii="Poppins" w:hAnsi="Poppins" w:cs="Poppins"/>
          <w:sz w:val="18"/>
          <w:szCs w:val="18"/>
        </w:rPr>
        <w:t>,</w:t>
      </w:r>
      <w:r w:rsidR="00BF1449">
        <w:rPr>
          <w:rFonts w:ascii="Poppins" w:hAnsi="Poppins" w:cs="Poppins"/>
          <w:sz w:val="18"/>
          <w:szCs w:val="18"/>
        </w:rPr>
        <w:t>38</w:t>
      </w:r>
      <w:r w:rsidR="00A33C99" w:rsidRPr="0096213B">
        <w:rPr>
          <w:rFonts w:ascii="Poppins" w:hAnsi="Poppins" w:cs="Poppins"/>
          <w:sz w:val="18"/>
          <w:szCs w:val="18"/>
        </w:rPr>
        <w:t xml:space="preserve"> cent$/galón equivalente a </w:t>
      </w:r>
      <w:r w:rsidR="00BF1449">
        <w:rPr>
          <w:rFonts w:ascii="Poppins" w:hAnsi="Poppins" w:cs="Poppins"/>
          <w:sz w:val="18"/>
          <w:szCs w:val="18"/>
        </w:rPr>
        <w:t>3</w:t>
      </w:r>
      <w:r w:rsidR="00A33C99" w:rsidRPr="0096213B">
        <w:rPr>
          <w:rFonts w:ascii="Poppins" w:hAnsi="Poppins" w:cs="Poppins"/>
          <w:sz w:val="18"/>
          <w:szCs w:val="18"/>
        </w:rPr>
        <w:t>,</w:t>
      </w:r>
      <w:r w:rsidR="00BF1449">
        <w:rPr>
          <w:rFonts w:ascii="Poppins" w:hAnsi="Poppins" w:cs="Poppins"/>
          <w:sz w:val="18"/>
          <w:szCs w:val="18"/>
        </w:rPr>
        <w:t>10</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D35C83C"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2750B4">
        <w:rPr>
          <w:rFonts w:ascii="Poppins" w:hAnsi="Poppins" w:cs="Poppins"/>
          <w:sz w:val="18"/>
          <w:szCs w:val="18"/>
        </w:rPr>
        <w:t>7</w:t>
      </w:r>
      <w:r w:rsidR="00E0028D">
        <w:rPr>
          <w:rFonts w:ascii="Poppins" w:hAnsi="Poppins" w:cs="Poppins"/>
          <w:sz w:val="18"/>
          <w:szCs w:val="18"/>
        </w:rPr>
        <w:t>,</w:t>
      </w:r>
      <w:r w:rsidR="00BF1449">
        <w:rPr>
          <w:rFonts w:ascii="Poppins" w:hAnsi="Poppins" w:cs="Poppins"/>
          <w:sz w:val="18"/>
          <w:szCs w:val="18"/>
        </w:rPr>
        <w:t>64</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686E1CA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BF1449">
        <w:rPr>
          <w:rFonts w:ascii="Poppins" w:hAnsi="Poppins" w:cs="Poppins"/>
          <w:sz w:val="18"/>
          <w:szCs w:val="18"/>
        </w:rPr>
        <w:t>03</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2750B4">
        <w:rPr>
          <w:rFonts w:ascii="Poppins" w:hAnsi="Poppins" w:cs="Poppins"/>
          <w:sz w:val="18"/>
          <w:szCs w:val="18"/>
        </w:rPr>
        <w:t>6</w:t>
      </w:r>
      <w:r w:rsidR="00BF1449">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C0C1CC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BF1449">
        <w:rPr>
          <w:rFonts w:ascii="Poppins" w:hAnsi="Poppins" w:cs="Poppins"/>
          <w:sz w:val="18"/>
          <w:szCs w:val="18"/>
        </w:rPr>
        <w:t>0</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BF1449">
        <w:rPr>
          <w:rFonts w:ascii="Poppins" w:hAnsi="Poppins" w:cs="Poppins"/>
          <w:sz w:val="18"/>
          <w:szCs w:val="18"/>
        </w:rPr>
        <w:t>4</w:t>
      </w:r>
      <w:r w:rsidR="00AA1E5F">
        <w:rPr>
          <w:rFonts w:ascii="Poppins" w:hAnsi="Poppins" w:cs="Poppins"/>
          <w:sz w:val="18"/>
          <w:szCs w:val="18"/>
        </w:rPr>
        <w:t>7</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D3C31FC"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2750B4">
        <w:rPr>
          <w:rFonts w:ascii="Poppins" w:hAnsi="Poppins" w:cs="Poppins"/>
          <w:sz w:val="18"/>
          <w:szCs w:val="18"/>
        </w:rPr>
        <w:t>7</w:t>
      </w:r>
      <w:r w:rsidR="00110925">
        <w:rPr>
          <w:rFonts w:ascii="Poppins" w:hAnsi="Poppins" w:cs="Poppins"/>
          <w:sz w:val="18"/>
          <w:szCs w:val="18"/>
        </w:rPr>
        <w:t>,</w:t>
      </w:r>
      <w:r w:rsidR="00BF1449">
        <w:rPr>
          <w:rFonts w:ascii="Poppins" w:hAnsi="Poppins" w:cs="Poppins"/>
          <w:sz w:val="18"/>
          <w:szCs w:val="18"/>
        </w:rPr>
        <w:t>64</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5487DA7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BF1449">
        <w:rPr>
          <w:rFonts w:ascii="Poppins" w:hAnsi="Poppins" w:cs="Poppins"/>
          <w:bCs/>
          <w:sz w:val="18"/>
          <w:szCs w:val="18"/>
        </w:rPr>
        <w:t>94</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3DB184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BF1449">
        <w:rPr>
          <w:rFonts w:ascii="Poppins" w:hAnsi="Poppins" w:cs="Poppins"/>
          <w:sz w:val="18"/>
          <w:szCs w:val="18"/>
        </w:rPr>
        <w:t xml:space="preserve">66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5109316"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BF1449">
        <w:rPr>
          <w:rFonts w:ascii="Poppins" w:hAnsi="Poppins" w:cs="Poppins"/>
          <w:sz w:val="18"/>
          <w:szCs w:val="18"/>
          <w:lang w:eastAsia="en-US"/>
        </w:rPr>
        <w:t>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82638">
        <w:rPr>
          <w:rFonts w:ascii="Poppins" w:hAnsi="Poppins" w:cs="Poppins"/>
          <w:sz w:val="18"/>
          <w:szCs w:val="18"/>
          <w:lang w:eastAsia="en-US"/>
        </w:rPr>
        <w:t>3</w:t>
      </w:r>
      <w:r w:rsidR="00BF1449">
        <w:rPr>
          <w:rFonts w:ascii="Poppins" w:hAnsi="Poppins" w:cs="Poppins"/>
          <w:sz w:val="18"/>
          <w:szCs w:val="18"/>
          <w:lang w:eastAsia="en-US"/>
        </w:rPr>
        <w:t>0</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BF1449">
        <w:rPr>
          <w:rFonts w:ascii="Poppins" w:hAnsi="Poppins" w:cs="Poppins"/>
          <w:sz w:val="18"/>
          <w:szCs w:val="18"/>
          <w:lang w:eastAsia="en-US"/>
        </w:rPr>
        <w:t>5</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CCA048F" w:rsidR="006B489A" w:rsidRDefault="00BF1449" w:rsidP="00352553">
            <w:pPr>
              <w:rPr>
                <w:rFonts w:ascii="Poppins" w:hAnsi="Poppins" w:cs="Poppins"/>
                <w:i/>
                <w:iCs/>
                <w:sz w:val="14"/>
                <w:szCs w:val="14"/>
                <w:lang w:val="es-MX" w:eastAsia="en-US"/>
              </w:rPr>
            </w:pPr>
            <w:r w:rsidRPr="00BF1449">
              <w:rPr>
                <w:rFonts w:ascii="Poppins" w:hAnsi="Poppins" w:cs="Poppins"/>
                <w:i/>
                <w:iCs/>
                <w:noProof/>
                <w:sz w:val="14"/>
                <w:szCs w:val="14"/>
                <w:lang w:val="es-MX" w:eastAsia="en-US"/>
              </w:rPr>
              <w:drawing>
                <wp:inline distT="0" distB="0" distL="0" distR="0" wp14:anchorId="2011EDBB" wp14:editId="754E6D74">
                  <wp:extent cx="8173085" cy="2905760"/>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73085" cy="2905760"/>
                          </a:xfrm>
                          <a:prstGeom prst="rect">
                            <a:avLst/>
                          </a:prstGeom>
                          <a:noFill/>
                          <a:ln>
                            <a:noFill/>
                          </a:ln>
                        </pic:spPr>
                      </pic:pic>
                    </a:graphicData>
                  </a:graphic>
                </wp:inline>
              </w:drawing>
            </w:r>
            <w:r w:rsidR="0076591B" w:rsidRPr="0076591B">
              <w:rPr>
                <w:rFonts w:ascii="Poppins" w:hAnsi="Poppins" w:cs="Poppins"/>
                <w:i/>
                <w:iCs/>
                <w:sz w:val="14"/>
                <w:szCs w:val="14"/>
                <w:lang w:val="es-MX" w:eastAsia="en-US"/>
              </w:rPr>
              <w:t xml:space="preserve"> </w:t>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6567D715" w:rsidR="000F7442" w:rsidRPr="0096213B" w:rsidRDefault="00FE5AE8" w:rsidP="000F7442">
            <w:pPr>
              <w:jc w:val="center"/>
              <w:rPr>
                <w:rFonts w:ascii="Poppins" w:hAnsi="Poppins" w:cs="Poppins"/>
                <w:sz w:val="8"/>
                <w:szCs w:val="20"/>
              </w:rPr>
            </w:pPr>
            <w:r w:rsidRPr="00FE5AE8">
              <w:rPr>
                <w:rFonts w:ascii="Poppins" w:hAnsi="Poppins" w:cs="Poppins"/>
                <w:noProof/>
                <w:sz w:val="8"/>
                <w:szCs w:val="20"/>
              </w:rPr>
              <w:drawing>
                <wp:inline distT="0" distB="0" distL="0" distR="0" wp14:anchorId="38880505" wp14:editId="4C39EDE2">
                  <wp:extent cx="3566160" cy="2702560"/>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6160" cy="270256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76CCAD70" w:rsidR="00EF3BE9" w:rsidRPr="0096213B" w:rsidRDefault="00FE5AE8"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7D8548EE" wp14:editId="32F80D19">
                  <wp:extent cx="5361992" cy="265684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5778" cy="267853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4E46B36B" w:rsidR="00551F16" w:rsidRPr="0096213B" w:rsidRDefault="00FE5AE8"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FE5AE8">
        <w:rPr>
          <w:noProof/>
        </w:rPr>
        <w:drawing>
          <wp:inline distT="0" distB="0" distL="0" distR="0" wp14:anchorId="11DA43F6" wp14:editId="20E76B88">
            <wp:extent cx="5638800" cy="228854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38800" cy="228854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16CCC42" w:rsidR="00F70B88" w:rsidRDefault="007257B9" w:rsidP="00604758">
      <w:pPr>
        <w:spacing w:line="0" w:lineRule="atLeast"/>
        <w:ind w:right="-567"/>
        <w:jc w:val="both"/>
        <w:rPr>
          <w:rFonts w:ascii="Poppins" w:hAnsi="Poppins" w:cs="Poppins"/>
          <w:noProof/>
          <w:sz w:val="20"/>
          <w:szCs w:val="20"/>
        </w:rPr>
      </w:pPr>
      <w:r w:rsidRPr="007257B9">
        <w:drawing>
          <wp:inline distT="0" distB="0" distL="0" distR="0" wp14:anchorId="023AF739" wp14:editId="55E44978">
            <wp:extent cx="5850255" cy="24993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255" cy="249936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A21A3C6" w:rsidR="00127A54" w:rsidRPr="0096213B" w:rsidRDefault="007257B9" w:rsidP="006220EA">
      <w:pPr>
        <w:rPr>
          <w:rFonts w:ascii="Poppins" w:hAnsi="Poppins" w:cs="Poppins"/>
          <w:i/>
          <w:sz w:val="14"/>
          <w:szCs w:val="14"/>
        </w:rPr>
      </w:pPr>
      <w:r w:rsidRPr="007257B9">
        <w:drawing>
          <wp:inline distT="0" distB="0" distL="0" distR="0" wp14:anchorId="0CB08DB9" wp14:editId="0E29A03F">
            <wp:extent cx="5850255" cy="725424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25424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452DE913" w:rsidR="005048C1" w:rsidRPr="0096213B" w:rsidRDefault="00F91202" w:rsidP="005048C1">
      <w:pPr>
        <w:jc w:val="both"/>
        <w:rPr>
          <w:rFonts w:ascii="Poppins" w:hAnsi="Poppins" w:cs="Poppins"/>
          <w:i/>
          <w:iCs/>
          <w:sz w:val="12"/>
          <w:szCs w:val="12"/>
        </w:rPr>
      </w:pPr>
      <w:r>
        <w:t xml:space="preserve">                       </w:t>
      </w:r>
      <w:r w:rsidR="00103322" w:rsidRPr="00103322">
        <w:drawing>
          <wp:inline distT="0" distB="0" distL="0" distR="0" wp14:anchorId="52109192" wp14:editId="5873B23C">
            <wp:extent cx="5850255" cy="62865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62865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FFB7A79" w:rsidR="00812956" w:rsidRDefault="00E25848" w:rsidP="00842A58">
      <w:pPr>
        <w:pStyle w:val="xl37"/>
        <w:tabs>
          <w:tab w:val="left" w:pos="180"/>
        </w:tabs>
        <w:spacing w:before="0" w:beforeAutospacing="0" w:after="0" w:afterAutospacing="0"/>
        <w:jc w:val="center"/>
        <w:rPr>
          <w:noProof/>
        </w:rPr>
      </w:pPr>
      <w:r>
        <w:rPr>
          <w:noProof/>
        </w:rPr>
        <w:drawing>
          <wp:inline distT="0" distB="0" distL="0" distR="0" wp14:anchorId="295696D3" wp14:editId="2DC6E339">
            <wp:extent cx="4686935" cy="3297832"/>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6462" cy="3304536"/>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0D838870" w:rsidR="00842A58" w:rsidRDefault="00E25848"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2C282D8" wp14:editId="2B48DC5D">
            <wp:extent cx="4591548" cy="3180990"/>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7813" cy="3192258"/>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5ED8B4E8" w:rsidR="006C0944" w:rsidRDefault="00E25848" w:rsidP="00373E46">
      <w:pPr>
        <w:pStyle w:val="xl37"/>
        <w:tabs>
          <w:tab w:val="left" w:pos="180"/>
        </w:tabs>
        <w:spacing w:before="0" w:beforeAutospacing="0" w:after="0" w:afterAutospacing="0"/>
        <w:jc w:val="center"/>
        <w:rPr>
          <w:noProof/>
        </w:rPr>
      </w:pPr>
      <w:r>
        <w:rPr>
          <w:noProof/>
        </w:rPr>
        <w:drawing>
          <wp:inline distT="0" distB="0" distL="0" distR="0" wp14:anchorId="48A90E82" wp14:editId="30D06478">
            <wp:extent cx="4743400" cy="3297126"/>
            <wp:effectExtent l="0" t="0" r="63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0725" cy="3309169"/>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3C6269D" w:rsidR="002035C4" w:rsidRDefault="00E25848"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1ABBAB39" wp14:editId="4F081533">
            <wp:extent cx="4848343" cy="3431053"/>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58662" cy="3438355"/>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260B5733" w:rsidR="00300FA6" w:rsidRDefault="00300FA6"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03322"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AE11B96"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546306">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951C3C2"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546306">
            <w:rPr>
              <w:rFonts w:ascii="Poppins" w:hAnsi="Poppins" w:cs="Poppins"/>
              <w:b/>
              <w:sz w:val="22"/>
              <w:szCs w:val="22"/>
              <w:lang w:val="it-IT"/>
            </w:rPr>
            <w:t>4</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040ECA7"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BF1449">
            <w:rPr>
              <w:rFonts w:ascii="Poppins" w:hAnsi="Poppins" w:cs="Poppins"/>
              <w:b/>
              <w:sz w:val="22"/>
              <w:szCs w:val="22"/>
              <w:lang w:val="it-IT"/>
            </w:rPr>
            <w:t>4</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748EF1F"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BF1449">
            <w:rPr>
              <w:rFonts w:ascii="Poppins" w:hAnsi="Poppins" w:cs="Poppins"/>
              <w:b/>
              <w:sz w:val="22"/>
              <w:szCs w:val="22"/>
              <w:lang w:val="it-IT"/>
            </w:rPr>
            <w:t>4</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62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281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19</Pages>
  <Words>4482</Words>
  <Characters>24657</Characters>
  <Application>Microsoft Office Word</Application>
  <DocSecurity>0</DocSecurity>
  <Lines>205</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2025-12-18T21:46:00Z</cp:lastPrinted>
  <dcterms:created xsi:type="dcterms:W3CDTF">2026-01-28T19:22:00Z</dcterms:created>
  <dcterms:modified xsi:type="dcterms:W3CDTF">2026-02-02T04:38:00Z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