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5726FA54"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E1703D">
        <w:rPr>
          <w:rFonts w:ascii="Poppins" w:hAnsi="Poppins" w:cs="Poppins"/>
          <w:sz w:val="24"/>
          <w:szCs w:val="22"/>
          <w:u w:val="single"/>
          <w:lang w:val="es-PE"/>
        </w:rPr>
        <w:t>2</w:t>
      </w:r>
      <w:r w:rsidR="00776C98">
        <w:rPr>
          <w:rFonts w:ascii="Poppins" w:hAnsi="Poppins" w:cs="Poppins"/>
          <w:sz w:val="24"/>
          <w:szCs w:val="22"/>
          <w:u w:val="single"/>
          <w:lang w:val="es-PE"/>
        </w:rPr>
        <w:t>1</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56132E1"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776C98">
        <w:rPr>
          <w:rFonts w:ascii="Poppins" w:hAnsi="Poppins" w:cs="Poppins"/>
          <w:b/>
          <w:bCs/>
          <w:sz w:val="22"/>
          <w:szCs w:val="22"/>
        </w:rPr>
        <w:t>25</w:t>
      </w:r>
      <w:r w:rsidR="00316BFF">
        <w:rPr>
          <w:rFonts w:ascii="Poppins" w:hAnsi="Poppins" w:cs="Poppins"/>
          <w:b/>
          <w:bCs/>
          <w:sz w:val="22"/>
          <w:szCs w:val="22"/>
        </w:rPr>
        <w:t>/</w:t>
      </w:r>
      <w:r w:rsidR="005151B0">
        <w:rPr>
          <w:rFonts w:ascii="Poppins" w:hAnsi="Poppins" w:cs="Poppins"/>
          <w:b/>
          <w:bCs/>
          <w:sz w:val="22"/>
          <w:szCs w:val="22"/>
        </w:rPr>
        <w:t>0</w:t>
      </w:r>
      <w:r w:rsidR="00D6044B">
        <w:rPr>
          <w:rFonts w:ascii="Poppins" w:hAnsi="Poppins" w:cs="Poppins"/>
          <w:b/>
          <w:bCs/>
          <w:sz w:val="22"/>
          <w:szCs w:val="22"/>
        </w:rPr>
        <w:t>5</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0F9561E7" w:rsidR="00AB06BA" w:rsidRPr="001C2FD3" w:rsidRDefault="007D0310" w:rsidP="00576442">
      <w:pPr>
        <w:pBdr>
          <w:top w:val="single" w:sz="4" w:space="1" w:color="auto"/>
          <w:bottom w:val="single" w:sz="4" w:space="1" w:color="auto"/>
        </w:pBdr>
        <w:tabs>
          <w:tab w:val="left" w:pos="284"/>
        </w:tabs>
        <w:ind w:left="142"/>
        <w:jc w:val="center"/>
        <w:rPr>
          <w:rFonts w:ascii="Poppins" w:hAnsi="Poppins" w:cs="Poppins"/>
          <w:sz w:val="16"/>
          <w:szCs w:val="16"/>
        </w:rPr>
      </w:pPr>
      <w:r w:rsidRPr="007D0310">
        <w:drawing>
          <wp:inline distT="0" distB="0" distL="0" distR="0" wp14:anchorId="29AA56EF" wp14:editId="7E977638">
            <wp:extent cx="5490845" cy="3403158"/>
            <wp:effectExtent l="0" t="0" r="0" b="6985"/>
            <wp:docPr id="34286969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92086" cy="3403927"/>
                    </a:xfrm>
                    <a:prstGeom prst="rect">
                      <a:avLst/>
                    </a:prstGeom>
                    <a:noFill/>
                    <a:ln>
                      <a:noFill/>
                    </a:ln>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6185480"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7D0310">
        <w:rPr>
          <w:rFonts w:ascii="Poppins" w:hAnsi="Poppins" w:cs="Poppins"/>
          <w:sz w:val="18"/>
          <w:szCs w:val="18"/>
        </w:rPr>
        <w:t>97</w:t>
      </w:r>
      <w:r w:rsidR="00E23D92" w:rsidRPr="00273F37">
        <w:rPr>
          <w:rFonts w:ascii="Poppins" w:hAnsi="Poppins" w:cs="Poppins"/>
          <w:sz w:val="18"/>
          <w:szCs w:val="18"/>
        </w:rPr>
        <w:t>,</w:t>
      </w:r>
      <w:r w:rsidR="007D0310">
        <w:rPr>
          <w:rFonts w:ascii="Poppins" w:hAnsi="Poppins" w:cs="Poppins"/>
          <w:sz w:val="18"/>
          <w:szCs w:val="18"/>
        </w:rPr>
        <w:t>08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7D0310">
        <w:rPr>
          <w:rFonts w:ascii="Poppins" w:hAnsi="Poppins" w:cs="Poppins"/>
          <w:sz w:val="18"/>
          <w:szCs w:val="18"/>
        </w:rPr>
        <w:t>35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7D0310">
        <w:rPr>
          <w:rFonts w:ascii="Poppins" w:hAnsi="Poppins" w:cs="Poppins"/>
          <w:sz w:val="18"/>
          <w:szCs w:val="18"/>
        </w:rPr>
        <w:t>47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38</w:t>
      </w:r>
      <w:r w:rsidR="00941CD2" w:rsidRPr="00273F37">
        <w:rPr>
          <w:rFonts w:ascii="Poppins" w:hAnsi="Poppins" w:cs="Poppins"/>
          <w:sz w:val="18"/>
          <w:szCs w:val="18"/>
        </w:rPr>
        <w:t>,</w:t>
      </w:r>
      <w:r w:rsidR="007D0310">
        <w:rPr>
          <w:rFonts w:ascii="Poppins" w:hAnsi="Poppins" w:cs="Poppins"/>
          <w:sz w:val="18"/>
          <w:szCs w:val="18"/>
        </w:rPr>
        <w:t>36</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1CCCF3B3"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F03E71">
        <w:rPr>
          <w:rFonts w:ascii="Poppins" w:hAnsi="Poppins" w:cs="Poppins"/>
          <w:bCs/>
          <w:sz w:val="18"/>
          <w:szCs w:val="18"/>
        </w:rPr>
        <w:t>11</w:t>
      </w:r>
      <w:r w:rsidR="007D7CB0">
        <w:rPr>
          <w:rFonts w:ascii="Poppins" w:hAnsi="Poppins" w:cs="Poppins"/>
          <w:bCs/>
          <w:sz w:val="18"/>
          <w:szCs w:val="18"/>
        </w:rPr>
        <w:t>.</w:t>
      </w:r>
      <w:r w:rsidR="00B816EA">
        <w:rPr>
          <w:rFonts w:ascii="Poppins" w:hAnsi="Poppins" w:cs="Poppins"/>
          <w:bCs/>
          <w:sz w:val="18"/>
          <w:szCs w:val="18"/>
        </w:rPr>
        <w:t>0</w:t>
      </w:r>
      <w:r w:rsidR="00271048">
        <w:rPr>
          <w:rFonts w:ascii="Poppins" w:hAnsi="Poppins" w:cs="Poppins"/>
          <w:bCs/>
          <w:sz w:val="18"/>
          <w:szCs w:val="18"/>
        </w:rPr>
        <w:t>5</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F03E71">
        <w:rPr>
          <w:rFonts w:ascii="Poppins" w:hAnsi="Poppins" w:cs="Poppins"/>
          <w:bCs/>
          <w:sz w:val="18"/>
          <w:szCs w:val="18"/>
        </w:rPr>
        <w:t>22</w:t>
      </w:r>
      <w:r w:rsidR="005151B0">
        <w:rPr>
          <w:rFonts w:ascii="Poppins" w:hAnsi="Poppins" w:cs="Poppins"/>
          <w:bCs/>
          <w:sz w:val="18"/>
          <w:szCs w:val="18"/>
        </w:rPr>
        <w:t>.0</w:t>
      </w:r>
      <w:r w:rsidR="0070484E">
        <w:rPr>
          <w:rFonts w:ascii="Poppins" w:hAnsi="Poppins" w:cs="Poppins"/>
          <w:bCs/>
          <w:sz w:val="18"/>
          <w:szCs w:val="18"/>
        </w:rPr>
        <w:t>5</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16B8941D" w14:textId="77777777" w:rsidR="00F03E71" w:rsidRPr="005D618A" w:rsidRDefault="00F03E71" w:rsidP="00F03E71">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incremento de los inventarios de </w:t>
      </w:r>
      <w:r>
        <w:rPr>
          <w:rFonts w:ascii="Poppins" w:hAnsi="Poppins" w:cs="Poppins"/>
          <w:b/>
          <w:sz w:val="18"/>
          <w:szCs w:val="18"/>
        </w:rPr>
        <w:t>destilado medio</w:t>
      </w:r>
      <w:r w:rsidRPr="005D618A">
        <w:rPr>
          <w:rFonts w:ascii="Poppins" w:hAnsi="Poppins" w:cs="Poppins"/>
          <w:b/>
          <w:sz w:val="18"/>
          <w:szCs w:val="18"/>
        </w:rPr>
        <w:t xml:space="preserve"> y propano, así como el descenso de las existencias de </w:t>
      </w:r>
      <w:r>
        <w:rPr>
          <w:rFonts w:ascii="Poppins" w:hAnsi="Poppins" w:cs="Poppins"/>
          <w:b/>
          <w:sz w:val="18"/>
          <w:szCs w:val="18"/>
        </w:rPr>
        <w:t xml:space="preserve">crudo y </w:t>
      </w:r>
      <w:r w:rsidRPr="005D618A">
        <w:rPr>
          <w:rFonts w:ascii="Poppins" w:hAnsi="Poppins" w:cs="Poppins"/>
          <w:b/>
          <w:sz w:val="18"/>
          <w:szCs w:val="18"/>
        </w:rPr>
        <w:t xml:space="preserve">gasolinas, al </w:t>
      </w:r>
      <w:r>
        <w:rPr>
          <w:rFonts w:ascii="Poppins" w:hAnsi="Poppins" w:cs="Poppins"/>
          <w:b/>
          <w:sz w:val="18"/>
          <w:szCs w:val="18"/>
        </w:rPr>
        <w:t>15</w:t>
      </w:r>
      <w:r w:rsidRPr="005D618A">
        <w:rPr>
          <w:rFonts w:ascii="Poppins" w:hAnsi="Poppins" w:cs="Poppins"/>
          <w:b/>
          <w:sz w:val="18"/>
          <w:szCs w:val="18"/>
        </w:rPr>
        <w:t xml:space="preserve"> de </w:t>
      </w:r>
      <w:r>
        <w:rPr>
          <w:rFonts w:ascii="Poppins" w:hAnsi="Poppins" w:cs="Poppins"/>
          <w:b/>
          <w:sz w:val="18"/>
          <w:szCs w:val="18"/>
        </w:rPr>
        <w:t>mayo</w:t>
      </w:r>
      <w:r w:rsidRPr="005D618A">
        <w:rPr>
          <w:rFonts w:ascii="Poppins" w:hAnsi="Poppins" w:cs="Poppins"/>
          <w:b/>
          <w:sz w:val="18"/>
          <w:szCs w:val="18"/>
        </w:rPr>
        <w:t xml:space="preserve"> del 2026</w:t>
      </w:r>
    </w:p>
    <w:p w14:paraId="4216D16F" w14:textId="77777777" w:rsidR="00F03E71" w:rsidRPr="005D618A" w:rsidRDefault="00F03E71" w:rsidP="00F03E71">
      <w:pPr>
        <w:shd w:val="clear" w:color="auto" w:fill="FFFFFF"/>
        <w:ind w:left="425"/>
        <w:jc w:val="both"/>
        <w:rPr>
          <w:rFonts w:ascii="Poppins" w:hAnsi="Poppins" w:cs="Poppins"/>
          <w:sz w:val="18"/>
          <w:szCs w:val="18"/>
        </w:rPr>
      </w:pPr>
    </w:p>
    <w:p w14:paraId="006D724F" w14:textId="77777777" w:rsidR="00F03E71" w:rsidRPr="005D618A" w:rsidRDefault="00F03E71" w:rsidP="00F03E71">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 </w:t>
      </w:r>
      <w:r>
        <w:rPr>
          <w:rFonts w:ascii="Poppins" w:hAnsi="Poppins" w:cs="Poppins"/>
          <w:sz w:val="18"/>
          <w:szCs w:val="18"/>
        </w:rPr>
        <w:t>7,9</w:t>
      </w:r>
      <w:r w:rsidRPr="005D618A">
        <w:rPr>
          <w:rFonts w:ascii="Poppins" w:hAnsi="Poppins" w:cs="Poppins"/>
          <w:sz w:val="18"/>
          <w:szCs w:val="18"/>
        </w:rPr>
        <w:t xml:space="preserve"> millones de barriles alcanzando los 4</w:t>
      </w:r>
      <w:r>
        <w:rPr>
          <w:rFonts w:ascii="Poppins" w:hAnsi="Poppins" w:cs="Poppins"/>
          <w:sz w:val="18"/>
          <w:szCs w:val="18"/>
        </w:rPr>
        <w:t>45,0</w:t>
      </w:r>
      <w:r w:rsidRPr="005D618A">
        <w:rPr>
          <w:rFonts w:ascii="Poppins" w:hAnsi="Poppins" w:cs="Poppins"/>
          <w:sz w:val="18"/>
          <w:szCs w:val="18"/>
        </w:rPr>
        <w:t xml:space="preserve"> millones de barriles, ubicándose en un </w:t>
      </w:r>
      <w:r>
        <w:rPr>
          <w:rFonts w:ascii="Poppins" w:hAnsi="Poppins" w:cs="Poppins"/>
          <w:sz w:val="18"/>
          <w:szCs w:val="18"/>
        </w:rPr>
        <w:t>-2</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p>
    <w:p w14:paraId="01C6F228" w14:textId="77777777" w:rsidR="00F03E71" w:rsidRPr="005D618A" w:rsidRDefault="00F03E71" w:rsidP="00F03E71">
      <w:pPr>
        <w:shd w:val="clear" w:color="auto" w:fill="FFFFFF"/>
        <w:ind w:left="425"/>
        <w:jc w:val="both"/>
        <w:rPr>
          <w:rFonts w:ascii="Poppins" w:hAnsi="Poppins" w:cs="Poppins"/>
          <w:sz w:val="18"/>
          <w:szCs w:val="18"/>
        </w:rPr>
      </w:pPr>
    </w:p>
    <w:p w14:paraId="48449783" w14:textId="77777777" w:rsidR="00F03E71" w:rsidRPr="005D618A" w:rsidRDefault="00F03E71" w:rsidP="00F03E71">
      <w:pPr>
        <w:shd w:val="clear" w:color="auto" w:fill="FFFFFF"/>
        <w:ind w:left="425"/>
        <w:jc w:val="both"/>
        <w:rPr>
          <w:rFonts w:ascii="Poppins" w:hAnsi="Poppins" w:cs="Poppins"/>
          <w:sz w:val="18"/>
          <w:szCs w:val="18"/>
        </w:rPr>
      </w:pPr>
      <w:r w:rsidRPr="005D618A">
        <w:rPr>
          <w:rFonts w:ascii="Poppins" w:hAnsi="Poppins" w:cs="Poppins"/>
          <w:sz w:val="18"/>
          <w:szCs w:val="18"/>
        </w:rPr>
        <w:t>Por su parte, las existencias de gasolinas disminuyeron en</w:t>
      </w:r>
      <w:r>
        <w:rPr>
          <w:rFonts w:ascii="Poppins" w:hAnsi="Poppins" w:cs="Poppins"/>
          <w:sz w:val="18"/>
          <w:szCs w:val="18"/>
        </w:rPr>
        <w:t xml:space="preserve"> 1,5</w:t>
      </w:r>
      <w:r w:rsidRPr="005D618A">
        <w:rPr>
          <w:rFonts w:ascii="Poppins" w:hAnsi="Poppins" w:cs="Poppins"/>
          <w:sz w:val="18"/>
          <w:szCs w:val="18"/>
        </w:rPr>
        <w:t xml:space="preserve"> millones de barriles, reportando un total de 2</w:t>
      </w:r>
      <w:r>
        <w:rPr>
          <w:rFonts w:ascii="Poppins" w:hAnsi="Poppins" w:cs="Poppins"/>
          <w:sz w:val="18"/>
          <w:szCs w:val="18"/>
        </w:rPr>
        <w:t>14,2</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se incrementaron </w:t>
      </w:r>
      <w:r w:rsidRPr="005D618A">
        <w:rPr>
          <w:rFonts w:ascii="Poppins" w:hAnsi="Poppins" w:cs="Poppins"/>
          <w:sz w:val="18"/>
          <w:szCs w:val="18"/>
        </w:rPr>
        <w:t xml:space="preserve">en </w:t>
      </w:r>
      <w:r>
        <w:rPr>
          <w:rFonts w:ascii="Poppins" w:hAnsi="Poppins" w:cs="Poppins"/>
          <w:sz w:val="18"/>
          <w:szCs w:val="18"/>
        </w:rPr>
        <w:t xml:space="preserve">0,4 </w:t>
      </w:r>
      <w:r w:rsidRPr="005D618A">
        <w:rPr>
          <w:rFonts w:ascii="Poppins" w:hAnsi="Poppins" w:cs="Poppins"/>
          <w:sz w:val="18"/>
          <w:szCs w:val="18"/>
        </w:rPr>
        <w:t>millones de barriles, ubicándose en 10</w:t>
      </w:r>
      <w:r>
        <w:rPr>
          <w:rFonts w:ascii="Poppins" w:hAnsi="Poppins" w:cs="Poppins"/>
          <w:sz w:val="18"/>
          <w:szCs w:val="18"/>
        </w:rPr>
        <w:t>2</w:t>
      </w:r>
      <w:r w:rsidRPr="005D618A">
        <w:rPr>
          <w:rFonts w:ascii="Poppins" w:hAnsi="Poppins" w:cs="Poppins"/>
          <w:sz w:val="18"/>
          <w:szCs w:val="18"/>
        </w:rPr>
        <w:t>,</w:t>
      </w:r>
      <w:r>
        <w:rPr>
          <w:rFonts w:ascii="Poppins" w:hAnsi="Poppins" w:cs="Poppins"/>
          <w:sz w:val="18"/>
          <w:szCs w:val="18"/>
        </w:rPr>
        <w:t>9</w:t>
      </w:r>
      <w:r w:rsidRPr="005D618A">
        <w:rPr>
          <w:rFonts w:ascii="Poppins" w:hAnsi="Poppins" w:cs="Poppins"/>
          <w:sz w:val="18"/>
          <w:szCs w:val="18"/>
        </w:rPr>
        <w:t xml:space="preserve"> millones de barriles.</w:t>
      </w:r>
    </w:p>
    <w:p w14:paraId="0A755DA9" w14:textId="77777777" w:rsidR="00F03E71" w:rsidRPr="005D618A" w:rsidRDefault="00F03E71" w:rsidP="00F03E71">
      <w:pPr>
        <w:shd w:val="clear" w:color="auto" w:fill="FFFFFF"/>
        <w:ind w:left="425"/>
        <w:jc w:val="both"/>
        <w:rPr>
          <w:rFonts w:ascii="Poppins" w:hAnsi="Poppins" w:cs="Poppins"/>
          <w:sz w:val="18"/>
          <w:szCs w:val="18"/>
        </w:rPr>
      </w:pPr>
    </w:p>
    <w:p w14:paraId="5396D830" w14:textId="77777777" w:rsidR="00F03E71" w:rsidRPr="005D618A" w:rsidRDefault="00F03E71" w:rsidP="00F03E71">
      <w:pPr>
        <w:shd w:val="clear" w:color="auto" w:fill="FFFFFF"/>
        <w:ind w:left="425"/>
        <w:jc w:val="both"/>
        <w:rPr>
          <w:rFonts w:ascii="Poppins" w:hAnsi="Poppins" w:cs="Poppins"/>
          <w:sz w:val="18"/>
          <w:szCs w:val="18"/>
        </w:rPr>
      </w:pPr>
      <w:r w:rsidRPr="005D618A">
        <w:rPr>
          <w:rFonts w:ascii="Poppins" w:hAnsi="Poppins" w:cs="Poppins"/>
          <w:sz w:val="18"/>
          <w:szCs w:val="18"/>
        </w:rPr>
        <w:t>Finalmente, las existencias de propano aumentaron en</w:t>
      </w:r>
      <w:r>
        <w:rPr>
          <w:rFonts w:ascii="Poppins" w:hAnsi="Poppins" w:cs="Poppins"/>
          <w:sz w:val="18"/>
          <w:szCs w:val="18"/>
        </w:rPr>
        <w:t xml:space="preserve"> 0,42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81,57 </w:t>
      </w:r>
      <w:r w:rsidRPr="005D618A">
        <w:rPr>
          <w:rFonts w:ascii="Poppins" w:hAnsi="Poppins" w:cs="Poppins"/>
          <w:sz w:val="18"/>
          <w:szCs w:val="18"/>
        </w:rPr>
        <w:t>millones de barriles</w:t>
      </w:r>
      <w:r>
        <w:rPr>
          <w:rFonts w:ascii="Poppins" w:hAnsi="Poppins" w:cs="Poppins"/>
          <w:sz w:val="18"/>
          <w:szCs w:val="18"/>
        </w:rPr>
        <w:t>.</w:t>
      </w:r>
    </w:p>
    <w:p w14:paraId="5CF08154" w14:textId="77777777" w:rsidR="00F03E71" w:rsidRDefault="00F03E71" w:rsidP="00F03E71">
      <w:pPr>
        <w:jc w:val="both"/>
        <w:rPr>
          <w:rFonts w:ascii="Poppins" w:hAnsi="Poppins" w:cs="Poppins"/>
          <w:b/>
          <w:sz w:val="18"/>
          <w:szCs w:val="18"/>
          <w:highlight w:val="yellow"/>
        </w:rPr>
      </w:pPr>
    </w:p>
    <w:p w14:paraId="13FE8E02" w14:textId="77777777" w:rsidR="00F03E71" w:rsidRDefault="00F03E71" w:rsidP="00F03E71">
      <w:pPr>
        <w:jc w:val="both"/>
        <w:rPr>
          <w:rFonts w:ascii="Poppins" w:hAnsi="Poppins" w:cs="Poppins"/>
          <w:b/>
          <w:sz w:val="18"/>
          <w:szCs w:val="18"/>
          <w:highlight w:val="yellow"/>
        </w:rPr>
      </w:pPr>
    </w:p>
    <w:p w14:paraId="6FA0E4A6" w14:textId="77777777" w:rsidR="00F03E71" w:rsidRDefault="00F03E71" w:rsidP="00F03E71">
      <w:pPr>
        <w:jc w:val="both"/>
        <w:rPr>
          <w:rFonts w:ascii="Poppins" w:hAnsi="Poppins" w:cs="Poppins"/>
          <w:b/>
          <w:sz w:val="18"/>
          <w:szCs w:val="18"/>
          <w:highlight w:val="yellow"/>
        </w:rPr>
      </w:pPr>
    </w:p>
    <w:p w14:paraId="1D265AE1" w14:textId="77777777" w:rsidR="00F03E71" w:rsidRPr="007654D3" w:rsidRDefault="00F03E71" w:rsidP="00F03E71">
      <w:pPr>
        <w:jc w:val="both"/>
        <w:rPr>
          <w:rFonts w:ascii="Poppins" w:hAnsi="Poppins" w:cs="Poppins"/>
          <w:b/>
          <w:sz w:val="18"/>
          <w:szCs w:val="18"/>
          <w:highlight w:val="yellow"/>
        </w:rPr>
      </w:pPr>
    </w:p>
    <w:p w14:paraId="119E4FD5" w14:textId="77777777" w:rsidR="00F03E71" w:rsidRPr="00BC3B7E" w:rsidRDefault="00F03E71" w:rsidP="00F03E71">
      <w:pPr>
        <w:pStyle w:val="Prrafodelista"/>
        <w:numPr>
          <w:ilvl w:val="0"/>
          <w:numId w:val="30"/>
        </w:numPr>
        <w:ind w:left="425"/>
        <w:contextualSpacing/>
        <w:jc w:val="both"/>
        <w:rPr>
          <w:rFonts w:ascii="Poppins" w:hAnsi="Poppins" w:cs="Poppins"/>
          <w:b/>
          <w:sz w:val="18"/>
          <w:szCs w:val="18"/>
        </w:rPr>
      </w:pPr>
      <w:proofErr w:type="gramStart"/>
      <w:r w:rsidRPr="00BC3B7E">
        <w:rPr>
          <w:rFonts w:ascii="Poppins" w:hAnsi="Poppins" w:cs="Poppins"/>
          <w:b/>
          <w:sz w:val="18"/>
          <w:szCs w:val="18"/>
        </w:rPr>
        <w:lastRenderedPageBreak/>
        <w:t>EE.UU.</w:t>
      </w:r>
      <w:proofErr w:type="gramEnd"/>
      <w:r w:rsidRPr="00BC3B7E">
        <w:rPr>
          <w:rFonts w:ascii="Poppins" w:hAnsi="Poppins" w:cs="Poppins"/>
          <w:b/>
          <w:sz w:val="18"/>
          <w:szCs w:val="18"/>
        </w:rPr>
        <w:t xml:space="preserve"> e Irán pasan de la escalada militar a una negociación avanzada y acuerdo frágil, aunque la reapertura plena del Estrecho de Ormuz sigue definiendo el riesgo petrolero</w:t>
      </w:r>
    </w:p>
    <w:p w14:paraId="01694978" w14:textId="77777777" w:rsidR="00F03E71" w:rsidRPr="00BC3B7E" w:rsidRDefault="00F03E71" w:rsidP="00F03E71">
      <w:pPr>
        <w:jc w:val="both"/>
        <w:rPr>
          <w:rFonts w:ascii="Poppins" w:hAnsi="Poppins" w:cs="Poppins"/>
          <w:b/>
          <w:sz w:val="18"/>
          <w:szCs w:val="18"/>
        </w:rPr>
      </w:pPr>
    </w:p>
    <w:p w14:paraId="3F341EB7"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las últimas semanas del mes de febrero, el frente diplomático quedó subordinado a una dinámica de confrontación abierta. Tras los contactos nucleares indirectos de Ginebra del 26 y 27 de febrero, que no produjeron avances, la ofensiva conjunta de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e Israel iniciada el 28 de febrero rompió el frágil equilibrio previo. En los días siguientes, Irán endureció su postura, respaldó el cierre de Ormuz y Donald Trump elevó la presión con amenazas cada vez más directas, hasta pasar del lenguaje de advertencia a exigencias de “rendición incondicional”.</w:t>
      </w:r>
    </w:p>
    <w:p w14:paraId="4D8B2D12" w14:textId="77777777" w:rsidR="00F03E71" w:rsidRPr="00BC3B7E" w:rsidRDefault="00F03E71" w:rsidP="00F03E71">
      <w:pPr>
        <w:shd w:val="clear" w:color="auto" w:fill="FFFFFF"/>
        <w:ind w:left="425"/>
        <w:jc w:val="both"/>
        <w:rPr>
          <w:rFonts w:ascii="Poppins" w:hAnsi="Poppins" w:cs="Poppins"/>
          <w:sz w:val="18"/>
          <w:szCs w:val="18"/>
        </w:rPr>
      </w:pPr>
    </w:p>
    <w:p w14:paraId="6F4CE1A1"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 xml:space="preserve">La escalada dio un salto importante el 13 de marzo, cuando Trump anunció ataques estadounidenses contra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isla que concentra cerca del 90% de las exportaciones petroleras de Irán. EE. UU. afirmó haber destruido blancos militares sin golpear directamente la infraestructura petrolera, aunque dejó explícita la amenaza de ampliar los ataques si Irán seguía interfiriendo en Ormuz. Un día después, CENTCOM informó ataques contra más de 90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manteniendo intactas las instalaciones petroleras, pero dejando clara la disposición de Washington a presionar sobre el principal nodo exportador iraní.</w:t>
      </w:r>
    </w:p>
    <w:p w14:paraId="7378D260" w14:textId="77777777" w:rsidR="00F03E71" w:rsidRPr="00BC3B7E" w:rsidRDefault="00F03E71" w:rsidP="00F03E71">
      <w:pPr>
        <w:shd w:val="clear" w:color="auto" w:fill="FFFFFF"/>
        <w:ind w:left="425"/>
        <w:jc w:val="both"/>
        <w:rPr>
          <w:rFonts w:ascii="Poppins" w:hAnsi="Poppins" w:cs="Poppins"/>
          <w:sz w:val="18"/>
          <w:szCs w:val="18"/>
        </w:rPr>
      </w:pPr>
    </w:p>
    <w:p w14:paraId="7D2B947F"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 segunda quincena de marzo, la confrontación combinó coerción militar, amenazas sobre infraestructura energética y pausas tácticas. Trump evaluó incluso ocupar o bloquear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para forzar la reapertura de Ormuz, mientras Irán advirtió que una mayor escalada sobre su litoral, islas o infraestructura energética podía derivar en un cierre más agresivo del Golfo, incluido el eventual uso de minas marinas. Aunque el 23 de marzo Trump anunció una pausa inicial en ataques contra plantas energéticas iraníes y el 26 de marzo la amplió por 10 días, hasta el 6 de abril, Irán negó contactos formales y calificó la propuesta estadounidense como sesgada e injusta.</w:t>
      </w:r>
    </w:p>
    <w:p w14:paraId="0BECD46F" w14:textId="77777777" w:rsidR="00F03E71" w:rsidRPr="00BC3B7E" w:rsidRDefault="00F03E71" w:rsidP="00F03E71">
      <w:pPr>
        <w:shd w:val="clear" w:color="auto" w:fill="FFFFFF"/>
        <w:ind w:left="425"/>
        <w:jc w:val="both"/>
        <w:rPr>
          <w:rFonts w:ascii="Poppins" w:hAnsi="Poppins" w:cs="Poppins"/>
          <w:sz w:val="18"/>
          <w:szCs w:val="18"/>
        </w:rPr>
      </w:pPr>
    </w:p>
    <w:p w14:paraId="179E6963"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A fines de marzo e inicios de abril, el mercado dejó de reaccionar solo a las señales verbales de Trump y empezó a asumir que la guerra podía prolongarse. La falta de avances diplomáticos verificables, la persistencia del riesgo sobre Ormuz y la continuidad de amenazas contra Irán reforzaron la percepción de una crisis con capacidad real de alterar el equilibrio energético mundial. En ese contexto, el crudo volvió a dispararse y la volatilidad aumentó.</w:t>
      </w:r>
    </w:p>
    <w:p w14:paraId="333DC43F" w14:textId="77777777" w:rsidR="00F03E71" w:rsidRPr="00BC3B7E" w:rsidRDefault="00F03E71" w:rsidP="00F03E71">
      <w:pPr>
        <w:shd w:val="clear" w:color="auto" w:fill="FFFFFF"/>
        <w:ind w:left="425"/>
        <w:jc w:val="both"/>
        <w:rPr>
          <w:rFonts w:ascii="Poppins" w:hAnsi="Poppins" w:cs="Poppins"/>
          <w:sz w:val="18"/>
          <w:szCs w:val="18"/>
        </w:rPr>
      </w:pPr>
    </w:p>
    <w:p w14:paraId="639E7116"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En abril, la crisis entró en una fase más ambigua, marcada por treguas tácticas, negociaciones incompletas y presión marítima. Los intentos de mediación regional, especialmente de Pakistán, desembocaron en una tregua temporal entre EE. UU. e Irán, que provocó una fuerte corrección del crudo entre el 8 y 10 de abril. Sin embargo, el alivio fue incompleto, pues la reapertura operativa del sistema energético regional siguió siendo incierta y cerca de 187 tanqueros permanecían dentro del Golfo con unos 172 millones de barriles de crudo y refinados pendientes de evacuación.</w:t>
      </w:r>
    </w:p>
    <w:p w14:paraId="50654EC7" w14:textId="77777777" w:rsidR="00F03E71" w:rsidRPr="00BC3B7E" w:rsidRDefault="00F03E71" w:rsidP="00F03E71">
      <w:pPr>
        <w:shd w:val="clear" w:color="auto" w:fill="FFFFFF"/>
        <w:ind w:left="425"/>
        <w:jc w:val="both"/>
        <w:rPr>
          <w:rFonts w:ascii="Poppins" w:hAnsi="Poppins" w:cs="Poppins"/>
          <w:sz w:val="18"/>
          <w:szCs w:val="18"/>
        </w:rPr>
      </w:pPr>
    </w:p>
    <w:p w14:paraId="598C16D0"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11 y 12 de abril, EE. UU. e Irán sostuvieron en Islamabad la ronda más importante de conversaciones de alto nivel en décadas, pero el encuentro terminó sin acuerdo. Ambas partes dejaron abierta la puerta al diálogo, aunque persistieron desacuerdos sobre el programa nuclear iraní, el alivio de sanciones y la seguridad marítima en el Golfo. A partir </w:t>
      </w:r>
      <w:r w:rsidRPr="00BC3B7E">
        <w:rPr>
          <w:rFonts w:ascii="Poppins" w:hAnsi="Poppins" w:cs="Poppins"/>
          <w:sz w:val="18"/>
          <w:szCs w:val="18"/>
        </w:rPr>
        <w:lastRenderedPageBreak/>
        <w:t>del 14 de abril, EE. UU. mantuvo la presión marítima y económica, mientras surgían nuevas señales de reanudación de contactos con mediación pakistaní.</w:t>
      </w:r>
    </w:p>
    <w:p w14:paraId="6E540054" w14:textId="77777777" w:rsidR="00F03E71" w:rsidRPr="00BC3B7E" w:rsidRDefault="00F03E71" w:rsidP="00F03E71">
      <w:pPr>
        <w:shd w:val="clear" w:color="auto" w:fill="FFFFFF"/>
        <w:ind w:left="425"/>
        <w:jc w:val="both"/>
        <w:rPr>
          <w:rFonts w:ascii="Poppins" w:hAnsi="Poppins" w:cs="Poppins"/>
          <w:sz w:val="18"/>
          <w:szCs w:val="18"/>
        </w:rPr>
      </w:pPr>
    </w:p>
    <w:p w14:paraId="279D7D65"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El 17 de abril, Irán anunció la reapertura temporal del Estrecho de Ormuz, lo que reavivó expectativas de negociación y generó una nueva corrección bajista del petróleo. Sin embargo, Teherán advirtió que podía volver a cerrar el paso si continuaba el bloqueo o interceptación naval estadounidense contra buques vinculados a puertos iraníes. Entre el 20 y 26 de abril, la tregua volvió a evidenciar su fragilidad: el proceso quedó trabado por la falta de un acuerdo operativo sobre Ormuz, el 24 de abril Trump señaló que Irán preparaba una oferta para atender demandas estadounidenses y el 25 de abril canceló el viaje de sus enviados a Pakistán. En paralelo, Ormuz siguió restringido y la amenaza iraní de extender la presión hacia Bab el-</w:t>
      </w:r>
      <w:proofErr w:type="spellStart"/>
      <w:r w:rsidRPr="00BC3B7E">
        <w:rPr>
          <w:rFonts w:ascii="Poppins" w:hAnsi="Poppins" w:cs="Poppins"/>
          <w:sz w:val="18"/>
          <w:szCs w:val="18"/>
        </w:rPr>
        <w:t>Mandeb</w:t>
      </w:r>
      <w:proofErr w:type="spellEnd"/>
      <w:r w:rsidRPr="00BC3B7E">
        <w:rPr>
          <w:rFonts w:ascii="Poppins" w:hAnsi="Poppins" w:cs="Poppins"/>
          <w:sz w:val="18"/>
          <w:szCs w:val="18"/>
        </w:rPr>
        <w:t xml:space="preserve"> elevó el riesgo de una disrupción marítima más amplia.</w:t>
      </w:r>
    </w:p>
    <w:p w14:paraId="5FE04E4D" w14:textId="77777777" w:rsidR="00F03E71" w:rsidRPr="00BC3B7E" w:rsidRDefault="00F03E71" w:rsidP="00F03E71">
      <w:pPr>
        <w:shd w:val="clear" w:color="auto" w:fill="FFFFFF"/>
        <w:ind w:left="425"/>
        <w:jc w:val="both"/>
        <w:rPr>
          <w:rFonts w:ascii="Poppins" w:hAnsi="Poppins" w:cs="Poppins"/>
          <w:sz w:val="18"/>
          <w:szCs w:val="18"/>
        </w:rPr>
      </w:pPr>
    </w:p>
    <w:p w14:paraId="3B28CC2B"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Entre el 27 de abril y el 1 de mayo de 2026, el conflicto se caracterizó por una combinación de presión militar, sanciones y esfuerzos diplomáticos indirectos. El foco principal siguió siendo Ormuz, donde EE. UU. reforzó su presencia naval e intensificó las interceptaciones de cargamentos iraníes, mientras Irán respondió restringiendo parcialmente el tránsito y denunciando acciones de “piratería” por parte de Washington. La reducción del tráfico de buques y el riesgo de un cierre total elevaron las primas de riesgo, los costos de transporte marítimo y la preocupación sobre nuevas interrupciones de suministro. En paralelo, las exportaciones petroleras iraníes se redujeron por sanciones y restricciones logísticas, obligando a Teherán a buscar rutas alternativas hacia China y a almacenar crudo en instalaciones improvisadas. En ese contexto, el Brent superó los USD 107 por barril ante el temor de una mayor escasez regional.</w:t>
      </w:r>
    </w:p>
    <w:p w14:paraId="272D728D" w14:textId="77777777" w:rsidR="00F03E71" w:rsidRPr="00BC3B7E" w:rsidRDefault="00F03E71" w:rsidP="00F03E71">
      <w:pPr>
        <w:shd w:val="clear" w:color="auto" w:fill="FFFFFF"/>
        <w:ind w:left="425"/>
        <w:jc w:val="both"/>
        <w:rPr>
          <w:rFonts w:ascii="Poppins" w:hAnsi="Poppins" w:cs="Poppins"/>
          <w:sz w:val="18"/>
          <w:szCs w:val="18"/>
        </w:rPr>
      </w:pPr>
    </w:p>
    <w:p w14:paraId="15905867"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4 al 8 de mayo de 2026, el conflicto estuvo marcado principalmente por tensiones diplomáticas vinculadas al programa nuclear iraní. Ambos países mantenían negociaciones indirectas, mediadas por Omán, con el objetivo de avanzar hacia un nuevo acuerdo nuclear; sin embargo, la cuarta ronda de conversaciones fue aplazada por razones logísticas, lo que generó incertidumbre sobre el avance del diálogo. Paralelamente, EE. UU. mantuvo la presión económica mediante sanciones dirigidas al sector petrolero y petroquímico iraní, buscando limitar las fuentes de ingresos de Teherán.</w:t>
      </w:r>
    </w:p>
    <w:p w14:paraId="5D9C1E57" w14:textId="77777777" w:rsidR="00F03E71" w:rsidRPr="00BC3B7E" w:rsidRDefault="00F03E71" w:rsidP="00F03E71">
      <w:pPr>
        <w:shd w:val="clear" w:color="auto" w:fill="FFFFFF"/>
        <w:ind w:left="425"/>
        <w:jc w:val="both"/>
        <w:rPr>
          <w:rFonts w:ascii="Poppins" w:hAnsi="Poppins" w:cs="Poppins"/>
          <w:sz w:val="18"/>
          <w:szCs w:val="18"/>
        </w:rPr>
      </w:pPr>
    </w:p>
    <w:p w14:paraId="4944CEEA"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11 al 17 de mayo de 2026, el conflicto entró en una fase de negociación más concreta, aunque todavía sin normalización efectiva del tránsito marítimo. El 11 de mayo, EE. UU. impuso nuevas sanciones contra personas y empresas vinculadas al envío de petróleo iraní hacia China, reforzando la presión económica sobre Teherán mientras se mantenían abiertos los contactos diplomáticos. Luego, Pakistán trasladó a EE. UU. una propuesta iraní revisada para terminar la guerra, centrada primero en detener el conflicto, reabrir Ormuz y levantar restricciones marítimas, aunque las conversaciones seguían estancadas.</w:t>
      </w:r>
    </w:p>
    <w:p w14:paraId="6FC2C2A4" w14:textId="77777777" w:rsidR="00F03E71" w:rsidRPr="00BC3B7E" w:rsidRDefault="00F03E71" w:rsidP="00F03E71">
      <w:pPr>
        <w:shd w:val="clear" w:color="auto" w:fill="FFFFFF"/>
        <w:ind w:left="425"/>
        <w:jc w:val="both"/>
        <w:rPr>
          <w:rFonts w:ascii="Poppins" w:hAnsi="Poppins" w:cs="Poppins"/>
          <w:sz w:val="18"/>
          <w:szCs w:val="18"/>
        </w:rPr>
      </w:pPr>
    </w:p>
    <w:p w14:paraId="1DB21367"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 xml:space="preserve">En ese contexto, la cumbre entre Xi Jinping y Donald Trump generó expectativas de alivio en el mercado energético, luego de que Trump afirmara que China apoyaba la reapertura del Estrecho de Ormuz y que no asistiría militarmente a Irán. Sin embargo, la reacción del mercado fue limitada, porque no se anunciaron compromisos verificables para normalizar los flujos energéticos, garantizar el tránsito de buques o destrabar la salida de cargamentos </w:t>
      </w:r>
      <w:r w:rsidRPr="00BC3B7E">
        <w:rPr>
          <w:rFonts w:ascii="Poppins" w:hAnsi="Poppins" w:cs="Poppins"/>
          <w:sz w:val="18"/>
          <w:szCs w:val="18"/>
        </w:rPr>
        <w:lastRenderedPageBreak/>
        <w:t>retenidos en el Golfo. Así, la reunión fue leída como una señal diplomática positiva, pero insuficiente para eliminar la prima geopolítica.</w:t>
      </w:r>
    </w:p>
    <w:p w14:paraId="539F19C7" w14:textId="77777777" w:rsidR="00F03E71" w:rsidRPr="00BC3B7E" w:rsidRDefault="00F03E71" w:rsidP="00F03E71">
      <w:pPr>
        <w:shd w:val="clear" w:color="auto" w:fill="FFFFFF"/>
        <w:ind w:left="425"/>
        <w:jc w:val="both"/>
        <w:rPr>
          <w:rFonts w:ascii="Poppins" w:hAnsi="Poppins" w:cs="Poppins"/>
          <w:sz w:val="18"/>
          <w:szCs w:val="18"/>
        </w:rPr>
      </w:pPr>
    </w:p>
    <w:p w14:paraId="19ACCC73"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18 y el 24 de mayo, el conflicto pasó de una negociación avanzada a una fase de alta volatilidad diplomática y petrolera. El 18 de mayo,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renovó exenciones vinculadas al petróleo ruso para aliviar la presión de oferta, mientras Trump postergó un ataque contra Irán, moderando temporalmente los precios. El 20 de mayo, el mercado reaccionó con fuerza a señales de acuerdo. Dos tanqueros chinos salieron de Ormuz con cerca de 4 millones de barriles, y los precios de crudo Brent y el WTI cayeron más de 5% ante expectativas de reapertura. Sin embargo, entre el 21 y 22 de mayo, el optimismo se debilitó. Marco Rubio advirtió que un sistema iraní de peajes en Ormuz haría inviable cualquier acuerdo, aunque reconoció algunos avances. Además, Irán insistió en mantener su uranio enriquecido, limitando la posibilidad de un pacto rápido. Al 24 de mayo, Trump afirmó que no había prisa por cerrar el acuerdo y que el bloqueo estadounidense a buques iraníes en Ormuz seguiría vigente hasta que el pacto estuviera acordado, certificado y firmado. En consecuencia, el riesgo petrolero se moderó por las señales de diálogo, pero no desapareció. Ormuz comenzó a mostrar salidas selectivas de buques, aunque la reapertura plena siguió condicionada a un acuerdo político, marítimo y nuclear.</w:t>
      </w:r>
    </w:p>
    <w:p w14:paraId="152C1380" w14:textId="77777777" w:rsidR="00F03E71" w:rsidRPr="00BC3B7E" w:rsidRDefault="00F03E71" w:rsidP="00F03E71">
      <w:pPr>
        <w:shd w:val="clear" w:color="auto" w:fill="FFFFFF"/>
        <w:ind w:left="425"/>
        <w:jc w:val="both"/>
        <w:rPr>
          <w:rFonts w:ascii="Poppins" w:hAnsi="Poppins" w:cs="Poppins"/>
          <w:sz w:val="18"/>
          <w:szCs w:val="18"/>
        </w:rPr>
      </w:pPr>
    </w:p>
    <w:p w14:paraId="56F4C00F" w14:textId="77777777" w:rsidR="00F03E71" w:rsidRPr="00BC3B7E" w:rsidRDefault="00F03E71" w:rsidP="00F03E71">
      <w:pPr>
        <w:shd w:val="clear" w:color="auto" w:fill="FFFFFF"/>
        <w:ind w:left="425"/>
        <w:jc w:val="both"/>
        <w:rPr>
          <w:rFonts w:ascii="Poppins" w:hAnsi="Poppins" w:cs="Poppins"/>
          <w:sz w:val="18"/>
          <w:szCs w:val="18"/>
        </w:rPr>
      </w:pPr>
      <w:r w:rsidRPr="00BC3B7E">
        <w:rPr>
          <w:rFonts w:ascii="Poppins" w:hAnsi="Poppins" w:cs="Poppins"/>
          <w:sz w:val="18"/>
          <w:szCs w:val="18"/>
        </w:rPr>
        <w:t xml:space="preserve">Así, el conflicto entre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e Irán pasó </w:t>
      </w:r>
      <w:r>
        <w:rPr>
          <w:rFonts w:ascii="Poppins" w:hAnsi="Poppins" w:cs="Poppins"/>
          <w:sz w:val="18"/>
          <w:szCs w:val="18"/>
        </w:rPr>
        <w:t xml:space="preserve">en sus inicios </w:t>
      </w:r>
      <w:r w:rsidRPr="00BC3B7E">
        <w:rPr>
          <w:rFonts w:ascii="Poppins" w:hAnsi="Poppins" w:cs="Poppins"/>
          <w:sz w:val="18"/>
          <w:szCs w:val="18"/>
        </w:rPr>
        <w:t>de un diálogo estancado a una confrontación abierta, luego a una tregua frágil y, más recientemente</w:t>
      </w:r>
      <w:r>
        <w:rPr>
          <w:rFonts w:ascii="Poppins" w:hAnsi="Poppins" w:cs="Poppins"/>
          <w:sz w:val="18"/>
          <w:szCs w:val="18"/>
        </w:rPr>
        <w:t xml:space="preserve"> y a partir de mediados de mayo</w:t>
      </w:r>
      <w:r w:rsidRPr="00BC3B7E">
        <w:rPr>
          <w:rFonts w:ascii="Poppins" w:hAnsi="Poppins" w:cs="Poppins"/>
          <w:sz w:val="18"/>
          <w:szCs w:val="18"/>
        </w:rPr>
        <w:t xml:space="preserve">, a una negociación avanzada pero todavía incompleta. La secuencia más reciente muestra que el mercado empezó a descontar una posible salida diplomática, reforzada por las señales de Trump sobre un acuerdo en gran parte negociado, la salida selectiva de tanqueros por Ormuz y las propuestas para extender la tregua. Sin embargo, la desescalada aún no puede considerarse ordenada ni definitiva. Irán negó que el acuerdo sea inminente,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mantiene sanciones y bloqueo naval hasta la firma de un pacto verificable, y la propuesta de reapertura de Ormuz quedaría sujeta a plazos técnicos y políticos, incluida una apertura estimada unos 30 días después del acuerdo y una extensión de tregua de 60 días. En consecuencia, el riesgo sobre crudo y derivados se redujo respecto al pico de tensión, pero sigue siendo elevado mientras no se normalicen plenamente los flujos físicos por Ormuz</w:t>
      </w:r>
      <w:r>
        <w:rPr>
          <w:rFonts w:ascii="Poppins" w:hAnsi="Poppins" w:cs="Poppins"/>
          <w:sz w:val="18"/>
          <w:szCs w:val="18"/>
        </w:rPr>
        <w:t>.</w:t>
      </w:r>
    </w:p>
    <w:p w14:paraId="0678DFE3" w14:textId="77777777" w:rsidR="00F03E71" w:rsidRPr="007266B7" w:rsidRDefault="00F03E71" w:rsidP="00F03E71">
      <w:pPr>
        <w:shd w:val="clear" w:color="auto" w:fill="FFFFFF"/>
        <w:ind w:left="425"/>
        <w:jc w:val="both"/>
        <w:rPr>
          <w:rFonts w:ascii="Poppins" w:hAnsi="Poppins" w:cs="Poppins"/>
          <w:sz w:val="18"/>
          <w:szCs w:val="18"/>
          <w:highlight w:val="yellow"/>
        </w:rPr>
      </w:pPr>
    </w:p>
    <w:p w14:paraId="6631B22C" w14:textId="77777777" w:rsidR="00F03E71" w:rsidRPr="00863636" w:rsidRDefault="00F03E71" w:rsidP="00F03E71">
      <w:pPr>
        <w:pStyle w:val="Prrafodelista"/>
        <w:numPr>
          <w:ilvl w:val="0"/>
          <w:numId w:val="30"/>
        </w:numPr>
        <w:ind w:left="425"/>
        <w:contextualSpacing/>
        <w:jc w:val="both"/>
        <w:rPr>
          <w:rFonts w:ascii="Poppins" w:hAnsi="Poppins" w:cs="Poppins"/>
          <w:sz w:val="18"/>
          <w:szCs w:val="18"/>
        </w:rPr>
      </w:pPr>
      <w:r w:rsidRPr="00863636">
        <w:rPr>
          <w:rFonts w:ascii="Poppins" w:hAnsi="Poppins" w:cs="Poppins"/>
          <w:b/>
          <w:sz w:val="18"/>
          <w:szCs w:val="18"/>
        </w:rPr>
        <w:t xml:space="preserve">Exenciones al petróleo ruso ampliaron la oferta disponible de </w:t>
      </w:r>
      <w:r>
        <w:rPr>
          <w:rFonts w:ascii="Poppins" w:hAnsi="Poppins" w:cs="Poppins"/>
          <w:b/>
          <w:sz w:val="18"/>
          <w:szCs w:val="18"/>
        </w:rPr>
        <w:t>combustibles</w:t>
      </w:r>
    </w:p>
    <w:p w14:paraId="1B8D305B" w14:textId="77777777" w:rsidR="00F03E71" w:rsidRPr="00863636" w:rsidRDefault="00F03E71" w:rsidP="00F03E71">
      <w:pPr>
        <w:shd w:val="clear" w:color="auto" w:fill="FFFFFF"/>
        <w:ind w:left="425"/>
        <w:jc w:val="both"/>
        <w:rPr>
          <w:rFonts w:ascii="Poppins" w:hAnsi="Poppins" w:cs="Poppins"/>
          <w:sz w:val="18"/>
          <w:szCs w:val="18"/>
        </w:rPr>
      </w:pPr>
    </w:p>
    <w:p w14:paraId="1284DBE4" w14:textId="77777777" w:rsidR="00F03E71" w:rsidRPr="00863636" w:rsidRDefault="00F03E71" w:rsidP="00F03E71">
      <w:pPr>
        <w:shd w:val="clear" w:color="auto" w:fill="FFFFFF"/>
        <w:ind w:left="425"/>
        <w:jc w:val="both"/>
        <w:rPr>
          <w:rFonts w:ascii="Poppins" w:hAnsi="Poppins" w:cs="Poppins"/>
          <w:sz w:val="18"/>
          <w:szCs w:val="18"/>
        </w:rPr>
      </w:pPr>
      <w:r w:rsidRPr="00863636">
        <w:rPr>
          <w:rFonts w:ascii="Poppins" w:hAnsi="Poppins" w:cs="Poppins"/>
          <w:sz w:val="18"/>
          <w:szCs w:val="18"/>
        </w:rPr>
        <w:t>El 19 de mayo de 2026, el Reino Unido abrió una excepción a sus sanciones y permitió seguir importando diésel y combustible de aviación refinados en terceros países a partir de crudo ruso, especialmente desde centros como India y Turquía. La medida postergó una prohibición previamente anunciada y fue justificada como una respuesta de seguridad energética ante la presión de precios y las disrupciones asociadas al conflicto con Irán y al Estrecho de Ormuz.</w:t>
      </w:r>
    </w:p>
    <w:p w14:paraId="0DF48296" w14:textId="77777777" w:rsidR="00F03E71" w:rsidRPr="00863636" w:rsidRDefault="00F03E71" w:rsidP="00F03E71">
      <w:pPr>
        <w:shd w:val="clear" w:color="auto" w:fill="FFFFFF"/>
        <w:ind w:left="425"/>
        <w:jc w:val="both"/>
        <w:rPr>
          <w:rFonts w:ascii="Poppins" w:hAnsi="Poppins" w:cs="Poppins"/>
          <w:sz w:val="18"/>
          <w:szCs w:val="18"/>
        </w:rPr>
      </w:pPr>
    </w:p>
    <w:p w14:paraId="78427647" w14:textId="77777777" w:rsidR="00F03E71" w:rsidRPr="00863636" w:rsidRDefault="00F03E71" w:rsidP="00F03E71">
      <w:pPr>
        <w:shd w:val="clear" w:color="auto" w:fill="FFFFFF"/>
        <w:ind w:left="425"/>
        <w:jc w:val="both"/>
        <w:rPr>
          <w:rFonts w:ascii="Poppins" w:hAnsi="Poppins" w:cs="Poppins"/>
          <w:sz w:val="18"/>
          <w:szCs w:val="18"/>
        </w:rPr>
      </w:pPr>
      <w:r w:rsidRPr="00863636">
        <w:rPr>
          <w:rFonts w:ascii="Poppins" w:hAnsi="Poppins" w:cs="Poppins"/>
          <w:sz w:val="18"/>
          <w:szCs w:val="18"/>
        </w:rPr>
        <w:t>La decisión no implica importar directamente crudo ruso, sino aceptar derivados procesados fuera de Rusia con materia prima rusa. En la práctica, aumentó la disponibilidad efectiva de destilados medios, principalmente diésel y jet fuel</w:t>
      </w:r>
      <w:r>
        <w:rPr>
          <w:rFonts w:ascii="Poppins" w:hAnsi="Poppins" w:cs="Poppins"/>
          <w:sz w:val="18"/>
          <w:szCs w:val="18"/>
        </w:rPr>
        <w:t xml:space="preserve"> (aviación)</w:t>
      </w:r>
      <w:r w:rsidRPr="00863636">
        <w:rPr>
          <w:rFonts w:ascii="Poppins" w:hAnsi="Poppins" w:cs="Poppins"/>
          <w:sz w:val="18"/>
          <w:szCs w:val="18"/>
        </w:rPr>
        <w:t xml:space="preserve">, combustibles críticos para transporte terrestre, aviación y logística. Por ello, su efecto fue bajista para derivados, al reducir el riesgo de escasez en un mercado tensionado, aunque generó críticas porque puede debilitar la presión económica sobre </w:t>
      </w:r>
      <w:r>
        <w:rPr>
          <w:rFonts w:ascii="Poppins" w:hAnsi="Poppins" w:cs="Poppins"/>
          <w:sz w:val="18"/>
          <w:szCs w:val="18"/>
        </w:rPr>
        <w:t>Rusia.</w:t>
      </w:r>
    </w:p>
    <w:p w14:paraId="28C06E11" w14:textId="77777777" w:rsidR="00F03E71" w:rsidRPr="00863636" w:rsidRDefault="00F03E71" w:rsidP="00F03E71">
      <w:pPr>
        <w:shd w:val="clear" w:color="auto" w:fill="FFFFFF"/>
        <w:ind w:left="425"/>
        <w:jc w:val="both"/>
        <w:rPr>
          <w:rFonts w:ascii="Poppins" w:hAnsi="Poppins" w:cs="Poppins"/>
          <w:sz w:val="18"/>
          <w:szCs w:val="18"/>
        </w:rPr>
      </w:pPr>
    </w:p>
    <w:p w14:paraId="794B47C8" w14:textId="77777777" w:rsidR="00F03E71" w:rsidRDefault="00F03E71" w:rsidP="00F03E71">
      <w:pPr>
        <w:shd w:val="clear" w:color="auto" w:fill="FFFFFF"/>
        <w:ind w:left="425"/>
        <w:jc w:val="both"/>
        <w:rPr>
          <w:rFonts w:ascii="Poppins" w:hAnsi="Poppins" w:cs="Poppins"/>
          <w:sz w:val="18"/>
          <w:szCs w:val="18"/>
        </w:rPr>
      </w:pPr>
      <w:r w:rsidRPr="00863636">
        <w:rPr>
          <w:rFonts w:ascii="Poppins" w:hAnsi="Poppins" w:cs="Poppins"/>
          <w:sz w:val="18"/>
          <w:szCs w:val="18"/>
        </w:rPr>
        <w:t xml:space="preserve">En paralelo, el 18 de mayo de 2026, </w:t>
      </w:r>
      <w:proofErr w:type="gramStart"/>
      <w:r w:rsidRPr="00863636">
        <w:rPr>
          <w:rFonts w:ascii="Poppins" w:hAnsi="Poppins" w:cs="Poppins"/>
          <w:sz w:val="18"/>
          <w:szCs w:val="18"/>
        </w:rPr>
        <w:t>EE.UU.</w:t>
      </w:r>
      <w:proofErr w:type="gramEnd"/>
      <w:r w:rsidRPr="00863636">
        <w:rPr>
          <w:rFonts w:ascii="Poppins" w:hAnsi="Poppins" w:cs="Poppins"/>
          <w:sz w:val="18"/>
          <w:szCs w:val="18"/>
        </w:rPr>
        <w:t xml:space="preserve"> extendió por 30 días una exención de sanciones para compras de petróleo ruso transportado por mar, orientada a países </w:t>
      </w:r>
      <w:r w:rsidRPr="00863636">
        <w:rPr>
          <w:rFonts w:ascii="Poppins" w:hAnsi="Poppins" w:cs="Poppins"/>
          <w:i/>
          <w:iCs/>
          <w:sz w:val="18"/>
          <w:szCs w:val="18"/>
        </w:rPr>
        <w:t>“energéticamente vulnerables”</w:t>
      </w:r>
      <w:r w:rsidRPr="00863636">
        <w:rPr>
          <w:rFonts w:ascii="Poppins" w:hAnsi="Poppins" w:cs="Poppins"/>
          <w:sz w:val="18"/>
          <w:szCs w:val="18"/>
        </w:rPr>
        <w:t xml:space="preserve"> y aplicable a cargamentos ya embarcados. La vigencia se extendió hasta el 17 de junio de 2026. No obstante, Reuters advirtió el 20 de mayo que el impacto sobre las exportaciones rusas sería limitado, porque los embarques ya operaban cerca de sus restricciones logísticas. En balance, ambas medidas ampliaron oferta disponible y moderaron precios, pero con efecto temporal y acotado.</w:t>
      </w:r>
    </w:p>
    <w:p w14:paraId="580DBA0B" w14:textId="77777777" w:rsidR="00F03E71" w:rsidRPr="007266B7" w:rsidRDefault="00F03E71" w:rsidP="00F03E71">
      <w:pPr>
        <w:shd w:val="clear" w:color="auto" w:fill="FFFFFF"/>
        <w:ind w:left="425"/>
        <w:jc w:val="both"/>
        <w:rPr>
          <w:rFonts w:ascii="Poppins" w:hAnsi="Poppins" w:cs="Poppins"/>
          <w:sz w:val="18"/>
          <w:szCs w:val="18"/>
          <w:highlight w:val="yellow"/>
        </w:rPr>
      </w:pPr>
    </w:p>
    <w:p w14:paraId="21A7118A" w14:textId="77777777" w:rsidR="00F03E71" w:rsidRPr="00DB5BDD" w:rsidRDefault="00F03E71" w:rsidP="00F03E71">
      <w:pPr>
        <w:pStyle w:val="Prrafodelista"/>
        <w:numPr>
          <w:ilvl w:val="0"/>
          <w:numId w:val="30"/>
        </w:numPr>
        <w:ind w:left="425"/>
        <w:contextualSpacing/>
        <w:jc w:val="both"/>
        <w:rPr>
          <w:rFonts w:ascii="Poppins" w:hAnsi="Poppins" w:cs="Poppins"/>
          <w:sz w:val="18"/>
          <w:szCs w:val="18"/>
        </w:rPr>
      </w:pPr>
      <w:r w:rsidRPr="00DB5BDD">
        <w:rPr>
          <w:rFonts w:ascii="Poppins" w:hAnsi="Poppins" w:cs="Poppins"/>
          <w:b/>
          <w:sz w:val="18"/>
          <w:szCs w:val="18"/>
        </w:rPr>
        <w:t>Señales de menor demanda global moderaron el alza del petróleo</w:t>
      </w:r>
    </w:p>
    <w:p w14:paraId="215890EF" w14:textId="77777777" w:rsidR="00F03E71" w:rsidRPr="00DB5BDD" w:rsidRDefault="00F03E71" w:rsidP="00F03E71">
      <w:pPr>
        <w:shd w:val="clear" w:color="auto" w:fill="FFFFFF"/>
        <w:ind w:left="425"/>
        <w:jc w:val="both"/>
        <w:rPr>
          <w:rFonts w:ascii="Poppins" w:hAnsi="Poppins" w:cs="Poppins"/>
          <w:sz w:val="18"/>
          <w:szCs w:val="18"/>
        </w:rPr>
      </w:pPr>
    </w:p>
    <w:p w14:paraId="5DBCE455" w14:textId="77777777" w:rsidR="00F03E71" w:rsidRPr="00DB5BDD" w:rsidRDefault="00F03E71" w:rsidP="00F03E71">
      <w:pPr>
        <w:shd w:val="clear" w:color="auto" w:fill="FFFFFF"/>
        <w:ind w:left="425"/>
        <w:jc w:val="both"/>
        <w:rPr>
          <w:rFonts w:ascii="Poppins" w:hAnsi="Poppins" w:cs="Poppins"/>
          <w:sz w:val="18"/>
          <w:szCs w:val="18"/>
        </w:rPr>
      </w:pPr>
      <w:r w:rsidRPr="00DB5BDD">
        <w:rPr>
          <w:rFonts w:ascii="Poppins" w:hAnsi="Poppins" w:cs="Poppins"/>
          <w:sz w:val="18"/>
          <w:szCs w:val="18"/>
        </w:rPr>
        <w:t xml:space="preserve">Las señales de demanda introdujeron un contrapeso bajista frente a la prima geopolítica generada por Oriente Medio. Aunque el mercado seguía dominado por Ormuz, </w:t>
      </w:r>
      <w:proofErr w:type="gramStart"/>
      <w:r w:rsidRPr="00DB5BDD">
        <w:rPr>
          <w:rFonts w:ascii="Poppins" w:hAnsi="Poppins" w:cs="Poppins"/>
          <w:sz w:val="18"/>
          <w:szCs w:val="18"/>
        </w:rPr>
        <w:t>EE.UU.</w:t>
      </w:r>
      <w:proofErr w:type="gramEnd"/>
      <w:r w:rsidRPr="00DB5BDD">
        <w:rPr>
          <w:rFonts w:ascii="Poppins" w:hAnsi="Poppins" w:cs="Poppins"/>
          <w:sz w:val="18"/>
          <w:szCs w:val="18"/>
        </w:rPr>
        <w:t>–Irán y los recortes forzados del Golfo, los indicadores de consumo comenzaron a mostrar menor capacidad para sostener precios elevados por mucho tiempo.</w:t>
      </w:r>
    </w:p>
    <w:p w14:paraId="329083F8" w14:textId="77777777" w:rsidR="00F03E71" w:rsidRPr="00DB5BDD" w:rsidRDefault="00F03E71" w:rsidP="00F03E71">
      <w:pPr>
        <w:shd w:val="clear" w:color="auto" w:fill="FFFFFF"/>
        <w:ind w:left="425"/>
        <w:jc w:val="both"/>
        <w:rPr>
          <w:rFonts w:ascii="Poppins" w:hAnsi="Poppins" w:cs="Poppins"/>
          <w:sz w:val="18"/>
          <w:szCs w:val="18"/>
        </w:rPr>
      </w:pPr>
    </w:p>
    <w:p w14:paraId="6D239AEE" w14:textId="77777777" w:rsidR="00F03E71" w:rsidRPr="00DB5BDD" w:rsidRDefault="00F03E71" w:rsidP="00F03E71">
      <w:pPr>
        <w:shd w:val="clear" w:color="auto" w:fill="FFFFFF"/>
        <w:ind w:left="425"/>
        <w:jc w:val="both"/>
        <w:rPr>
          <w:rFonts w:ascii="Poppins" w:hAnsi="Poppins" w:cs="Poppins"/>
          <w:sz w:val="18"/>
          <w:szCs w:val="18"/>
        </w:rPr>
      </w:pPr>
      <w:r w:rsidRPr="00DB5BDD">
        <w:rPr>
          <w:rFonts w:ascii="Poppins" w:hAnsi="Poppins" w:cs="Poppins"/>
          <w:sz w:val="18"/>
          <w:szCs w:val="18"/>
        </w:rPr>
        <w:t>El ajuste más relevante provino de las proyecciones internacionales. El 13 de mayo, la AIE recortó su previsión de crecimiento de demanda para 2026 en 420 mil bpd, mientras la OPEP redujo su estimación en 200 mil bpd, hasta 1,17 millones de bpd de crecimiento. Estos recortes reforzaron la percepción de un mercado menos dinámico por altos precios, tensiones comerciales y menor actividad económica.</w:t>
      </w:r>
    </w:p>
    <w:p w14:paraId="09FB9480" w14:textId="77777777" w:rsidR="00F03E71" w:rsidRPr="00DB5BDD" w:rsidRDefault="00F03E71" w:rsidP="00F03E71">
      <w:pPr>
        <w:shd w:val="clear" w:color="auto" w:fill="FFFFFF"/>
        <w:ind w:left="425"/>
        <w:jc w:val="both"/>
        <w:rPr>
          <w:rFonts w:ascii="Poppins" w:hAnsi="Poppins" w:cs="Poppins"/>
          <w:sz w:val="18"/>
          <w:szCs w:val="18"/>
        </w:rPr>
      </w:pPr>
    </w:p>
    <w:p w14:paraId="137CA5AE" w14:textId="77777777" w:rsidR="00F03E71" w:rsidRPr="00DB5BDD" w:rsidRDefault="00F03E71" w:rsidP="00F03E71">
      <w:pPr>
        <w:shd w:val="clear" w:color="auto" w:fill="FFFFFF"/>
        <w:ind w:left="425"/>
        <w:jc w:val="both"/>
        <w:rPr>
          <w:rFonts w:ascii="Poppins" w:hAnsi="Poppins" w:cs="Poppins"/>
          <w:sz w:val="18"/>
          <w:szCs w:val="18"/>
        </w:rPr>
      </w:pPr>
      <w:r w:rsidRPr="00DB5BDD">
        <w:rPr>
          <w:rFonts w:ascii="Poppins" w:hAnsi="Poppins" w:cs="Poppins"/>
          <w:sz w:val="18"/>
          <w:szCs w:val="18"/>
        </w:rPr>
        <w:t>China fue el principal foco de debilidad física. En abril de 2026, sus importaciones y procesamiento de crudo cayeron en 2,4 millones de bpd, hasta 9,25 millones de bpd, el menor nivel desde julio de 2022. Además, las refinerías independientes de Shandong operaron cerca de 50% de capacidad, afectadas por márgenes negativos y demanda interna débil.</w:t>
      </w:r>
    </w:p>
    <w:p w14:paraId="2FECBA03" w14:textId="77777777" w:rsidR="00F03E71" w:rsidRPr="00DB5BDD" w:rsidRDefault="00F03E71" w:rsidP="00F03E71">
      <w:pPr>
        <w:shd w:val="clear" w:color="auto" w:fill="FFFFFF"/>
        <w:ind w:left="425"/>
        <w:jc w:val="both"/>
        <w:rPr>
          <w:rFonts w:ascii="Poppins" w:hAnsi="Poppins" w:cs="Poppins"/>
          <w:sz w:val="18"/>
          <w:szCs w:val="18"/>
        </w:rPr>
      </w:pPr>
    </w:p>
    <w:p w14:paraId="27A8C89A" w14:textId="77777777" w:rsidR="00F03E71" w:rsidRPr="00DB5BDD" w:rsidRDefault="00F03E71" w:rsidP="00F03E71">
      <w:pPr>
        <w:shd w:val="clear" w:color="auto" w:fill="FFFFFF"/>
        <w:ind w:left="425"/>
        <w:jc w:val="both"/>
        <w:rPr>
          <w:rFonts w:ascii="Poppins" w:hAnsi="Poppins" w:cs="Poppins"/>
          <w:sz w:val="18"/>
          <w:szCs w:val="18"/>
        </w:rPr>
      </w:pPr>
      <w:r w:rsidRPr="00DB5BDD">
        <w:rPr>
          <w:rFonts w:ascii="Poppins" w:hAnsi="Poppins" w:cs="Poppins"/>
          <w:sz w:val="18"/>
          <w:szCs w:val="18"/>
        </w:rPr>
        <w:t>Sin embargo, la lectura para combustibles fue mixta. China restringió exportaciones de gasolina, diésel y jet fuel, reduciendo la oferta regional y sosteniendo precios en Asia. A la vez, India trasladó parte del shock internacional a su mercado interno, con refinerías estatales elevando precios de gasolina y diésel entre 3% y 4%, por primera vez desde marzo de 2024.</w:t>
      </w:r>
    </w:p>
    <w:p w14:paraId="112488AD" w14:textId="77777777" w:rsidR="00F03E71" w:rsidRPr="00DB5BDD" w:rsidRDefault="00F03E71" w:rsidP="00F03E71">
      <w:pPr>
        <w:shd w:val="clear" w:color="auto" w:fill="FFFFFF"/>
        <w:ind w:left="425"/>
        <w:jc w:val="both"/>
        <w:rPr>
          <w:rFonts w:ascii="Poppins" w:hAnsi="Poppins" w:cs="Poppins"/>
          <w:sz w:val="18"/>
          <w:szCs w:val="18"/>
        </w:rPr>
      </w:pPr>
    </w:p>
    <w:p w14:paraId="419C0853" w14:textId="77777777" w:rsidR="00F03E71" w:rsidRPr="00DB5BDD" w:rsidRDefault="00F03E71" w:rsidP="00F03E71">
      <w:pPr>
        <w:shd w:val="clear" w:color="auto" w:fill="FFFFFF"/>
        <w:ind w:left="425"/>
        <w:jc w:val="both"/>
        <w:rPr>
          <w:rFonts w:ascii="Poppins" w:hAnsi="Poppins" w:cs="Poppins"/>
          <w:sz w:val="18"/>
          <w:szCs w:val="18"/>
        </w:rPr>
      </w:pPr>
      <w:r w:rsidRPr="00DB5BDD">
        <w:rPr>
          <w:rFonts w:ascii="Poppins" w:hAnsi="Poppins" w:cs="Poppins"/>
          <w:sz w:val="18"/>
          <w:szCs w:val="18"/>
        </w:rPr>
        <w:t>En balance, la desaceleración de la demanda global no logró revertir la presión alcista provocada por Ormuz y los riesgos de oferta, pero sí limitó el avance del crudo. El mercado empezó a descontar que precios demasiado altos podían destruir demanda, especialmente en China e India, mientras la menor disponibilidad regional de refinados evitó una corrección más profunda en combustibles.</w:t>
      </w:r>
    </w:p>
    <w:p w14:paraId="19F829D4" w14:textId="77777777" w:rsidR="00F03E71" w:rsidRDefault="00F03E71" w:rsidP="00F03E71">
      <w:pPr>
        <w:shd w:val="clear" w:color="auto" w:fill="FFFFFF"/>
        <w:ind w:left="425"/>
        <w:jc w:val="both"/>
        <w:rPr>
          <w:rFonts w:ascii="Poppins" w:hAnsi="Poppins" w:cs="Poppins"/>
          <w:sz w:val="18"/>
          <w:szCs w:val="18"/>
          <w:highlight w:val="yellow"/>
        </w:rPr>
      </w:pPr>
    </w:p>
    <w:p w14:paraId="60695D0A" w14:textId="77777777" w:rsidR="00F03E71" w:rsidRPr="000E14FF" w:rsidRDefault="00F03E71" w:rsidP="00F03E71">
      <w:pPr>
        <w:pStyle w:val="Prrafodelista"/>
        <w:numPr>
          <w:ilvl w:val="0"/>
          <w:numId w:val="30"/>
        </w:numPr>
        <w:ind w:left="425"/>
        <w:contextualSpacing/>
        <w:jc w:val="both"/>
        <w:rPr>
          <w:rFonts w:ascii="Poppins" w:hAnsi="Poppins" w:cs="Poppins"/>
          <w:b/>
          <w:sz w:val="18"/>
          <w:szCs w:val="18"/>
        </w:rPr>
      </w:pPr>
      <w:r w:rsidRPr="000E14FF">
        <w:rPr>
          <w:rFonts w:ascii="Poppins" w:hAnsi="Poppins" w:cs="Poppins"/>
          <w:b/>
          <w:sz w:val="18"/>
          <w:szCs w:val="18"/>
        </w:rPr>
        <w:t>Ucrania intensifica ataques a infraestructura petrolera rusa y mantiene elevada la prima de riesgo energético</w:t>
      </w:r>
    </w:p>
    <w:p w14:paraId="45233D39" w14:textId="77777777" w:rsidR="00F03E71" w:rsidRPr="000E14FF" w:rsidRDefault="00F03E71" w:rsidP="00F03E71">
      <w:pPr>
        <w:shd w:val="clear" w:color="auto" w:fill="FFFFFF"/>
        <w:ind w:left="425"/>
        <w:jc w:val="both"/>
        <w:rPr>
          <w:rFonts w:ascii="Poppins" w:hAnsi="Poppins" w:cs="Poppins"/>
          <w:sz w:val="18"/>
          <w:szCs w:val="18"/>
        </w:rPr>
      </w:pPr>
    </w:p>
    <w:p w14:paraId="73F07F75" w14:textId="77777777" w:rsidR="00F03E71" w:rsidRPr="000F62E7" w:rsidRDefault="00F03E71" w:rsidP="00F03E71">
      <w:pPr>
        <w:shd w:val="clear" w:color="auto" w:fill="FFFFFF"/>
        <w:ind w:left="425"/>
        <w:jc w:val="both"/>
        <w:rPr>
          <w:rFonts w:ascii="Poppins" w:hAnsi="Poppins" w:cs="Poppins"/>
          <w:sz w:val="18"/>
          <w:szCs w:val="18"/>
        </w:rPr>
      </w:pPr>
      <w:r w:rsidRPr="000E14FF">
        <w:rPr>
          <w:rFonts w:ascii="Poppins" w:hAnsi="Poppins" w:cs="Poppins"/>
          <w:sz w:val="18"/>
          <w:szCs w:val="18"/>
        </w:rPr>
        <w:t xml:space="preserve">Durante enero–mayo de 2026, Ucrania duplicó sus ataques contra refinerías rusas frente al mismo periodo de 2025. Reuters reportó el 15 de mayo que los drones ucranianos dejaron fuera de servicio alrededor de 700 mil bpd de capacidad de refinación en 16 refinerías, frente a ocho refinerías afectadas en igual periodo del año anterior. Solo en marzo, la capacidad </w:t>
      </w:r>
      <w:r w:rsidRPr="000E14FF">
        <w:rPr>
          <w:rFonts w:ascii="Poppins" w:hAnsi="Poppins" w:cs="Poppins"/>
          <w:sz w:val="18"/>
          <w:szCs w:val="18"/>
        </w:rPr>
        <w:lastRenderedPageBreak/>
        <w:t xml:space="preserve">golpeada se acercó a 1 millón de bpd y volvió a superar ese nivel en abril, afectando instalaciones como </w:t>
      </w:r>
      <w:proofErr w:type="spellStart"/>
      <w:r w:rsidRPr="000E14FF">
        <w:rPr>
          <w:rFonts w:ascii="Poppins" w:hAnsi="Poppins" w:cs="Poppins"/>
          <w:sz w:val="18"/>
          <w:szCs w:val="18"/>
        </w:rPr>
        <w:t>Kirishi</w:t>
      </w:r>
      <w:proofErr w:type="spellEnd"/>
      <w:r w:rsidRPr="000E14FF">
        <w:rPr>
          <w:rFonts w:ascii="Poppins" w:hAnsi="Poppins" w:cs="Poppins"/>
          <w:sz w:val="18"/>
          <w:szCs w:val="18"/>
        </w:rPr>
        <w:t xml:space="preserve">, NORSI, </w:t>
      </w:r>
      <w:proofErr w:type="spellStart"/>
      <w:r w:rsidRPr="000E14FF">
        <w:rPr>
          <w:rFonts w:ascii="Poppins" w:hAnsi="Poppins" w:cs="Poppins"/>
          <w:sz w:val="18"/>
          <w:szCs w:val="18"/>
        </w:rPr>
        <w:t>Tuapse</w:t>
      </w:r>
      <w:proofErr w:type="spellEnd"/>
      <w:r w:rsidRPr="000E14FF">
        <w:rPr>
          <w:rFonts w:ascii="Poppins" w:hAnsi="Poppins" w:cs="Poppins"/>
          <w:sz w:val="18"/>
          <w:szCs w:val="18"/>
        </w:rPr>
        <w:t xml:space="preserve">, Perm, </w:t>
      </w:r>
      <w:proofErr w:type="spellStart"/>
      <w:r w:rsidRPr="000E14FF">
        <w:rPr>
          <w:rFonts w:ascii="Poppins" w:hAnsi="Poppins" w:cs="Poppins"/>
          <w:sz w:val="18"/>
          <w:szCs w:val="18"/>
        </w:rPr>
        <w:t>Syzran</w:t>
      </w:r>
      <w:proofErr w:type="spellEnd"/>
      <w:r w:rsidRPr="000E14FF">
        <w:rPr>
          <w:rFonts w:ascii="Poppins" w:hAnsi="Poppins" w:cs="Poppins"/>
          <w:sz w:val="18"/>
          <w:szCs w:val="18"/>
        </w:rPr>
        <w:t xml:space="preserve"> y </w:t>
      </w:r>
      <w:proofErr w:type="spellStart"/>
      <w:r w:rsidRPr="000E14FF">
        <w:rPr>
          <w:rFonts w:ascii="Poppins" w:hAnsi="Poppins" w:cs="Poppins"/>
          <w:sz w:val="18"/>
          <w:szCs w:val="18"/>
        </w:rPr>
        <w:t>Novokuibyshevsk</w:t>
      </w:r>
      <w:proofErr w:type="spellEnd"/>
      <w:r w:rsidRPr="000E14FF">
        <w:rPr>
          <w:rFonts w:ascii="Poppins" w:hAnsi="Poppins" w:cs="Poppins"/>
          <w:sz w:val="18"/>
          <w:szCs w:val="18"/>
        </w:rPr>
        <w:t>.</w:t>
      </w:r>
    </w:p>
    <w:p w14:paraId="6C569DD8" w14:textId="77777777" w:rsidR="00F03E71" w:rsidRPr="000F62E7" w:rsidRDefault="00F03E71" w:rsidP="00F03E71">
      <w:pPr>
        <w:shd w:val="clear" w:color="auto" w:fill="FFFFFF"/>
        <w:ind w:left="425"/>
        <w:jc w:val="both"/>
        <w:rPr>
          <w:rFonts w:ascii="Poppins" w:hAnsi="Poppins" w:cs="Poppins"/>
          <w:sz w:val="18"/>
          <w:szCs w:val="18"/>
        </w:rPr>
      </w:pPr>
    </w:p>
    <w:p w14:paraId="51F24880" w14:textId="77777777" w:rsidR="00F03E71" w:rsidRDefault="00F03E71" w:rsidP="00F03E71">
      <w:pPr>
        <w:shd w:val="clear" w:color="auto" w:fill="FFFFFF"/>
        <w:ind w:left="425"/>
        <w:jc w:val="both"/>
        <w:rPr>
          <w:rFonts w:ascii="Poppins" w:hAnsi="Poppins" w:cs="Poppins"/>
          <w:sz w:val="18"/>
          <w:szCs w:val="18"/>
        </w:rPr>
      </w:pPr>
      <w:r w:rsidRPr="000F62E7">
        <w:rPr>
          <w:rFonts w:ascii="Poppins" w:hAnsi="Poppins" w:cs="Poppins"/>
          <w:sz w:val="18"/>
          <w:szCs w:val="18"/>
        </w:rPr>
        <w:t>En la</w:t>
      </w:r>
      <w:r>
        <w:rPr>
          <w:rFonts w:ascii="Poppins" w:hAnsi="Poppins" w:cs="Poppins"/>
          <w:sz w:val="18"/>
          <w:szCs w:val="18"/>
        </w:rPr>
        <w:t xml:space="preserve"> última </w:t>
      </w:r>
      <w:r w:rsidRPr="000F62E7">
        <w:rPr>
          <w:rFonts w:ascii="Poppins" w:hAnsi="Poppins" w:cs="Poppins"/>
          <w:sz w:val="18"/>
          <w:szCs w:val="18"/>
        </w:rPr>
        <w:t xml:space="preserve">semana, la presión se concentró en el centro de Rusia. El 19 de mayo, Reuters señaló que los ataques ucranianos de medio alcance seguían afectando puertos, refinerías y nodos logísticos rusos. El 20 de mayo, informó que varias refinerías del centro de Rusia habían detenido o reducido producción tras nuevos ataques. </w:t>
      </w:r>
      <w:r w:rsidRPr="000E14FF">
        <w:rPr>
          <w:rFonts w:ascii="Poppins" w:hAnsi="Poppins" w:cs="Poppins"/>
          <w:sz w:val="18"/>
          <w:szCs w:val="18"/>
        </w:rPr>
        <w:t xml:space="preserve">El 21 de mayo, Ucrania golpeó la refinería de </w:t>
      </w:r>
      <w:proofErr w:type="spellStart"/>
      <w:r w:rsidRPr="000E14FF">
        <w:rPr>
          <w:rFonts w:ascii="Poppins" w:hAnsi="Poppins" w:cs="Poppins"/>
          <w:sz w:val="18"/>
          <w:szCs w:val="18"/>
        </w:rPr>
        <w:t>Syzran</w:t>
      </w:r>
      <w:proofErr w:type="spellEnd"/>
      <w:r w:rsidRPr="000E14FF">
        <w:rPr>
          <w:rFonts w:ascii="Poppins" w:hAnsi="Poppins" w:cs="Poppins"/>
          <w:sz w:val="18"/>
          <w:szCs w:val="18"/>
        </w:rPr>
        <w:t>, de aproximadamente 170</w:t>
      </w:r>
      <w:r>
        <w:rPr>
          <w:rFonts w:ascii="Poppins" w:hAnsi="Poppins" w:cs="Poppins"/>
          <w:sz w:val="18"/>
          <w:szCs w:val="18"/>
        </w:rPr>
        <w:t xml:space="preserve"> mil</w:t>
      </w:r>
      <w:r w:rsidRPr="000E14FF">
        <w:rPr>
          <w:rFonts w:ascii="Poppins" w:hAnsi="Poppins" w:cs="Poppins"/>
          <w:sz w:val="18"/>
          <w:szCs w:val="18"/>
        </w:rPr>
        <w:t xml:space="preserve"> bpd de capacidad, y el 25 de mayo Reuters reportó que seguía detenida tras daños en una unidad primaria. Además, el 22 de mayo, </w:t>
      </w:r>
      <w:proofErr w:type="spellStart"/>
      <w:r w:rsidRPr="000E14FF">
        <w:rPr>
          <w:rFonts w:ascii="Poppins" w:hAnsi="Poppins" w:cs="Poppins"/>
          <w:sz w:val="18"/>
          <w:szCs w:val="18"/>
        </w:rPr>
        <w:t>Zelenskiy</w:t>
      </w:r>
      <w:proofErr w:type="spellEnd"/>
      <w:r w:rsidRPr="000E14FF">
        <w:rPr>
          <w:rFonts w:ascii="Poppins" w:hAnsi="Poppins" w:cs="Poppins"/>
          <w:sz w:val="18"/>
          <w:szCs w:val="18"/>
        </w:rPr>
        <w:t xml:space="preserve"> confirmó un ataque contra la refinería de Yaroslavl, ubicada a unos 700 km de Ucrania.</w:t>
      </w:r>
    </w:p>
    <w:p w14:paraId="087481A9" w14:textId="77777777" w:rsidR="00D629D1" w:rsidRPr="00AE20B0" w:rsidRDefault="00D629D1" w:rsidP="00D629D1">
      <w:pPr>
        <w:shd w:val="clear" w:color="auto" w:fill="FFFFFF"/>
        <w:ind w:left="425"/>
        <w:jc w:val="both"/>
        <w:rPr>
          <w:rFonts w:ascii="Poppins" w:hAnsi="Poppins" w:cs="Poppins"/>
          <w:sz w:val="18"/>
          <w:szCs w:val="18"/>
        </w:rPr>
      </w:pPr>
    </w:p>
    <w:p w14:paraId="671EF8D2" w14:textId="77777777" w:rsidR="004950F7" w:rsidRDefault="004950F7"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858E0F5"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12</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916CE3">
        <w:rPr>
          <w:rFonts w:ascii="Poppins" w:hAnsi="Poppins" w:cs="Poppins"/>
          <w:sz w:val="18"/>
          <w:szCs w:val="18"/>
        </w:rPr>
        <w:t>01</w:t>
      </w:r>
      <w:r w:rsidR="004748A9" w:rsidRPr="00581B20">
        <w:rPr>
          <w:rFonts w:ascii="Poppins" w:hAnsi="Poppins" w:cs="Poppins"/>
          <w:sz w:val="18"/>
          <w:szCs w:val="18"/>
        </w:rPr>
        <w:t xml:space="preserve"> de </w:t>
      </w:r>
      <w:r w:rsidR="00916CE3">
        <w:rPr>
          <w:rFonts w:ascii="Poppins" w:hAnsi="Poppins" w:cs="Poppins"/>
          <w:sz w:val="18"/>
          <w:szCs w:val="18"/>
        </w:rPr>
        <w:t>mayo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25</w:t>
      </w:r>
      <w:r w:rsidR="004748A9" w:rsidRPr="00581B20">
        <w:rPr>
          <w:rFonts w:ascii="Poppins" w:hAnsi="Poppins" w:cs="Poppins"/>
          <w:sz w:val="18"/>
          <w:szCs w:val="18"/>
        </w:rPr>
        <w:t xml:space="preserve"> de </w:t>
      </w:r>
      <w:r w:rsidR="000951EC">
        <w:rPr>
          <w:rFonts w:ascii="Poppins" w:hAnsi="Poppins" w:cs="Poppins"/>
          <w:sz w:val="18"/>
          <w:szCs w:val="18"/>
        </w:rPr>
        <w:t>junio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0F9168B4"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951EC">
        <w:rPr>
          <w:rFonts w:ascii="Poppins" w:hAnsi="Poppins" w:cs="Poppins"/>
          <w:sz w:val="18"/>
          <w:szCs w:val="18"/>
        </w:rPr>
        <w:t>12</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0951EC">
        <w:rPr>
          <w:rFonts w:ascii="Poppins" w:hAnsi="Poppins" w:cs="Poppins"/>
          <w:sz w:val="18"/>
          <w:szCs w:val="18"/>
        </w:rPr>
        <w:t>01</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w:t>
      </w:r>
      <w:r w:rsidR="000951EC">
        <w:rPr>
          <w:rFonts w:ascii="Poppins" w:hAnsi="Poppins" w:cs="Poppins"/>
          <w:sz w:val="18"/>
          <w:szCs w:val="18"/>
        </w:rPr>
        <w:t>y</w:t>
      </w:r>
      <w:r w:rsidR="00AA7D7A">
        <w:rPr>
          <w:rFonts w:ascii="Poppins" w:hAnsi="Poppins" w:cs="Poppins"/>
          <w:sz w:val="18"/>
          <w:szCs w:val="18"/>
        </w:rPr>
        <w:t>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0951EC">
        <w:rPr>
          <w:rFonts w:ascii="Poppins" w:hAnsi="Poppins" w:cs="Poppins"/>
          <w:sz w:val="18"/>
          <w:szCs w:val="18"/>
        </w:rPr>
        <w:t>28</w:t>
      </w:r>
      <w:r w:rsidRPr="00581B20">
        <w:rPr>
          <w:rFonts w:ascii="Poppins" w:hAnsi="Poppins" w:cs="Poppins"/>
          <w:sz w:val="18"/>
          <w:szCs w:val="18"/>
        </w:rPr>
        <w:t xml:space="preserve"> de </w:t>
      </w:r>
      <w:r w:rsidR="000951EC">
        <w:rPr>
          <w:rFonts w:ascii="Poppins" w:hAnsi="Poppins" w:cs="Poppins"/>
          <w:sz w:val="18"/>
          <w:szCs w:val="18"/>
        </w:rPr>
        <w:t>mayo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2FA3BF0E"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E83F4B">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E83F4B">
        <w:rPr>
          <w:rFonts w:ascii="Poppins" w:hAnsi="Poppins" w:cs="Poppins"/>
          <w:sz w:val="18"/>
          <w:szCs w:val="18"/>
        </w:rPr>
        <w:t>1</w:t>
      </w:r>
      <w:r w:rsidR="001A4A01">
        <w:rPr>
          <w:rFonts w:ascii="Poppins" w:hAnsi="Poppins" w:cs="Poppins"/>
          <w:sz w:val="18"/>
          <w:szCs w:val="18"/>
        </w:rPr>
        <w:t>2</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C4646B">
        <w:rPr>
          <w:rFonts w:ascii="Poppins" w:hAnsi="Poppins" w:cs="Poppins"/>
          <w:sz w:val="18"/>
          <w:szCs w:val="18"/>
        </w:rPr>
        <w:t>2</w:t>
      </w:r>
      <w:r w:rsidR="001A4A01">
        <w:rPr>
          <w:rFonts w:ascii="Poppins" w:hAnsi="Poppins" w:cs="Poppins"/>
          <w:sz w:val="18"/>
          <w:szCs w:val="18"/>
        </w:rPr>
        <w:t>6</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E83F4B">
        <w:rPr>
          <w:rFonts w:ascii="Poppins" w:hAnsi="Poppins" w:cs="Poppins"/>
          <w:sz w:val="18"/>
          <w:szCs w:val="18"/>
        </w:rPr>
        <w:t>mayo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1A4A01">
        <w:rPr>
          <w:rFonts w:ascii="Poppins" w:hAnsi="Poppins" w:cs="Poppins"/>
          <w:sz w:val="18"/>
          <w:szCs w:val="18"/>
        </w:rPr>
        <w:t>jueves 2</w:t>
      </w:r>
      <w:r w:rsidR="00C4646B">
        <w:rPr>
          <w:rFonts w:ascii="Poppins" w:hAnsi="Poppins" w:cs="Poppins"/>
          <w:sz w:val="18"/>
          <w:szCs w:val="18"/>
        </w:rPr>
        <w:t>8</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E83F4B">
        <w:rPr>
          <w:rFonts w:ascii="Poppins" w:hAnsi="Poppins" w:cs="Poppins"/>
          <w:sz w:val="18"/>
          <w:szCs w:val="18"/>
        </w:rPr>
        <w:t>mayo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7814CE50" w:rsidR="00E804F9" w:rsidRPr="000869FB"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1A4A01">
        <w:rPr>
          <w:rFonts w:ascii="Poppins" w:hAnsi="Poppins" w:cs="Poppins"/>
          <w:sz w:val="18"/>
          <w:szCs w:val="18"/>
        </w:rPr>
        <w:t>26</w:t>
      </w:r>
      <w:r w:rsidRPr="00A01E92">
        <w:rPr>
          <w:rFonts w:ascii="Poppins" w:hAnsi="Poppins" w:cs="Poppins"/>
          <w:sz w:val="18"/>
          <w:szCs w:val="18"/>
        </w:rPr>
        <w:t>.</w:t>
      </w:r>
      <w:r w:rsidR="005151B0">
        <w:rPr>
          <w:rFonts w:ascii="Poppins" w:hAnsi="Poppins" w:cs="Poppins"/>
          <w:sz w:val="18"/>
          <w:szCs w:val="18"/>
        </w:rPr>
        <w:t>0</w:t>
      </w:r>
      <w:r w:rsidR="00E83F4B">
        <w:rPr>
          <w:rFonts w:ascii="Poppins" w:hAnsi="Poppins" w:cs="Poppins"/>
          <w:sz w:val="18"/>
          <w:szCs w:val="18"/>
        </w:rPr>
        <w:t>5</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E56210">
        <w:rPr>
          <w:rFonts w:ascii="Poppins" w:hAnsi="Poppins" w:cs="Poppins"/>
          <w:sz w:val="18"/>
          <w:szCs w:val="18"/>
        </w:rPr>
        <w:t>-0</w:t>
      </w:r>
      <w:r w:rsidR="00460518">
        <w:rPr>
          <w:rFonts w:ascii="Poppins" w:hAnsi="Poppins" w:cs="Poppins"/>
          <w:sz w:val="18"/>
          <w:szCs w:val="18"/>
        </w:rPr>
        <w:t>,</w:t>
      </w:r>
      <w:r w:rsidR="000869FB">
        <w:rPr>
          <w:rFonts w:ascii="Poppins" w:hAnsi="Poppins" w:cs="Poppins"/>
          <w:sz w:val="18"/>
          <w:szCs w:val="18"/>
        </w:rPr>
        <w:t>95</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EC66DE">
        <w:rPr>
          <w:rFonts w:ascii="Poppins" w:hAnsi="Poppins" w:cs="Poppins"/>
          <w:sz w:val="18"/>
          <w:szCs w:val="18"/>
        </w:rPr>
        <w:t>-</w:t>
      </w:r>
      <w:r w:rsidR="00E56210">
        <w:rPr>
          <w:rFonts w:ascii="Poppins" w:hAnsi="Poppins" w:cs="Poppins"/>
          <w:sz w:val="18"/>
          <w:szCs w:val="18"/>
        </w:rPr>
        <w:t>0</w:t>
      </w:r>
      <w:r w:rsidR="00465772" w:rsidRPr="00A01E92">
        <w:rPr>
          <w:rFonts w:ascii="Poppins" w:hAnsi="Poppins" w:cs="Poppins"/>
          <w:sz w:val="18"/>
          <w:szCs w:val="18"/>
        </w:rPr>
        <w:t>,</w:t>
      </w:r>
      <w:r w:rsidR="000869FB">
        <w:rPr>
          <w:rFonts w:ascii="Poppins" w:hAnsi="Poppins" w:cs="Poppins"/>
          <w:sz w:val="18"/>
          <w:szCs w:val="18"/>
        </w:rPr>
        <w:t>95</w:t>
      </w:r>
      <w:r w:rsidR="00640D73">
        <w:rPr>
          <w:rFonts w:ascii="Poppins" w:hAnsi="Poppins" w:cs="Poppins"/>
          <w:sz w:val="18"/>
          <w:szCs w:val="18"/>
        </w:rPr>
        <w:t xml:space="preserve"> </w:t>
      </w:r>
      <w:r w:rsidR="00465772" w:rsidRPr="00A01E92">
        <w:rPr>
          <w:rFonts w:ascii="Poppins" w:hAnsi="Poppins" w:cs="Poppins"/>
          <w:sz w:val="18"/>
          <w:szCs w:val="18"/>
        </w:rPr>
        <w:t>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proofErr w:type="spellStart"/>
      <w:r w:rsidR="00845353" w:rsidRPr="00A01E92">
        <w:rPr>
          <w:rFonts w:ascii="Poppins" w:hAnsi="Poppins" w:cs="Poppins"/>
          <w:sz w:val="18"/>
          <w:szCs w:val="18"/>
        </w:rPr>
        <w:t>Gasohol</w:t>
      </w:r>
      <w:proofErr w:type="spellEnd"/>
      <w:r w:rsidR="00845353" w:rsidRPr="00A01E92">
        <w:rPr>
          <w:rFonts w:ascii="Poppins" w:hAnsi="Poppins" w:cs="Poppins"/>
          <w:sz w:val="18"/>
          <w:szCs w:val="18"/>
        </w:rPr>
        <w:t xml:space="preserve"> </w:t>
      </w:r>
      <w:r w:rsidR="00845353">
        <w:rPr>
          <w:rFonts w:ascii="Poppins" w:hAnsi="Poppins" w:cs="Poppins"/>
          <w:sz w:val="18"/>
          <w:szCs w:val="18"/>
        </w:rPr>
        <w:t>Premium</w:t>
      </w:r>
      <w:r w:rsidR="00845353" w:rsidRPr="00A01E92">
        <w:rPr>
          <w:rFonts w:ascii="Poppins" w:hAnsi="Poppins" w:cs="Poppins"/>
          <w:sz w:val="18"/>
          <w:szCs w:val="18"/>
        </w:rPr>
        <w:t xml:space="preserve"> (</w:t>
      </w:r>
      <w:r w:rsidR="00E56210">
        <w:rPr>
          <w:rFonts w:ascii="Poppins" w:hAnsi="Poppins" w:cs="Poppins"/>
          <w:sz w:val="18"/>
          <w:szCs w:val="18"/>
        </w:rPr>
        <w:t>-0</w:t>
      </w:r>
      <w:r w:rsidR="00845353" w:rsidRPr="00A01E92">
        <w:rPr>
          <w:rFonts w:ascii="Poppins" w:hAnsi="Poppins" w:cs="Poppins"/>
          <w:sz w:val="18"/>
          <w:szCs w:val="18"/>
        </w:rPr>
        <w:t>,</w:t>
      </w:r>
      <w:r w:rsidR="000869FB">
        <w:rPr>
          <w:rFonts w:ascii="Poppins" w:hAnsi="Poppins" w:cs="Poppins"/>
          <w:sz w:val="18"/>
          <w:szCs w:val="18"/>
        </w:rPr>
        <w:t>95</w:t>
      </w:r>
      <w:r w:rsidR="00845353" w:rsidRPr="00A01E92">
        <w:rPr>
          <w:rFonts w:ascii="Poppins" w:hAnsi="Poppins" w:cs="Poppins"/>
          <w:sz w:val="18"/>
          <w:szCs w:val="18"/>
        </w:rPr>
        <w:t xml:space="preserve"> S/</w:t>
      </w:r>
      <w:proofErr w:type="spellStart"/>
      <w:r w:rsidR="00845353" w:rsidRPr="00A01E92">
        <w:rPr>
          <w:rFonts w:ascii="Poppins" w:hAnsi="Poppins" w:cs="Poppins"/>
          <w:sz w:val="18"/>
          <w:szCs w:val="18"/>
        </w:rPr>
        <w:t>Gln</w:t>
      </w:r>
      <w:proofErr w:type="spellEnd"/>
      <w:r w:rsidR="00845353" w:rsidRPr="00A01E92">
        <w:rPr>
          <w:rFonts w:ascii="Poppins" w:hAnsi="Poppins" w:cs="Poppins"/>
          <w:sz w:val="18"/>
          <w:szCs w:val="18"/>
        </w:rPr>
        <w:t>)</w:t>
      </w:r>
      <w:r w:rsidR="00845353">
        <w:rPr>
          <w:rFonts w:ascii="Poppins" w:hAnsi="Poppins" w:cs="Poppins"/>
          <w:sz w:val="18"/>
          <w:szCs w:val="18"/>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EC66DE">
        <w:rPr>
          <w:rFonts w:ascii="Poppins" w:hAnsi="Poppins" w:cs="Poppins"/>
          <w:sz w:val="18"/>
          <w:szCs w:val="18"/>
        </w:rPr>
        <w:t>-</w:t>
      </w:r>
      <w:r w:rsidR="00E56210">
        <w:rPr>
          <w:rFonts w:ascii="Poppins" w:hAnsi="Poppins" w:cs="Poppins"/>
          <w:sz w:val="18"/>
          <w:szCs w:val="18"/>
        </w:rPr>
        <w:t>0</w:t>
      </w:r>
      <w:r w:rsidR="00626502">
        <w:rPr>
          <w:rFonts w:ascii="Poppins" w:hAnsi="Poppins" w:cs="Poppins"/>
          <w:sz w:val="18"/>
          <w:szCs w:val="18"/>
        </w:rPr>
        <w:t>,</w:t>
      </w:r>
      <w:r w:rsidR="000869FB">
        <w:rPr>
          <w:rFonts w:ascii="Poppins" w:hAnsi="Poppins" w:cs="Poppins"/>
          <w:sz w:val="18"/>
          <w:szCs w:val="18"/>
        </w:rPr>
        <w:t>84</w:t>
      </w:r>
      <w:r w:rsidR="00626502">
        <w:rPr>
          <w:rFonts w:ascii="Poppins" w:hAnsi="Poppins" w:cs="Poppins"/>
          <w:sz w:val="18"/>
          <w:szCs w:val="18"/>
        </w:rPr>
        <w:t> </w:t>
      </w:r>
      <w:r w:rsidR="00A01E92" w:rsidRPr="00A01E92">
        <w:rPr>
          <w:rFonts w:ascii="Poppins" w:hAnsi="Poppins" w:cs="Poppins"/>
          <w:sz w:val="18"/>
          <w:szCs w:val="18"/>
        </w:rPr>
        <w:t>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EC66DE">
        <w:rPr>
          <w:rFonts w:ascii="Poppins" w:hAnsi="Poppins" w:cs="Poppins"/>
          <w:sz w:val="18"/>
          <w:szCs w:val="18"/>
        </w:rPr>
        <w:t>-</w:t>
      </w:r>
      <w:r w:rsidR="000869FB">
        <w:rPr>
          <w:rFonts w:ascii="Poppins" w:hAnsi="Poppins" w:cs="Poppins"/>
          <w:sz w:val="18"/>
          <w:szCs w:val="18"/>
        </w:rPr>
        <w:t>1</w:t>
      </w:r>
      <w:r w:rsidR="00B66A52" w:rsidRPr="00A01E92">
        <w:rPr>
          <w:rFonts w:ascii="Poppins" w:hAnsi="Poppins" w:cs="Poppins"/>
          <w:sz w:val="18"/>
          <w:szCs w:val="18"/>
        </w:rPr>
        <w:t>,</w:t>
      </w:r>
      <w:r w:rsidR="000869FB">
        <w:rPr>
          <w:rFonts w:ascii="Poppins" w:hAnsi="Poppins" w:cs="Poppins"/>
          <w:sz w:val="18"/>
          <w:szCs w:val="18"/>
        </w:rPr>
        <w:t>42</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0869FB">
        <w:rPr>
          <w:rFonts w:ascii="Poppins" w:hAnsi="Poppins" w:cs="Poppins"/>
          <w:sz w:val="18"/>
          <w:szCs w:val="18"/>
        </w:rPr>
        <w:t xml:space="preserve"> y </w:t>
      </w:r>
      <w:r w:rsidR="00B66A52">
        <w:rPr>
          <w:rFonts w:ascii="Poppins" w:hAnsi="Poppins" w:cs="Poppins"/>
          <w:sz w:val="18"/>
          <w:szCs w:val="18"/>
          <w:lang w:val="es-PE"/>
        </w:rPr>
        <w:t>Diesel B5 S-50</w:t>
      </w:r>
      <w:r w:rsidR="00B66A52" w:rsidRPr="00A01E92">
        <w:rPr>
          <w:rFonts w:ascii="Poppins" w:hAnsi="Poppins" w:cs="Poppins"/>
          <w:sz w:val="18"/>
          <w:szCs w:val="18"/>
        </w:rPr>
        <w:t xml:space="preserve"> (</w:t>
      </w:r>
      <w:r w:rsidR="00EC66DE">
        <w:rPr>
          <w:rFonts w:ascii="Poppins" w:hAnsi="Poppins" w:cs="Poppins"/>
          <w:sz w:val="18"/>
          <w:szCs w:val="18"/>
        </w:rPr>
        <w:t>-</w:t>
      </w:r>
      <w:r w:rsidR="000869FB">
        <w:rPr>
          <w:rFonts w:ascii="Poppins" w:hAnsi="Poppins" w:cs="Poppins"/>
          <w:sz w:val="18"/>
          <w:szCs w:val="18"/>
        </w:rPr>
        <w:t>1</w:t>
      </w:r>
      <w:r w:rsidR="00B66A52" w:rsidRPr="00A01E92">
        <w:rPr>
          <w:rFonts w:ascii="Poppins" w:hAnsi="Poppins" w:cs="Poppins"/>
          <w:sz w:val="18"/>
          <w:szCs w:val="18"/>
        </w:rPr>
        <w:t>,</w:t>
      </w:r>
      <w:r w:rsidR="000869FB">
        <w:rPr>
          <w:rFonts w:ascii="Poppins" w:hAnsi="Poppins" w:cs="Poppins"/>
          <w:sz w:val="18"/>
          <w:szCs w:val="18"/>
        </w:rPr>
        <w:t>42</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655A5E">
        <w:rPr>
          <w:rFonts w:ascii="Poppins" w:hAnsi="Poppins" w:cs="Poppins"/>
          <w:sz w:val="18"/>
          <w:szCs w:val="18"/>
        </w:rPr>
        <w:t>)</w:t>
      </w:r>
      <w:r w:rsidR="0061555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2F194911" w14:textId="77777777" w:rsidR="000869FB" w:rsidRDefault="000869FB" w:rsidP="000869FB">
      <w:pPr>
        <w:pStyle w:val="Prrafodelista"/>
        <w:rPr>
          <w:rFonts w:ascii="Poppins" w:hAnsi="Poppins" w:cs="Poppins"/>
          <w:sz w:val="18"/>
          <w:szCs w:val="18"/>
        </w:rPr>
      </w:pPr>
    </w:p>
    <w:p w14:paraId="5901A4BA" w14:textId="77777777" w:rsidR="000869FB" w:rsidRPr="00A01E92" w:rsidRDefault="000869FB" w:rsidP="000869FB">
      <w:pPr>
        <w:pStyle w:val="Sangradetextonormal"/>
        <w:ind w:left="568" w:firstLine="0"/>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6846038B" w14:textId="77777777" w:rsidR="00D629D1" w:rsidRDefault="00D629D1" w:rsidP="00313709">
      <w:pPr>
        <w:jc w:val="both"/>
        <w:rPr>
          <w:rFonts w:ascii="Poppins" w:hAnsi="Poppins" w:cs="Poppins"/>
          <w:sz w:val="18"/>
          <w:szCs w:val="18"/>
        </w:rPr>
      </w:pPr>
    </w:p>
    <w:p w14:paraId="46D7122F" w14:textId="77777777" w:rsidR="00D629D1" w:rsidRDefault="00D629D1" w:rsidP="00313709">
      <w:pPr>
        <w:jc w:val="both"/>
        <w:rPr>
          <w:rFonts w:ascii="Poppins" w:hAnsi="Poppins" w:cs="Poppins"/>
          <w:sz w:val="18"/>
          <w:szCs w:val="18"/>
        </w:rPr>
      </w:pPr>
    </w:p>
    <w:p w14:paraId="3A859763" w14:textId="77777777" w:rsidR="00D629D1" w:rsidRDefault="00D629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6AD1200E"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1A4A01">
        <w:rPr>
          <w:rFonts w:ascii="Poppins" w:hAnsi="Poppins" w:cs="Poppins"/>
          <w:sz w:val="18"/>
          <w:szCs w:val="18"/>
        </w:rPr>
        <w:t>11</w:t>
      </w:r>
      <w:r w:rsidR="00E7305B">
        <w:rPr>
          <w:rFonts w:ascii="Poppins" w:hAnsi="Poppins" w:cs="Poppins"/>
          <w:sz w:val="18"/>
          <w:szCs w:val="18"/>
        </w:rPr>
        <w:t>/</w:t>
      </w:r>
      <w:r w:rsidR="006B489A">
        <w:rPr>
          <w:rFonts w:ascii="Poppins" w:hAnsi="Poppins" w:cs="Poppins"/>
          <w:sz w:val="18"/>
          <w:szCs w:val="18"/>
        </w:rPr>
        <w:t>0</w:t>
      </w:r>
      <w:r w:rsidR="00172E74">
        <w:rPr>
          <w:rFonts w:ascii="Poppins" w:hAnsi="Poppins" w:cs="Poppins"/>
          <w:sz w:val="18"/>
          <w:szCs w:val="18"/>
        </w:rPr>
        <w:t>5</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1A4A01">
        <w:rPr>
          <w:rFonts w:ascii="Poppins" w:hAnsi="Poppins" w:cs="Poppins"/>
          <w:sz w:val="18"/>
          <w:szCs w:val="18"/>
        </w:rPr>
        <w:t>22</w:t>
      </w:r>
      <w:r w:rsidR="00336251" w:rsidRPr="0096213B">
        <w:rPr>
          <w:rFonts w:ascii="Poppins" w:hAnsi="Poppins" w:cs="Poppins"/>
          <w:sz w:val="18"/>
          <w:szCs w:val="18"/>
        </w:rPr>
        <w:t>/</w:t>
      </w:r>
      <w:r w:rsidR="005151B0">
        <w:rPr>
          <w:rFonts w:ascii="Poppins" w:hAnsi="Poppins" w:cs="Poppins"/>
          <w:sz w:val="18"/>
          <w:szCs w:val="18"/>
        </w:rPr>
        <w:t>0</w:t>
      </w:r>
      <w:r w:rsidR="00615559">
        <w:rPr>
          <w:rFonts w:ascii="Poppins" w:hAnsi="Poppins" w:cs="Poppins"/>
          <w:sz w:val="18"/>
          <w:szCs w:val="18"/>
        </w:rPr>
        <w:t>5</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029F04C"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1A4A01">
        <w:rPr>
          <w:rFonts w:ascii="Poppins" w:hAnsi="Poppins" w:cs="Poppins"/>
          <w:b/>
          <w:bCs/>
          <w:i/>
          <w:sz w:val="18"/>
          <w:szCs w:val="18"/>
          <w:lang w:eastAsia="es-PE"/>
        </w:rPr>
        <w:t>25</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615559">
        <w:rPr>
          <w:rFonts w:ascii="Poppins" w:hAnsi="Poppins" w:cs="Poppins"/>
          <w:b/>
          <w:bCs/>
          <w:i/>
          <w:sz w:val="18"/>
          <w:szCs w:val="18"/>
          <w:lang w:eastAsia="es-PE"/>
        </w:rPr>
        <w:t>5</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5DCBE297" w:rsidR="00A86191" w:rsidRPr="0096213B" w:rsidRDefault="001A4A01"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BD42AFB" wp14:editId="049E00C8">
            <wp:extent cx="5437948" cy="3363402"/>
            <wp:effectExtent l="0" t="0" r="0" b="8890"/>
            <wp:docPr id="146699076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76954" cy="3387527"/>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2B1F359"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3118CE">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1A4A01">
        <w:rPr>
          <w:rFonts w:ascii="Poppins" w:hAnsi="Poppins" w:cs="Poppins"/>
          <w:sz w:val="18"/>
          <w:szCs w:val="18"/>
        </w:rPr>
        <w:t>1</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1A4A01">
        <w:rPr>
          <w:rFonts w:ascii="Poppins" w:hAnsi="Poppins" w:cs="Poppins"/>
          <w:sz w:val="18"/>
          <w:szCs w:val="18"/>
        </w:rPr>
        <w:t>6</w:t>
      </w:r>
      <w:r w:rsidR="00282C40">
        <w:rPr>
          <w:rFonts w:ascii="Poppins" w:hAnsi="Poppins" w:cs="Poppins"/>
          <w:sz w:val="18"/>
          <w:szCs w:val="18"/>
        </w:rPr>
        <w:t>%</w:t>
      </w:r>
      <w:r w:rsidR="003118C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3118CE">
        <w:rPr>
          <w:rFonts w:ascii="Poppins" w:hAnsi="Poppins" w:cs="Poppins"/>
          <w:sz w:val="18"/>
          <w:szCs w:val="18"/>
        </w:rPr>
        <w:t>91</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w:t>
      </w:r>
      <w:r w:rsidRPr="0096213B">
        <w:rPr>
          <w:rFonts w:ascii="Poppins" w:hAnsi="Poppins" w:cs="Poppins"/>
          <w:sz w:val="18"/>
          <w:szCs w:val="18"/>
        </w:rPr>
        <w:lastRenderedPageBreak/>
        <w:t>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157AA59A"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1A4A01">
        <w:rPr>
          <w:rFonts w:ascii="Poppins" w:hAnsi="Poppins" w:cs="Poppins"/>
          <w:sz w:val="18"/>
          <w:szCs w:val="18"/>
        </w:rPr>
        <w:t>25</w:t>
      </w:r>
      <w:r w:rsidR="00F07057">
        <w:rPr>
          <w:rFonts w:ascii="Poppins" w:hAnsi="Poppins" w:cs="Poppins"/>
          <w:sz w:val="18"/>
          <w:szCs w:val="18"/>
        </w:rPr>
        <w:t xml:space="preserve"> </w:t>
      </w:r>
      <w:r w:rsidRPr="0096213B">
        <w:rPr>
          <w:rFonts w:ascii="Poppins" w:hAnsi="Poppins" w:cs="Poppins"/>
          <w:sz w:val="18"/>
          <w:szCs w:val="18"/>
        </w:rPr>
        <w:t xml:space="preserve">de </w:t>
      </w:r>
      <w:r w:rsidR="00E84650">
        <w:rPr>
          <w:rFonts w:ascii="Poppins" w:hAnsi="Poppins" w:cs="Poppins"/>
          <w:sz w:val="18"/>
          <w:szCs w:val="18"/>
        </w:rPr>
        <w:t>mayo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590A7FEF"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856B3C">
        <w:rPr>
          <w:rFonts w:ascii="Poppins" w:hAnsi="Poppins" w:cs="Poppins"/>
          <w:sz w:val="18"/>
          <w:szCs w:val="18"/>
        </w:rPr>
        <w:t>8</w:t>
      </w:r>
      <w:r w:rsidR="00A33C99" w:rsidRPr="0096213B">
        <w:rPr>
          <w:rFonts w:ascii="Poppins" w:hAnsi="Poppins" w:cs="Poppins"/>
          <w:sz w:val="18"/>
          <w:szCs w:val="18"/>
        </w:rPr>
        <w:t>,</w:t>
      </w:r>
      <w:r w:rsidR="00856B3C">
        <w:rPr>
          <w:rFonts w:ascii="Poppins" w:hAnsi="Poppins" w:cs="Poppins"/>
          <w:sz w:val="18"/>
          <w:szCs w:val="18"/>
        </w:rPr>
        <w:t>3</w:t>
      </w:r>
      <w:r w:rsidR="00836EF4">
        <w:rPr>
          <w:rFonts w:ascii="Poppins" w:hAnsi="Poppins" w:cs="Poppins"/>
          <w:sz w:val="18"/>
          <w:szCs w:val="18"/>
        </w:rPr>
        <w:t>4</w:t>
      </w:r>
      <w:r w:rsidR="00A33C99" w:rsidRPr="0096213B">
        <w:rPr>
          <w:rFonts w:ascii="Poppins" w:hAnsi="Poppins" w:cs="Poppins"/>
          <w:sz w:val="18"/>
          <w:szCs w:val="18"/>
        </w:rPr>
        <w:t xml:space="preserve"> cent$/galón equivalente a </w:t>
      </w:r>
      <w:r w:rsidR="00856B3C">
        <w:rPr>
          <w:rFonts w:ascii="Poppins" w:hAnsi="Poppins" w:cs="Poppins"/>
          <w:sz w:val="18"/>
          <w:szCs w:val="18"/>
        </w:rPr>
        <w:t>3</w:t>
      </w:r>
      <w:r w:rsidR="00A33C99" w:rsidRPr="0096213B">
        <w:rPr>
          <w:rFonts w:ascii="Poppins" w:hAnsi="Poppins" w:cs="Poppins"/>
          <w:sz w:val="18"/>
          <w:szCs w:val="18"/>
        </w:rPr>
        <w:t>,</w:t>
      </w:r>
      <w:r w:rsidR="00856B3C">
        <w:rPr>
          <w:rFonts w:ascii="Poppins" w:hAnsi="Poppins" w:cs="Poppins"/>
          <w:sz w:val="18"/>
          <w:szCs w:val="18"/>
        </w:rPr>
        <w:t>5</w:t>
      </w:r>
      <w:r w:rsidR="003118CE">
        <w:rPr>
          <w:rFonts w:ascii="Poppins" w:hAnsi="Poppins" w:cs="Poppins"/>
          <w:sz w:val="18"/>
          <w:szCs w:val="18"/>
        </w:rPr>
        <w:t>0</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56D6C754"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F4B7A">
        <w:rPr>
          <w:rFonts w:ascii="Poppins" w:hAnsi="Poppins" w:cs="Poppins"/>
          <w:sz w:val="18"/>
          <w:szCs w:val="18"/>
        </w:rPr>
        <w:t>1</w:t>
      </w:r>
      <w:r w:rsidR="00836EF4">
        <w:rPr>
          <w:rFonts w:ascii="Poppins" w:hAnsi="Poppins" w:cs="Poppins"/>
          <w:sz w:val="18"/>
          <w:szCs w:val="18"/>
        </w:rPr>
        <w:t>3</w:t>
      </w:r>
      <w:r w:rsidR="00E0028D">
        <w:rPr>
          <w:rFonts w:ascii="Poppins" w:hAnsi="Poppins" w:cs="Poppins"/>
          <w:sz w:val="18"/>
          <w:szCs w:val="18"/>
        </w:rPr>
        <w:t>,</w:t>
      </w:r>
      <w:r w:rsidR="00856B3C">
        <w:rPr>
          <w:rFonts w:ascii="Poppins" w:hAnsi="Poppins" w:cs="Poppins"/>
          <w:sz w:val="18"/>
          <w:szCs w:val="18"/>
        </w:rPr>
        <w:t>47</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BCB5074"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-1</w:t>
      </w:r>
      <w:r w:rsidR="00937A88">
        <w:rPr>
          <w:rFonts w:ascii="Poppins" w:hAnsi="Poppins" w:cs="Poppins"/>
          <w:sz w:val="18"/>
          <w:szCs w:val="18"/>
        </w:rPr>
        <w:t>,</w:t>
      </w:r>
      <w:r w:rsidR="003118CE">
        <w:rPr>
          <w:rFonts w:ascii="Poppins" w:hAnsi="Poppins" w:cs="Poppins"/>
          <w:sz w:val="18"/>
          <w:szCs w:val="18"/>
        </w:rPr>
        <w:t>1</w:t>
      </w:r>
      <w:r w:rsidR="00860350">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7F230E">
        <w:rPr>
          <w:rFonts w:ascii="Poppins" w:hAnsi="Poppins" w:cs="Poppins"/>
          <w:sz w:val="18"/>
          <w:szCs w:val="18"/>
        </w:rPr>
        <w:t>1</w:t>
      </w:r>
      <w:r w:rsidR="00513E2B" w:rsidRPr="0096213B">
        <w:rPr>
          <w:rFonts w:ascii="Poppins" w:hAnsi="Poppins" w:cs="Poppins"/>
          <w:sz w:val="18"/>
          <w:szCs w:val="18"/>
        </w:rPr>
        <w:t>,</w:t>
      </w:r>
      <w:r w:rsidR="007F230E">
        <w:rPr>
          <w:rFonts w:ascii="Poppins" w:hAnsi="Poppins" w:cs="Poppins"/>
          <w:sz w:val="18"/>
          <w:szCs w:val="18"/>
        </w:rPr>
        <w:t>0</w:t>
      </w:r>
      <w:r w:rsidR="00860350">
        <w:rPr>
          <w:rFonts w:ascii="Poppins" w:hAnsi="Poppins" w:cs="Poppins"/>
          <w:sz w:val="18"/>
          <w:szCs w:val="18"/>
        </w:rPr>
        <w:t>0</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74ACFC6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860350">
        <w:rPr>
          <w:rFonts w:ascii="Poppins" w:hAnsi="Poppins" w:cs="Poppins"/>
          <w:sz w:val="18"/>
          <w:szCs w:val="18"/>
        </w:rPr>
        <w:t>92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860350">
        <w:rPr>
          <w:rFonts w:ascii="Poppins" w:hAnsi="Poppins" w:cs="Poppins"/>
          <w:sz w:val="18"/>
          <w:szCs w:val="18"/>
        </w:rPr>
        <w:t>10</w:t>
      </w:r>
      <w:r w:rsidR="008508AE">
        <w:rPr>
          <w:rFonts w:ascii="Poppins" w:hAnsi="Poppins" w:cs="Poppins"/>
          <w:sz w:val="18"/>
          <w:szCs w:val="18"/>
        </w:rPr>
        <w:t>,</w:t>
      </w:r>
      <w:r w:rsidR="00860350">
        <w:rPr>
          <w:rFonts w:ascii="Poppins" w:hAnsi="Poppins" w:cs="Poppins"/>
          <w:sz w:val="18"/>
          <w:szCs w:val="18"/>
        </w:rPr>
        <w:t>34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0A82CAF"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106C7">
        <w:rPr>
          <w:rFonts w:ascii="Poppins" w:hAnsi="Poppins" w:cs="Poppins"/>
          <w:sz w:val="18"/>
          <w:szCs w:val="18"/>
        </w:rPr>
        <w:t>1</w:t>
      </w:r>
      <w:r w:rsidR="00836EF4">
        <w:rPr>
          <w:rFonts w:ascii="Poppins" w:hAnsi="Poppins" w:cs="Poppins"/>
          <w:sz w:val="18"/>
          <w:szCs w:val="18"/>
        </w:rPr>
        <w:t>3</w:t>
      </w:r>
      <w:r w:rsidR="00110925">
        <w:rPr>
          <w:rFonts w:ascii="Poppins" w:hAnsi="Poppins" w:cs="Poppins"/>
          <w:sz w:val="18"/>
          <w:szCs w:val="18"/>
        </w:rPr>
        <w:t>,</w:t>
      </w:r>
      <w:r w:rsidR="00860350">
        <w:rPr>
          <w:rFonts w:ascii="Poppins" w:hAnsi="Poppins" w:cs="Poppins"/>
          <w:sz w:val="18"/>
          <w:szCs w:val="18"/>
        </w:rPr>
        <w:t>47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lastRenderedPageBreak/>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303314FD"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60350">
        <w:rPr>
          <w:rFonts w:ascii="Poppins" w:hAnsi="Poppins" w:cs="Poppins"/>
          <w:bCs/>
          <w:sz w:val="18"/>
          <w:szCs w:val="18"/>
        </w:rPr>
        <w:t>4</w:t>
      </w:r>
      <w:r w:rsidRPr="004C5B09">
        <w:rPr>
          <w:rFonts w:ascii="Poppins" w:hAnsi="Poppins" w:cs="Poppins"/>
          <w:bCs/>
          <w:sz w:val="18"/>
          <w:szCs w:val="18"/>
        </w:rPr>
        <w:t>,</w:t>
      </w:r>
      <w:r w:rsidR="00860350">
        <w:rPr>
          <w:rFonts w:ascii="Poppins" w:hAnsi="Poppins" w:cs="Poppins"/>
          <w:bCs/>
          <w:sz w:val="18"/>
          <w:szCs w:val="18"/>
        </w:rPr>
        <w:t>44</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ADE2CFA"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836EF4">
        <w:rPr>
          <w:rFonts w:ascii="Poppins" w:hAnsi="Poppins" w:cs="Poppins"/>
          <w:sz w:val="18"/>
          <w:szCs w:val="18"/>
        </w:rPr>
        <w:t>0</w:t>
      </w:r>
      <w:r w:rsidR="00F66E81" w:rsidRPr="0096213B">
        <w:rPr>
          <w:rFonts w:ascii="Poppins" w:hAnsi="Poppins" w:cs="Poppins"/>
          <w:sz w:val="18"/>
          <w:szCs w:val="18"/>
        </w:rPr>
        <w:t>,</w:t>
      </w:r>
      <w:r w:rsidR="00105DB1">
        <w:rPr>
          <w:rFonts w:ascii="Poppins" w:hAnsi="Poppins" w:cs="Poppins"/>
          <w:sz w:val="18"/>
          <w:szCs w:val="18"/>
        </w:rPr>
        <w:t>60</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650C7AA9"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105DB1">
        <w:rPr>
          <w:rFonts w:ascii="Poppins" w:hAnsi="Poppins" w:cs="Poppins"/>
          <w:sz w:val="18"/>
          <w:szCs w:val="18"/>
          <w:lang w:eastAsia="en-US"/>
        </w:rPr>
        <w:t>25</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105DB1">
        <w:rPr>
          <w:rFonts w:ascii="Poppins" w:hAnsi="Poppins" w:cs="Poppins"/>
          <w:sz w:val="18"/>
          <w:szCs w:val="18"/>
          <w:lang w:eastAsia="en-US"/>
        </w:rPr>
        <w:t>0</w:t>
      </w:r>
      <w:r w:rsidR="007D44FD" w:rsidRPr="00881E39">
        <w:rPr>
          <w:rFonts w:ascii="Poppins" w:hAnsi="Poppins" w:cs="Poppins"/>
          <w:sz w:val="18"/>
          <w:szCs w:val="18"/>
          <w:lang w:eastAsia="en-US"/>
        </w:rPr>
        <w:t>,</w:t>
      </w:r>
      <w:r w:rsidR="00105DB1">
        <w:rPr>
          <w:rFonts w:ascii="Poppins" w:hAnsi="Poppins" w:cs="Poppins"/>
          <w:sz w:val="18"/>
          <w:szCs w:val="18"/>
          <w:lang w:eastAsia="en-US"/>
        </w:rPr>
        <w:t>20</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105DB1">
        <w:rPr>
          <w:rFonts w:ascii="Poppins" w:hAnsi="Poppins" w:cs="Poppins"/>
          <w:sz w:val="18"/>
          <w:szCs w:val="18"/>
          <w:lang w:eastAsia="en-US"/>
        </w:rPr>
        <w:t>0</w:t>
      </w:r>
      <w:r w:rsidR="007D44FD" w:rsidRPr="00881E39">
        <w:rPr>
          <w:rFonts w:ascii="Poppins" w:hAnsi="Poppins" w:cs="Poppins"/>
          <w:sz w:val="18"/>
          <w:szCs w:val="18"/>
          <w:lang w:eastAsia="en-US"/>
        </w:rPr>
        <w:t>,</w:t>
      </w:r>
      <w:r w:rsidR="00105DB1">
        <w:rPr>
          <w:rFonts w:ascii="Poppins" w:hAnsi="Poppins" w:cs="Poppins"/>
          <w:sz w:val="18"/>
          <w:szCs w:val="18"/>
          <w:lang w:eastAsia="en-US"/>
        </w:rPr>
        <w:t>20</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0C051008"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105DB1" w:rsidRPr="00105DB1">
              <w:rPr>
                <w:rFonts w:ascii="Poppins" w:hAnsi="Poppins" w:cs="Poppins"/>
                <w:i/>
                <w:iCs/>
                <w:noProof/>
                <w:sz w:val="14"/>
                <w:szCs w:val="14"/>
                <w:lang w:val="es-MX" w:eastAsia="en-US"/>
              </w:rPr>
              <w:drawing>
                <wp:inline distT="0" distB="0" distL="0" distR="0" wp14:anchorId="2B9BF499" wp14:editId="73E0A41E">
                  <wp:extent cx="8166100" cy="2997835"/>
                  <wp:effectExtent l="0" t="0" r="6350" b="0"/>
                  <wp:docPr id="29658597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66100" cy="299783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tcPr>
          <w:p w14:paraId="5FE1CE67" w14:textId="37D71895" w:rsidR="000F7442" w:rsidRPr="0096213B" w:rsidRDefault="00E56DFB" w:rsidP="000F7442">
            <w:pPr>
              <w:jc w:val="center"/>
              <w:rPr>
                <w:rFonts w:ascii="Poppins" w:hAnsi="Poppins" w:cs="Poppins"/>
                <w:sz w:val="8"/>
                <w:szCs w:val="20"/>
              </w:rPr>
            </w:pPr>
            <w:r w:rsidRPr="00E56DFB">
              <w:rPr>
                <w:rFonts w:ascii="Poppins" w:hAnsi="Poppins" w:cs="Poppins"/>
                <w:noProof/>
                <w:sz w:val="8"/>
                <w:szCs w:val="20"/>
              </w:rPr>
              <w:drawing>
                <wp:inline distT="0" distB="0" distL="0" distR="0" wp14:anchorId="15794823" wp14:editId="37830156">
                  <wp:extent cx="3562350" cy="2846705"/>
                  <wp:effectExtent l="0" t="0" r="0" b="0"/>
                  <wp:docPr id="94371301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2350" cy="2846705"/>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tcPr>
          <w:p w14:paraId="5F438E49" w14:textId="439A44A3" w:rsidR="00EF3BE9" w:rsidRPr="0096213B" w:rsidRDefault="00E56DFB"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5A8848AF" wp14:editId="4695DA18">
                  <wp:extent cx="5420317" cy="2763903"/>
                  <wp:effectExtent l="0" t="0" r="0" b="0"/>
                  <wp:docPr id="144467890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55763" cy="278197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1AE00939" w:rsidR="00551F16" w:rsidRPr="0096213B" w:rsidRDefault="00E56DFB"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E56DFB">
        <w:drawing>
          <wp:inline distT="0" distB="0" distL="0" distR="0" wp14:anchorId="1CB19AEC" wp14:editId="67F502D9">
            <wp:extent cx="5674691" cy="2350135"/>
            <wp:effectExtent l="0" t="0" r="2540" b="0"/>
            <wp:docPr id="49102795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8288" cy="235162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57EC1CE5" w:rsidR="00F70B88" w:rsidRDefault="00776C98" w:rsidP="00604758">
      <w:pPr>
        <w:spacing w:line="0" w:lineRule="atLeast"/>
        <w:ind w:right="-567"/>
        <w:jc w:val="both"/>
        <w:rPr>
          <w:rFonts w:ascii="Poppins" w:hAnsi="Poppins" w:cs="Poppins"/>
          <w:noProof/>
          <w:sz w:val="20"/>
          <w:szCs w:val="20"/>
        </w:rPr>
      </w:pPr>
      <w:r w:rsidRPr="00776C98">
        <w:drawing>
          <wp:inline distT="0" distB="0" distL="0" distR="0" wp14:anchorId="2DAB943E" wp14:editId="6609C1F8">
            <wp:extent cx="5849651" cy="2282024"/>
            <wp:effectExtent l="0" t="0" r="0" b="4445"/>
            <wp:docPr id="5013619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3415" cy="2283492"/>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6E7D3449" w14:textId="761D7C6B" w:rsidR="00C80F8A" w:rsidRPr="0096213B" w:rsidRDefault="00776C98" w:rsidP="00C2751F">
      <w:pPr>
        <w:jc w:val="both"/>
        <w:rPr>
          <w:rFonts w:ascii="Poppins" w:hAnsi="Poppins" w:cs="Poppins"/>
          <w:i/>
          <w:iCs/>
          <w:sz w:val="12"/>
          <w:szCs w:val="12"/>
        </w:rPr>
      </w:pPr>
      <w:r w:rsidRPr="00776C98">
        <w:drawing>
          <wp:inline distT="0" distB="0" distL="0" distR="0" wp14:anchorId="781B4E9A" wp14:editId="3603E873">
            <wp:extent cx="5850255" cy="7062470"/>
            <wp:effectExtent l="0" t="0" r="0" b="5080"/>
            <wp:docPr id="142911697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255" cy="7062470"/>
                    </a:xfrm>
                    <a:prstGeom prst="rect">
                      <a:avLst/>
                    </a:prstGeom>
                    <a:noFill/>
                    <a:ln>
                      <a:noFill/>
                    </a:ln>
                  </pic:spPr>
                </pic:pic>
              </a:graphicData>
            </a:graphic>
          </wp:inline>
        </w:drawing>
      </w:r>
      <w:r w:rsidR="00DC168B"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00DC168B"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AFE6F8A" w:rsidR="005048C1" w:rsidRPr="0096213B" w:rsidRDefault="00F91202" w:rsidP="005048C1">
      <w:pPr>
        <w:jc w:val="both"/>
        <w:rPr>
          <w:rFonts w:ascii="Poppins" w:hAnsi="Poppins" w:cs="Poppins"/>
          <w:i/>
          <w:iCs/>
          <w:sz w:val="12"/>
          <w:szCs w:val="12"/>
        </w:rPr>
      </w:pPr>
      <w:r>
        <w:t xml:space="preserve">                       </w:t>
      </w:r>
      <w:r w:rsidR="00156A25" w:rsidRPr="00156A25">
        <w:drawing>
          <wp:inline distT="0" distB="0" distL="0" distR="0" wp14:anchorId="7A9960A7" wp14:editId="0F86FE7C">
            <wp:extent cx="5850255" cy="6543923"/>
            <wp:effectExtent l="0" t="0" r="0" b="9525"/>
            <wp:docPr id="145907073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2029" cy="6545907"/>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1B510100" w:rsidR="00812956" w:rsidRDefault="000B0B25" w:rsidP="00842A58">
      <w:pPr>
        <w:pStyle w:val="xl37"/>
        <w:tabs>
          <w:tab w:val="left" w:pos="180"/>
        </w:tabs>
        <w:spacing w:before="0" w:beforeAutospacing="0" w:after="0" w:afterAutospacing="0"/>
        <w:jc w:val="center"/>
        <w:rPr>
          <w:noProof/>
        </w:rPr>
      </w:pPr>
      <w:r>
        <w:rPr>
          <w:noProof/>
        </w:rPr>
        <w:drawing>
          <wp:inline distT="0" distB="0" distL="0" distR="0" wp14:anchorId="0FD3B199" wp14:editId="33094B8B">
            <wp:extent cx="4108862" cy="2938116"/>
            <wp:effectExtent l="0" t="0" r="6350" b="0"/>
            <wp:docPr id="181328739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21868" cy="2947416"/>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21CB903A" w:rsidR="001307B8" w:rsidRPr="00A149FB" w:rsidRDefault="000B0B25"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48830B04" wp14:editId="3E8DA848">
            <wp:extent cx="4040805" cy="2843414"/>
            <wp:effectExtent l="0" t="0" r="0" b="0"/>
            <wp:docPr id="8846036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47616" cy="2848207"/>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7A35C64F" w:rsidR="006C0944" w:rsidRDefault="000B0B25" w:rsidP="00373E46">
      <w:pPr>
        <w:pStyle w:val="xl37"/>
        <w:tabs>
          <w:tab w:val="left" w:pos="180"/>
        </w:tabs>
        <w:spacing w:before="0" w:beforeAutospacing="0" w:after="0" w:afterAutospacing="0"/>
        <w:jc w:val="center"/>
        <w:rPr>
          <w:noProof/>
        </w:rPr>
      </w:pPr>
      <w:r>
        <w:rPr>
          <w:noProof/>
        </w:rPr>
        <w:lastRenderedPageBreak/>
        <w:drawing>
          <wp:inline distT="0" distB="0" distL="0" distR="0" wp14:anchorId="63A67A90" wp14:editId="33934236">
            <wp:extent cx="4150360" cy="3075709"/>
            <wp:effectExtent l="0" t="0" r="2540" b="0"/>
            <wp:docPr id="32841140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66405" cy="3087600"/>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77777777" w:rsidR="009D455B" w:rsidRDefault="009D455B" w:rsidP="00BF0E9E">
      <w:pPr>
        <w:pStyle w:val="xl37"/>
        <w:tabs>
          <w:tab w:val="left" w:pos="180"/>
          <w:tab w:val="left" w:pos="1560"/>
          <w:tab w:val="left" w:pos="8222"/>
        </w:tabs>
        <w:spacing w:before="0" w:beforeAutospacing="0" w:after="0" w:afterAutospacing="0"/>
        <w:jc w:val="center"/>
        <w:rPr>
          <w:noProof/>
        </w:rPr>
      </w:pPr>
    </w:p>
    <w:p w14:paraId="38B2F0A8" w14:textId="525F5062" w:rsidR="00356BB0" w:rsidRDefault="00356BB0" w:rsidP="009D455B">
      <w:pPr>
        <w:pStyle w:val="xl37"/>
        <w:tabs>
          <w:tab w:val="left" w:pos="180"/>
        </w:tabs>
        <w:spacing w:before="0" w:beforeAutospacing="0" w:after="0" w:afterAutospacing="0"/>
        <w:jc w:val="center"/>
        <w:rPr>
          <w:noProof/>
        </w:rPr>
      </w:pPr>
    </w:p>
    <w:p w14:paraId="49C23B04" w14:textId="73F89E4F" w:rsidR="00356BB0" w:rsidRDefault="000B0B25"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49B16C51" wp14:editId="714B3BC5">
            <wp:extent cx="4106097" cy="2964889"/>
            <wp:effectExtent l="0" t="0" r="8890" b="6985"/>
            <wp:docPr id="99615768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26153" cy="2979371"/>
                    </a:xfrm>
                    <a:prstGeom prst="rect">
                      <a:avLst/>
                    </a:prstGeom>
                    <a:noFill/>
                  </pic:spPr>
                </pic:pic>
              </a:graphicData>
            </a:graphic>
          </wp:inline>
        </w:drawing>
      </w: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451830C5" w14:textId="393F0B02" w:rsidR="00C6055B" w:rsidRDefault="00C6055B" w:rsidP="00373E46">
      <w:pPr>
        <w:pStyle w:val="xl37"/>
        <w:tabs>
          <w:tab w:val="left" w:pos="180"/>
        </w:tabs>
        <w:spacing w:before="0" w:beforeAutospacing="0" w:after="0" w:afterAutospacing="0"/>
        <w:jc w:val="center"/>
        <w:rPr>
          <w:noProof/>
        </w:rPr>
      </w:pPr>
    </w:p>
    <w:p w14:paraId="42963095" w14:textId="16D28A57" w:rsidR="00C6055B" w:rsidRDefault="00C6055B" w:rsidP="00373E46">
      <w:pPr>
        <w:pStyle w:val="xl37"/>
        <w:tabs>
          <w:tab w:val="left" w:pos="180"/>
        </w:tabs>
        <w:spacing w:before="0" w:beforeAutospacing="0" w:after="0" w:afterAutospacing="0"/>
        <w:jc w:val="center"/>
        <w:rPr>
          <w:noProof/>
        </w:rPr>
      </w:pPr>
    </w:p>
    <w:p w14:paraId="2611E6A7" w14:textId="17CA4D3E" w:rsidR="00C6055B" w:rsidRDefault="00C6055B" w:rsidP="00373E46">
      <w:pPr>
        <w:pStyle w:val="xl37"/>
        <w:tabs>
          <w:tab w:val="left" w:pos="180"/>
        </w:tabs>
        <w:spacing w:before="0" w:beforeAutospacing="0" w:after="0" w:afterAutospacing="0"/>
        <w:jc w:val="center"/>
        <w:rPr>
          <w:noProof/>
        </w:rPr>
      </w:pPr>
    </w:p>
    <w:p w14:paraId="4701FC52" w14:textId="41594CFF" w:rsidR="00C6055B" w:rsidRDefault="00C6055B" w:rsidP="00373E46">
      <w:pPr>
        <w:pStyle w:val="xl37"/>
        <w:tabs>
          <w:tab w:val="left" w:pos="180"/>
        </w:tabs>
        <w:spacing w:before="0" w:beforeAutospacing="0" w:after="0" w:afterAutospacing="0"/>
        <w:jc w:val="center"/>
        <w:rPr>
          <w:noProof/>
        </w:rPr>
      </w:pPr>
    </w:p>
    <w:p w14:paraId="19EBB0E6" w14:textId="77777777" w:rsidR="00C6055B" w:rsidRDefault="00C6055B"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489940" w14:textId="77777777" w:rsidR="007751A1" w:rsidRDefault="007751A1" w:rsidP="006502B5">
      <w:r>
        <w:separator/>
      </w:r>
    </w:p>
  </w:endnote>
  <w:endnote w:type="continuationSeparator" w:id="0">
    <w:p w14:paraId="4B13412D" w14:textId="77777777" w:rsidR="007751A1" w:rsidRDefault="007751A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441050" w14:textId="77777777" w:rsidR="007751A1" w:rsidRDefault="007751A1" w:rsidP="006502B5">
      <w:r>
        <w:separator/>
      </w:r>
    </w:p>
  </w:footnote>
  <w:footnote w:type="continuationSeparator" w:id="0">
    <w:p w14:paraId="564AD14E" w14:textId="77777777" w:rsidR="007751A1" w:rsidRDefault="007751A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9B36968"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C66DE">
            <w:rPr>
              <w:rFonts w:ascii="Poppins" w:hAnsi="Poppins" w:cs="Poppins"/>
              <w:b/>
              <w:sz w:val="22"/>
              <w:szCs w:val="22"/>
              <w:lang w:val="it-IT"/>
            </w:rPr>
            <w:t>2</w:t>
          </w:r>
          <w:r w:rsidR="001A4A01">
            <w:rPr>
              <w:rFonts w:ascii="Poppins" w:hAnsi="Poppins" w:cs="Poppins"/>
              <w:b/>
              <w:sz w:val="22"/>
              <w:szCs w:val="22"/>
              <w:lang w:val="it-IT"/>
            </w:rPr>
            <w:t>1</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A6B8252"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1703D">
            <w:rPr>
              <w:rFonts w:ascii="Poppins" w:hAnsi="Poppins" w:cs="Poppins"/>
              <w:b/>
              <w:sz w:val="22"/>
              <w:szCs w:val="22"/>
              <w:lang w:val="it-IT"/>
            </w:rPr>
            <w:t>2</w:t>
          </w:r>
          <w:r w:rsidR="00776C98">
            <w:rPr>
              <w:rFonts w:ascii="Poppins" w:hAnsi="Poppins" w:cs="Poppins"/>
              <w:b/>
              <w:sz w:val="22"/>
              <w:szCs w:val="22"/>
              <w:lang w:val="it-IT"/>
            </w:rPr>
            <w:t>1</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C38F654"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105DB1">
            <w:rPr>
              <w:rFonts w:ascii="Poppins" w:hAnsi="Poppins" w:cs="Poppins"/>
              <w:b/>
              <w:sz w:val="22"/>
              <w:szCs w:val="22"/>
              <w:lang w:val="it-IT"/>
            </w:rPr>
            <w:t>21</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999A12A"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51147">
            <w:rPr>
              <w:rFonts w:ascii="Poppins" w:hAnsi="Poppins" w:cs="Poppins"/>
              <w:b/>
              <w:sz w:val="22"/>
              <w:szCs w:val="22"/>
              <w:lang w:val="it-IT"/>
            </w:rPr>
            <w:t>2</w:t>
          </w:r>
          <w:r w:rsidR="00776C98">
            <w:rPr>
              <w:rFonts w:ascii="Poppins" w:hAnsi="Poppins" w:cs="Poppins"/>
              <w:b/>
              <w:sz w:val="22"/>
              <w:szCs w:val="22"/>
              <w:lang w:val="it-IT"/>
            </w:rPr>
            <w:t>1</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307</TotalTime>
  <Pages>19</Pages>
  <Words>4933</Words>
  <Characters>27132</Characters>
  <Application>Microsoft Office Word</Application>
  <DocSecurity>0</DocSecurity>
  <Lines>226</Lines>
  <Paragraphs>64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32001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2026-02-16T14:35:00Z</cp:lastPrinted>
  <dcterms:created xsi:type="dcterms:W3CDTF">2026-05-29T14:38:00Z</dcterms:created>
  <dcterms:modified xsi:type="dcterms:W3CDTF">2026-05-29T19:44:00Z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