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57D0C667" w:rsidR="00C80F8A" w:rsidRPr="00EE493C" w:rsidRDefault="00C80F8A" w:rsidP="001C2FD3">
      <w:pPr>
        <w:pStyle w:val="Ttulo10"/>
        <w:spacing w:line="240" w:lineRule="auto"/>
        <w:rPr>
          <w:rFonts w:ascii="Poppins" w:hAnsi="Poppins" w:cs="Poppins"/>
          <w:sz w:val="24"/>
          <w:szCs w:val="22"/>
          <w:u w:val="single"/>
          <w:lang w:val="es-PE"/>
        </w:rPr>
      </w:pPr>
      <w:r w:rsidRPr="00EE493C">
        <w:rPr>
          <w:rFonts w:ascii="Poppins" w:hAnsi="Poppins" w:cs="Poppins"/>
          <w:sz w:val="24"/>
          <w:szCs w:val="22"/>
          <w:u w:val="single"/>
          <w:lang w:val="es-PE"/>
        </w:rPr>
        <w:t>INFORME N° PR</w:t>
      </w:r>
      <w:r w:rsidR="002A50E6" w:rsidRPr="00EE493C">
        <w:rPr>
          <w:rFonts w:ascii="Poppins" w:hAnsi="Poppins" w:cs="Poppins"/>
          <w:sz w:val="24"/>
          <w:szCs w:val="22"/>
          <w:u w:val="single"/>
          <w:lang w:val="es-PE"/>
        </w:rPr>
        <w:t>-</w:t>
      </w:r>
      <w:r w:rsidR="008E2585">
        <w:rPr>
          <w:rFonts w:ascii="Poppins" w:hAnsi="Poppins" w:cs="Poppins"/>
          <w:sz w:val="24"/>
          <w:szCs w:val="22"/>
          <w:u w:val="single"/>
          <w:lang w:val="es-PE"/>
        </w:rPr>
        <w:t>1</w:t>
      </w:r>
      <w:r w:rsidR="004E4974">
        <w:rPr>
          <w:rFonts w:ascii="Poppins" w:hAnsi="Poppins" w:cs="Poppins"/>
          <w:sz w:val="24"/>
          <w:szCs w:val="22"/>
          <w:u w:val="single"/>
          <w:lang w:val="es-PE"/>
        </w:rPr>
        <w:t>2</w:t>
      </w:r>
      <w:r w:rsidRPr="00EE493C">
        <w:rPr>
          <w:rFonts w:ascii="Poppins" w:hAnsi="Poppins" w:cs="Poppins"/>
          <w:sz w:val="24"/>
          <w:szCs w:val="22"/>
          <w:u w:val="single"/>
          <w:lang w:val="es-PE"/>
        </w:rPr>
        <w:t>-202</w:t>
      </w:r>
      <w:r w:rsidR="005151B0">
        <w:rPr>
          <w:rFonts w:ascii="Poppins" w:hAnsi="Poppins" w:cs="Poppins"/>
          <w:sz w:val="24"/>
          <w:szCs w:val="22"/>
          <w:u w:val="single"/>
          <w:lang w:val="es-PE"/>
        </w:rPr>
        <w:t>6</w:t>
      </w:r>
      <w:r w:rsidRPr="00EE493C">
        <w:rPr>
          <w:rFonts w:ascii="Poppins" w:hAnsi="Poppins" w:cs="Poppins"/>
          <w:sz w:val="24"/>
          <w:szCs w:val="22"/>
          <w:u w:val="single"/>
          <w:lang w:val="es-PE"/>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32F50BCD"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4E4974">
        <w:rPr>
          <w:rFonts w:ascii="Poppins" w:hAnsi="Poppins" w:cs="Poppins"/>
          <w:b/>
          <w:bCs/>
          <w:sz w:val="22"/>
          <w:szCs w:val="22"/>
        </w:rPr>
        <w:t>23</w:t>
      </w:r>
      <w:r w:rsidR="00316BFF">
        <w:rPr>
          <w:rFonts w:ascii="Poppins" w:hAnsi="Poppins" w:cs="Poppins"/>
          <w:b/>
          <w:bCs/>
          <w:sz w:val="22"/>
          <w:szCs w:val="22"/>
        </w:rPr>
        <w:t>/</w:t>
      </w:r>
      <w:r w:rsidR="005151B0">
        <w:rPr>
          <w:rFonts w:ascii="Poppins" w:hAnsi="Poppins" w:cs="Poppins"/>
          <w:b/>
          <w:bCs/>
          <w:sz w:val="22"/>
          <w:szCs w:val="22"/>
        </w:rPr>
        <w:t>0</w:t>
      </w:r>
      <w:r w:rsidR="00C16233">
        <w:rPr>
          <w:rFonts w:ascii="Poppins" w:hAnsi="Poppins" w:cs="Poppins"/>
          <w:b/>
          <w:bCs/>
          <w:sz w:val="22"/>
          <w:szCs w:val="22"/>
        </w:rPr>
        <w:t>3</w:t>
      </w:r>
      <w:r w:rsidRPr="0096213B">
        <w:rPr>
          <w:rFonts w:ascii="Poppins" w:hAnsi="Poppins" w:cs="Poppins"/>
          <w:b/>
          <w:bCs/>
          <w:sz w:val="22"/>
          <w:szCs w:val="22"/>
        </w:rPr>
        <w:t>/20</w:t>
      </w:r>
      <w:r w:rsidR="001517B7" w:rsidRPr="0096213B">
        <w:rPr>
          <w:rFonts w:ascii="Poppins" w:hAnsi="Poppins" w:cs="Poppins"/>
          <w:b/>
          <w:bCs/>
          <w:sz w:val="22"/>
          <w:szCs w:val="22"/>
        </w:rPr>
        <w:t>2</w:t>
      </w:r>
      <w:r w:rsidR="005151B0">
        <w:rPr>
          <w:rFonts w:ascii="Poppins" w:hAnsi="Poppins" w:cs="Poppins"/>
          <w:b/>
          <w:bCs/>
          <w:sz w:val="22"/>
          <w:szCs w:val="22"/>
        </w:rPr>
        <w:t>6</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En la Gráfica N°</w:t>
      </w:r>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GRAFICA N° 1</w:t>
      </w:r>
      <w:r w:rsidRPr="001C2FD3">
        <w:rPr>
          <w:rFonts w:ascii="Poppins" w:hAnsi="Poppins" w:cs="Poppins"/>
          <w:i/>
          <w:sz w:val="14"/>
          <w:szCs w:val="14"/>
        </w:rPr>
        <w:t>: Precios del Petróleo Crudo y Combustibles en la Costa del Golfo de EE.UU.</w:t>
      </w:r>
    </w:p>
    <w:p w14:paraId="27884430" w14:textId="007B7573" w:rsidR="00AB06BA" w:rsidRPr="001C2FD3" w:rsidRDefault="002B351D"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31549D4C" wp14:editId="0A10E77D">
            <wp:extent cx="5368676" cy="3285490"/>
            <wp:effectExtent l="0" t="0" r="381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85064" cy="3295519"/>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t xml:space="preserve">En agosto 2021, las expectativas en el mercado del petróleo cambiaron, respecto al mes de julio 2021; debido principalmente al impacto de la variante Delta del Coronavirus, que retrasó, a nivel </w:t>
      </w:r>
      <w:r w:rsidRPr="0096213B">
        <w:rPr>
          <w:rFonts w:ascii="Poppins" w:hAnsi="Poppins" w:cs="Poppins"/>
          <w:sz w:val="18"/>
          <w:szCs w:val="18"/>
        </w:rPr>
        <w:lastRenderedPageBreak/>
        <w:t>global, la reactivación que habían experimentado los precios del petróleo y combustibles a lo largo de la pandemia.</w:t>
      </w:r>
    </w:p>
    <w:p w14:paraId="588063D1" w14:textId="77777777" w:rsidR="00D7499B" w:rsidRPr="0096213B" w:rsidRDefault="00D7499B" w:rsidP="00E812D9">
      <w:pPr>
        <w:jc w:val="both"/>
        <w:rPr>
          <w:rFonts w:ascii="Poppins" w:hAnsi="Poppins" w:cs="Poppins"/>
          <w:sz w:val="18"/>
          <w:szCs w:val="18"/>
        </w:rPr>
      </w:pPr>
    </w:p>
    <w:p w14:paraId="5CB5BC2E" w14:textId="781A81C2"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7AF14B6B"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640D73">
        <w:rPr>
          <w:rFonts w:ascii="Poppins" w:hAnsi="Poppins" w:cs="Poppins"/>
          <w:sz w:val="18"/>
          <w:szCs w:val="18"/>
        </w:rPr>
        <w:t>9</w:t>
      </w:r>
      <w:r w:rsidR="00225A46">
        <w:rPr>
          <w:rFonts w:ascii="Poppins" w:hAnsi="Poppins" w:cs="Poppins"/>
          <w:sz w:val="18"/>
          <w:szCs w:val="18"/>
        </w:rPr>
        <w:t>6</w:t>
      </w:r>
      <w:r w:rsidR="00E23D92" w:rsidRPr="00273F37">
        <w:rPr>
          <w:rFonts w:ascii="Poppins" w:hAnsi="Poppins" w:cs="Poppins"/>
          <w:sz w:val="18"/>
          <w:szCs w:val="18"/>
        </w:rPr>
        <w:t>,</w:t>
      </w:r>
      <w:r w:rsidR="00225A46">
        <w:rPr>
          <w:rFonts w:ascii="Poppins" w:hAnsi="Poppins" w:cs="Poppins"/>
          <w:sz w:val="18"/>
          <w:szCs w:val="18"/>
        </w:rPr>
        <w:t>55</w:t>
      </w:r>
      <w:r w:rsidRPr="00273F37">
        <w:rPr>
          <w:rFonts w:ascii="Poppins" w:hAnsi="Poppins" w:cs="Poppins"/>
          <w:sz w:val="18"/>
          <w:szCs w:val="18"/>
        </w:rPr>
        <w:t xml:space="preserve"> US$/Bl, las gasolinas registraron un precio superior a </w:t>
      </w:r>
      <w:r w:rsidR="009E527C">
        <w:rPr>
          <w:rFonts w:ascii="Poppins" w:hAnsi="Poppins" w:cs="Poppins"/>
          <w:sz w:val="18"/>
          <w:szCs w:val="18"/>
        </w:rPr>
        <w:t>1</w:t>
      </w:r>
      <w:r w:rsidR="00640D73">
        <w:rPr>
          <w:rFonts w:ascii="Poppins" w:hAnsi="Poppins" w:cs="Poppins"/>
          <w:sz w:val="18"/>
          <w:szCs w:val="18"/>
        </w:rPr>
        <w:t>2</w:t>
      </w:r>
      <w:r w:rsidR="00225A46">
        <w:rPr>
          <w:rFonts w:ascii="Poppins" w:hAnsi="Poppins" w:cs="Poppins"/>
          <w:sz w:val="18"/>
          <w:szCs w:val="18"/>
        </w:rPr>
        <w:t>6</w:t>
      </w:r>
      <w:r w:rsidRPr="00273F37">
        <w:rPr>
          <w:rFonts w:ascii="Poppins" w:hAnsi="Poppins" w:cs="Poppins"/>
          <w:sz w:val="18"/>
          <w:szCs w:val="18"/>
        </w:rPr>
        <w:t xml:space="preserve"> US$/Bl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190CAB">
        <w:rPr>
          <w:rFonts w:ascii="Poppins" w:hAnsi="Poppins" w:cs="Poppins"/>
          <w:sz w:val="18"/>
          <w:szCs w:val="18"/>
        </w:rPr>
        <w:t>1</w:t>
      </w:r>
      <w:r w:rsidR="00225A46">
        <w:rPr>
          <w:rFonts w:ascii="Poppins" w:hAnsi="Poppins" w:cs="Poppins"/>
          <w:sz w:val="18"/>
          <w:szCs w:val="18"/>
        </w:rPr>
        <w:t>79</w:t>
      </w:r>
      <w:r w:rsidRPr="00273F37">
        <w:rPr>
          <w:rFonts w:ascii="Poppins" w:hAnsi="Poppins" w:cs="Poppins"/>
          <w:sz w:val="18"/>
          <w:szCs w:val="18"/>
        </w:rPr>
        <w:t xml:space="preserve"> US$/Bl</w:t>
      </w:r>
      <w:r w:rsidR="00FE53EF" w:rsidRPr="00273F37">
        <w:rPr>
          <w:rFonts w:ascii="Poppins" w:hAnsi="Poppins" w:cs="Poppins"/>
          <w:sz w:val="18"/>
          <w:szCs w:val="18"/>
        </w:rPr>
        <w:t xml:space="preserve">. Para el mismo periodo, el precio del GLP cerró la semana en </w:t>
      </w:r>
      <w:r w:rsidR="009E527C">
        <w:rPr>
          <w:rFonts w:ascii="Poppins" w:hAnsi="Poppins" w:cs="Poppins"/>
          <w:sz w:val="18"/>
          <w:szCs w:val="18"/>
        </w:rPr>
        <w:t>3</w:t>
      </w:r>
      <w:r w:rsidR="00225A46">
        <w:rPr>
          <w:rFonts w:ascii="Poppins" w:hAnsi="Poppins" w:cs="Poppins"/>
          <w:sz w:val="18"/>
          <w:szCs w:val="18"/>
        </w:rPr>
        <w:t>8</w:t>
      </w:r>
      <w:r w:rsidR="00941CD2" w:rsidRPr="00273F37">
        <w:rPr>
          <w:rFonts w:ascii="Poppins" w:hAnsi="Poppins" w:cs="Poppins"/>
          <w:sz w:val="18"/>
          <w:szCs w:val="18"/>
        </w:rPr>
        <w:t>,</w:t>
      </w:r>
      <w:r w:rsidR="00225A46">
        <w:rPr>
          <w:rFonts w:ascii="Poppins" w:hAnsi="Poppins" w:cs="Poppins"/>
          <w:sz w:val="18"/>
          <w:szCs w:val="18"/>
        </w:rPr>
        <w:t>58</w:t>
      </w:r>
      <w:r w:rsidR="00FE53EF" w:rsidRPr="00273F37">
        <w:rPr>
          <w:rFonts w:ascii="Poppins" w:hAnsi="Poppins" w:cs="Poppins"/>
          <w:sz w:val="18"/>
          <w:szCs w:val="18"/>
        </w:rPr>
        <w:t xml:space="preserve"> US$/Bl.</w:t>
      </w:r>
    </w:p>
    <w:p w14:paraId="4C3536A0" w14:textId="77777777" w:rsidR="00FE53EF" w:rsidRPr="0096213B" w:rsidRDefault="00FE53EF" w:rsidP="00E812D9">
      <w:pPr>
        <w:jc w:val="both"/>
        <w:rPr>
          <w:rFonts w:ascii="Poppins" w:hAnsi="Poppins" w:cs="Poppins"/>
          <w:sz w:val="18"/>
          <w:szCs w:val="18"/>
        </w:rPr>
      </w:pPr>
    </w:p>
    <w:p w14:paraId="237382DE" w14:textId="173719A9" w:rsidR="00593ACE" w:rsidRPr="00ED72E4" w:rsidRDefault="005B4C77" w:rsidP="00005B14">
      <w:pPr>
        <w:jc w:val="both"/>
        <w:rPr>
          <w:rFonts w:ascii="Poppins" w:hAnsi="Poppins" w:cs="Poppins"/>
          <w:sz w:val="20"/>
          <w:szCs w:val="20"/>
        </w:rPr>
      </w:pPr>
      <w:r w:rsidRPr="00ED72E4">
        <w:rPr>
          <w:rFonts w:ascii="Poppins" w:hAnsi="Poppins" w:cs="Poppins"/>
          <w:bCs/>
          <w:sz w:val="18"/>
          <w:szCs w:val="18"/>
        </w:rPr>
        <w:t xml:space="preserve">En las semanas del </w:t>
      </w:r>
      <w:r w:rsidR="006F044B">
        <w:rPr>
          <w:rFonts w:ascii="Poppins" w:hAnsi="Poppins" w:cs="Poppins"/>
          <w:bCs/>
          <w:sz w:val="18"/>
          <w:szCs w:val="18"/>
        </w:rPr>
        <w:t>0</w:t>
      </w:r>
      <w:r w:rsidR="002B351D">
        <w:rPr>
          <w:rFonts w:ascii="Poppins" w:hAnsi="Poppins" w:cs="Poppins"/>
          <w:bCs/>
          <w:sz w:val="18"/>
          <w:szCs w:val="18"/>
        </w:rPr>
        <w:t>9</w:t>
      </w:r>
      <w:r w:rsidR="007D7CB0">
        <w:rPr>
          <w:rFonts w:ascii="Poppins" w:hAnsi="Poppins" w:cs="Poppins"/>
          <w:bCs/>
          <w:sz w:val="18"/>
          <w:szCs w:val="18"/>
        </w:rPr>
        <w:t>.</w:t>
      </w:r>
      <w:r w:rsidR="00B816EA">
        <w:rPr>
          <w:rFonts w:ascii="Poppins" w:hAnsi="Poppins" w:cs="Poppins"/>
          <w:bCs/>
          <w:sz w:val="18"/>
          <w:szCs w:val="18"/>
        </w:rPr>
        <w:t>0</w:t>
      </w:r>
      <w:r w:rsidR="006F044B">
        <w:rPr>
          <w:rFonts w:ascii="Poppins" w:hAnsi="Poppins" w:cs="Poppins"/>
          <w:bCs/>
          <w:sz w:val="18"/>
          <w:szCs w:val="18"/>
        </w:rPr>
        <w:t>3</w:t>
      </w:r>
      <w:r w:rsidRPr="00ED72E4">
        <w:rPr>
          <w:rFonts w:ascii="Poppins" w:hAnsi="Poppins" w:cs="Poppins"/>
          <w:bCs/>
          <w:sz w:val="18"/>
          <w:szCs w:val="18"/>
        </w:rPr>
        <w:t>.202</w:t>
      </w:r>
      <w:r w:rsidR="00B816EA">
        <w:rPr>
          <w:rFonts w:ascii="Poppins" w:hAnsi="Poppins" w:cs="Poppins"/>
          <w:bCs/>
          <w:sz w:val="18"/>
          <w:szCs w:val="18"/>
        </w:rPr>
        <w:t>6</w:t>
      </w:r>
      <w:r w:rsidRPr="00ED72E4">
        <w:rPr>
          <w:rFonts w:ascii="Poppins" w:hAnsi="Poppins" w:cs="Poppins"/>
          <w:bCs/>
          <w:sz w:val="18"/>
          <w:szCs w:val="18"/>
        </w:rPr>
        <w:t xml:space="preserve"> al</w:t>
      </w:r>
      <w:r w:rsidR="00604BC3">
        <w:rPr>
          <w:rFonts w:ascii="Poppins" w:hAnsi="Poppins" w:cs="Poppins"/>
          <w:bCs/>
          <w:sz w:val="18"/>
          <w:szCs w:val="18"/>
        </w:rPr>
        <w:t xml:space="preserve"> </w:t>
      </w:r>
      <w:r w:rsidR="002B351D">
        <w:rPr>
          <w:rFonts w:ascii="Poppins" w:hAnsi="Poppins" w:cs="Poppins"/>
          <w:bCs/>
          <w:sz w:val="18"/>
          <w:szCs w:val="18"/>
        </w:rPr>
        <w:t>20</w:t>
      </w:r>
      <w:r w:rsidR="005151B0">
        <w:rPr>
          <w:rFonts w:ascii="Poppins" w:hAnsi="Poppins" w:cs="Poppins"/>
          <w:bCs/>
          <w:sz w:val="18"/>
          <w:szCs w:val="18"/>
        </w:rPr>
        <w:t>.0</w:t>
      </w:r>
      <w:r w:rsidR="009E527C">
        <w:rPr>
          <w:rFonts w:ascii="Poppins" w:hAnsi="Poppins" w:cs="Poppins"/>
          <w:bCs/>
          <w:sz w:val="18"/>
          <w:szCs w:val="18"/>
        </w:rPr>
        <w:t>3</w:t>
      </w:r>
      <w:r w:rsidRPr="00ED72E4">
        <w:rPr>
          <w:rFonts w:ascii="Poppins" w:hAnsi="Poppins" w:cs="Poppins"/>
          <w:bCs/>
          <w:sz w:val="18"/>
          <w:szCs w:val="18"/>
        </w:rPr>
        <w:t>.202</w:t>
      </w:r>
      <w:r w:rsidR="005151B0">
        <w:rPr>
          <w:rFonts w:ascii="Poppins" w:hAnsi="Poppins" w:cs="Poppins"/>
          <w:bCs/>
          <w:sz w:val="18"/>
          <w:szCs w:val="18"/>
        </w:rPr>
        <w:t>6</w:t>
      </w:r>
      <w:r w:rsidRPr="00ED72E4">
        <w:rPr>
          <w:rFonts w:ascii="Poppins" w:hAnsi="Poppins" w:cs="Poppins"/>
          <w:bCs/>
          <w:sz w:val="18"/>
          <w:szCs w:val="18"/>
        </w:rPr>
        <w:t xml:space="preserve">, los principales factores que incidieron en la variación de los precios del petróleo crudo y </w:t>
      </w:r>
      <w:r w:rsidR="00073C34" w:rsidRPr="00ED72E4">
        <w:rPr>
          <w:rFonts w:ascii="Poppins" w:hAnsi="Poppins" w:cs="Poppins"/>
          <w:bCs/>
          <w:sz w:val="18"/>
          <w:szCs w:val="18"/>
        </w:rPr>
        <w:t>c</w:t>
      </w:r>
      <w:r w:rsidRPr="00ED72E4">
        <w:rPr>
          <w:rFonts w:ascii="Poppins" w:hAnsi="Poppins" w:cs="Poppins"/>
          <w:bCs/>
          <w:sz w:val="18"/>
          <w:szCs w:val="18"/>
        </w:rPr>
        <w:t>ombustibles fueron los siguientes:</w:t>
      </w:r>
    </w:p>
    <w:p w14:paraId="61532FA6" w14:textId="77777777" w:rsidR="00204D69" w:rsidRPr="00592F97" w:rsidRDefault="00204D69" w:rsidP="00204D69">
      <w:pPr>
        <w:jc w:val="both"/>
        <w:rPr>
          <w:rFonts w:ascii="Poppins" w:hAnsi="Poppins" w:cs="Poppins"/>
          <w:sz w:val="18"/>
          <w:szCs w:val="18"/>
        </w:rPr>
      </w:pPr>
    </w:p>
    <w:p w14:paraId="1CEF6EFD" w14:textId="77777777" w:rsidR="00C85B7F" w:rsidRPr="00E63B29" w:rsidRDefault="00C85B7F" w:rsidP="00C85B7F">
      <w:pPr>
        <w:pStyle w:val="Prrafodelista"/>
        <w:numPr>
          <w:ilvl w:val="0"/>
          <w:numId w:val="30"/>
        </w:numPr>
        <w:ind w:left="425"/>
        <w:contextualSpacing/>
        <w:jc w:val="both"/>
        <w:rPr>
          <w:rFonts w:ascii="Poppins" w:hAnsi="Poppins" w:cs="Poppins"/>
          <w:b/>
          <w:sz w:val="18"/>
          <w:szCs w:val="18"/>
        </w:rPr>
      </w:pPr>
      <w:r w:rsidRPr="00E63B29">
        <w:rPr>
          <w:rFonts w:ascii="Poppins" w:hAnsi="Poppins" w:cs="Poppins"/>
          <w:b/>
          <w:sz w:val="18"/>
          <w:szCs w:val="18"/>
        </w:rPr>
        <w:t xml:space="preserve">El incremento de los inventarios de </w:t>
      </w:r>
      <w:r>
        <w:rPr>
          <w:rFonts w:ascii="Poppins" w:hAnsi="Poppins" w:cs="Poppins"/>
          <w:b/>
          <w:sz w:val="18"/>
          <w:szCs w:val="18"/>
        </w:rPr>
        <w:t xml:space="preserve">crudo y propano, </w:t>
      </w:r>
      <w:r w:rsidRPr="00E63B29">
        <w:rPr>
          <w:rFonts w:ascii="Poppins" w:hAnsi="Poppins" w:cs="Poppins"/>
          <w:b/>
          <w:sz w:val="18"/>
          <w:szCs w:val="18"/>
        </w:rPr>
        <w:t xml:space="preserve">así como el descenso de las existencias de </w:t>
      </w:r>
      <w:r>
        <w:rPr>
          <w:rFonts w:ascii="Poppins" w:hAnsi="Poppins" w:cs="Poppins"/>
          <w:b/>
          <w:sz w:val="18"/>
          <w:szCs w:val="18"/>
        </w:rPr>
        <w:t>gasolinas y destilado medio</w:t>
      </w:r>
      <w:r w:rsidRPr="00E63B29">
        <w:rPr>
          <w:rFonts w:ascii="Poppins" w:hAnsi="Poppins" w:cs="Poppins"/>
          <w:b/>
          <w:sz w:val="18"/>
          <w:szCs w:val="18"/>
        </w:rPr>
        <w:t xml:space="preserve">, al </w:t>
      </w:r>
      <w:r>
        <w:rPr>
          <w:rFonts w:ascii="Poppins" w:hAnsi="Poppins" w:cs="Poppins"/>
          <w:b/>
          <w:sz w:val="18"/>
          <w:szCs w:val="18"/>
        </w:rPr>
        <w:t xml:space="preserve">13 </w:t>
      </w:r>
      <w:r w:rsidRPr="00E63B29">
        <w:rPr>
          <w:rFonts w:ascii="Poppins" w:hAnsi="Poppins" w:cs="Poppins"/>
          <w:b/>
          <w:sz w:val="18"/>
          <w:szCs w:val="18"/>
        </w:rPr>
        <w:t xml:space="preserve">de </w:t>
      </w:r>
      <w:r>
        <w:rPr>
          <w:rFonts w:ascii="Poppins" w:hAnsi="Poppins" w:cs="Poppins"/>
          <w:b/>
          <w:sz w:val="18"/>
          <w:szCs w:val="18"/>
        </w:rPr>
        <w:t>marzo</w:t>
      </w:r>
      <w:r w:rsidRPr="00E63B29">
        <w:rPr>
          <w:rFonts w:ascii="Poppins" w:hAnsi="Poppins" w:cs="Poppins"/>
          <w:b/>
          <w:sz w:val="18"/>
          <w:szCs w:val="18"/>
        </w:rPr>
        <w:t xml:space="preserve"> del 2026</w:t>
      </w:r>
    </w:p>
    <w:p w14:paraId="28819530" w14:textId="77777777" w:rsidR="00C85B7F" w:rsidRPr="00E63B29" w:rsidRDefault="00C85B7F" w:rsidP="00C85B7F">
      <w:pPr>
        <w:shd w:val="clear" w:color="auto" w:fill="FFFFFF"/>
        <w:ind w:left="425"/>
        <w:jc w:val="both"/>
        <w:rPr>
          <w:rFonts w:ascii="Poppins" w:hAnsi="Poppins" w:cs="Poppins"/>
          <w:sz w:val="18"/>
          <w:szCs w:val="18"/>
        </w:rPr>
      </w:pPr>
    </w:p>
    <w:p w14:paraId="0E450B89" w14:textId="77777777" w:rsidR="00C85B7F" w:rsidRPr="00E63B29" w:rsidRDefault="00C85B7F" w:rsidP="00C85B7F">
      <w:pPr>
        <w:shd w:val="clear" w:color="auto" w:fill="FFFFFF"/>
        <w:ind w:left="425"/>
        <w:jc w:val="both"/>
        <w:rPr>
          <w:rFonts w:ascii="Poppins" w:hAnsi="Poppins" w:cs="Poppins"/>
          <w:sz w:val="18"/>
          <w:szCs w:val="18"/>
        </w:rPr>
      </w:pPr>
      <w:r w:rsidRPr="00E63B29">
        <w:rPr>
          <w:rFonts w:ascii="Poppins" w:hAnsi="Poppins" w:cs="Poppins"/>
          <w:sz w:val="18"/>
          <w:szCs w:val="18"/>
        </w:rPr>
        <w:t xml:space="preserve">Los inventarios de petróleo de Estados Unidos se </w:t>
      </w:r>
      <w:r>
        <w:rPr>
          <w:rFonts w:ascii="Poppins" w:hAnsi="Poppins" w:cs="Poppins"/>
          <w:sz w:val="18"/>
          <w:szCs w:val="18"/>
        </w:rPr>
        <w:t>incrementaron</w:t>
      </w:r>
      <w:r w:rsidRPr="00E63B29">
        <w:rPr>
          <w:rFonts w:ascii="Poppins" w:hAnsi="Poppins" w:cs="Poppins"/>
          <w:sz w:val="18"/>
          <w:szCs w:val="18"/>
        </w:rPr>
        <w:t xml:space="preserve"> en</w:t>
      </w:r>
      <w:r>
        <w:rPr>
          <w:rFonts w:ascii="Poppins" w:hAnsi="Poppins" w:cs="Poppins"/>
          <w:sz w:val="18"/>
          <w:szCs w:val="18"/>
        </w:rPr>
        <w:t xml:space="preserve"> 6,2</w:t>
      </w:r>
      <w:r w:rsidRPr="00E63B29">
        <w:rPr>
          <w:rFonts w:ascii="Poppins" w:hAnsi="Poppins" w:cs="Poppins"/>
          <w:sz w:val="18"/>
          <w:szCs w:val="18"/>
        </w:rPr>
        <w:t xml:space="preserve"> millones de barriles alcanzando los 4</w:t>
      </w:r>
      <w:r>
        <w:rPr>
          <w:rFonts w:ascii="Poppins" w:hAnsi="Poppins" w:cs="Poppins"/>
          <w:sz w:val="18"/>
          <w:szCs w:val="18"/>
        </w:rPr>
        <w:t>49</w:t>
      </w:r>
      <w:r w:rsidRPr="00E63B29">
        <w:rPr>
          <w:rFonts w:ascii="Poppins" w:hAnsi="Poppins" w:cs="Poppins"/>
          <w:sz w:val="18"/>
          <w:szCs w:val="18"/>
        </w:rPr>
        <w:t>,</w:t>
      </w:r>
      <w:r>
        <w:rPr>
          <w:rFonts w:ascii="Poppins" w:hAnsi="Poppins" w:cs="Poppins"/>
          <w:sz w:val="18"/>
          <w:szCs w:val="18"/>
        </w:rPr>
        <w:t>3</w:t>
      </w:r>
      <w:r w:rsidRPr="00E63B29">
        <w:rPr>
          <w:rFonts w:ascii="Poppins" w:hAnsi="Poppins" w:cs="Poppins"/>
          <w:sz w:val="18"/>
          <w:szCs w:val="18"/>
        </w:rPr>
        <w:t xml:space="preserve"> millones de barriles, ubicándose en un -</w:t>
      </w:r>
      <w:r>
        <w:rPr>
          <w:rFonts w:ascii="Poppins" w:hAnsi="Poppins" w:cs="Poppins"/>
          <w:sz w:val="18"/>
          <w:szCs w:val="18"/>
        </w:rPr>
        <w:t>1</w:t>
      </w:r>
      <w:r w:rsidRPr="00E63B29">
        <w:rPr>
          <w:rFonts w:ascii="Poppins" w:hAnsi="Poppins" w:cs="Poppins"/>
          <w:sz w:val="18"/>
          <w:szCs w:val="18"/>
        </w:rPr>
        <w:t>% por debajo de la media de los últimos 5 años, para esta época del año</w:t>
      </w:r>
      <w:r>
        <w:rPr>
          <w:rFonts w:ascii="Poppins" w:hAnsi="Poppins" w:cs="Poppins"/>
          <w:sz w:val="18"/>
          <w:szCs w:val="18"/>
        </w:rPr>
        <w:t>.</w:t>
      </w:r>
    </w:p>
    <w:p w14:paraId="09D849FC" w14:textId="77777777" w:rsidR="00C85B7F" w:rsidRPr="00E63B29" w:rsidRDefault="00C85B7F" w:rsidP="00C85B7F">
      <w:pPr>
        <w:shd w:val="clear" w:color="auto" w:fill="FFFFFF"/>
        <w:ind w:left="425"/>
        <w:jc w:val="both"/>
        <w:rPr>
          <w:rFonts w:ascii="Poppins" w:hAnsi="Poppins" w:cs="Poppins"/>
          <w:sz w:val="18"/>
          <w:szCs w:val="18"/>
        </w:rPr>
      </w:pPr>
    </w:p>
    <w:p w14:paraId="499AF966" w14:textId="77777777" w:rsidR="00C85B7F" w:rsidRPr="00E63B29" w:rsidRDefault="00C85B7F" w:rsidP="00C85B7F">
      <w:pPr>
        <w:shd w:val="clear" w:color="auto" w:fill="FFFFFF"/>
        <w:ind w:left="425"/>
        <w:jc w:val="both"/>
        <w:rPr>
          <w:rFonts w:ascii="Poppins" w:hAnsi="Poppins" w:cs="Poppins"/>
          <w:sz w:val="18"/>
          <w:szCs w:val="18"/>
        </w:rPr>
      </w:pPr>
      <w:r w:rsidRPr="00E63B29">
        <w:rPr>
          <w:rFonts w:ascii="Poppins" w:hAnsi="Poppins" w:cs="Poppins"/>
          <w:sz w:val="18"/>
          <w:szCs w:val="18"/>
        </w:rPr>
        <w:t xml:space="preserve">Por su parte, las existencias de gasolinas </w:t>
      </w:r>
      <w:r>
        <w:rPr>
          <w:rFonts w:ascii="Poppins" w:hAnsi="Poppins" w:cs="Poppins"/>
          <w:sz w:val="18"/>
          <w:szCs w:val="18"/>
        </w:rPr>
        <w:t>disminuyeron</w:t>
      </w:r>
      <w:r w:rsidRPr="00E63B29">
        <w:rPr>
          <w:rFonts w:ascii="Poppins" w:hAnsi="Poppins" w:cs="Poppins"/>
          <w:sz w:val="18"/>
          <w:szCs w:val="18"/>
        </w:rPr>
        <w:t xml:space="preserve"> en</w:t>
      </w:r>
      <w:r>
        <w:rPr>
          <w:rFonts w:ascii="Poppins" w:hAnsi="Poppins" w:cs="Poppins"/>
          <w:sz w:val="18"/>
          <w:szCs w:val="18"/>
        </w:rPr>
        <w:t xml:space="preserve"> 5,4</w:t>
      </w:r>
      <w:r w:rsidRPr="00E63B29">
        <w:rPr>
          <w:rFonts w:ascii="Poppins" w:hAnsi="Poppins" w:cs="Poppins"/>
          <w:sz w:val="18"/>
          <w:szCs w:val="18"/>
        </w:rPr>
        <w:t xml:space="preserve"> millones de barriles, reportando un total de 2</w:t>
      </w:r>
      <w:r>
        <w:rPr>
          <w:rFonts w:ascii="Poppins" w:hAnsi="Poppins" w:cs="Poppins"/>
          <w:sz w:val="18"/>
          <w:szCs w:val="18"/>
        </w:rPr>
        <w:t>44</w:t>
      </w:r>
      <w:r w:rsidRPr="00E63B29">
        <w:rPr>
          <w:rFonts w:ascii="Poppins" w:hAnsi="Poppins" w:cs="Poppins"/>
          <w:sz w:val="18"/>
          <w:szCs w:val="18"/>
        </w:rPr>
        <w:t>,</w:t>
      </w:r>
      <w:r>
        <w:rPr>
          <w:rFonts w:ascii="Poppins" w:hAnsi="Poppins" w:cs="Poppins"/>
          <w:sz w:val="18"/>
          <w:szCs w:val="18"/>
        </w:rPr>
        <w:t>0</w:t>
      </w:r>
      <w:r w:rsidRPr="00E63B29">
        <w:rPr>
          <w:rFonts w:ascii="Poppins" w:hAnsi="Poppins" w:cs="Poppins"/>
          <w:sz w:val="18"/>
          <w:szCs w:val="18"/>
        </w:rPr>
        <w:t xml:space="preserve"> millones de barriles. Asimismo, los inventarios de destilados, que incluyen al diésel y al combustible para calefacción</w:t>
      </w:r>
      <w:r>
        <w:rPr>
          <w:rFonts w:ascii="Poppins" w:hAnsi="Poppins" w:cs="Poppins"/>
          <w:sz w:val="18"/>
          <w:szCs w:val="18"/>
        </w:rPr>
        <w:t xml:space="preserve"> se redujeron</w:t>
      </w:r>
      <w:r w:rsidRPr="00E63B29">
        <w:rPr>
          <w:rFonts w:ascii="Poppins" w:hAnsi="Poppins" w:cs="Poppins"/>
          <w:sz w:val="18"/>
          <w:szCs w:val="18"/>
        </w:rPr>
        <w:t xml:space="preserve"> en</w:t>
      </w:r>
      <w:r>
        <w:rPr>
          <w:rFonts w:ascii="Poppins" w:hAnsi="Poppins" w:cs="Poppins"/>
          <w:sz w:val="18"/>
          <w:szCs w:val="18"/>
        </w:rPr>
        <w:t xml:space="preserve"> 2,5</w:t>
      </w:r>
      <w:r w:rsidRPr="00E63B29">
        <w:rPr>
          <w:rFonts w:ascii="Poppins" w:hAnsi="Poppins" w:cs="Poppins"/>
          <w:sz w:val="18"/>
          <w:szCs w:val="18"/>
        </w:rPr>
        <w:t xml:space="preserve"> millones de barriles, ubicándose en 1</w:t>
      </w:r>
      <w:r>
        <w:rPr>
          <w:rFonts w:ascii="Poppins" w:hAnsi="Poppins" w:cs="Poppins"/>
          <w:sz w:val="18"/>
          <w:szCs w:val="18"/>
        </w:rPr>
        <w:t>16</w:t>
      </w:r>
      <w:r w:rsidRPr="00E63B29">
        <w:rPr>
          <w:rFonts w:ascii="Poppins" w:hAnsi="Poppins" w:cs="Poppins"/>
          <w:sz w:val="18"/>
          <w:szCs w:val="18"/>
        </w:rPr>
        <w:t>,</w:t>
      </w:r>
      <w:r>
        <w:rPr>
          <w:rFonts w:ascii="Poppins" w:hAnsi="Poppins" w:cs="Poppins"/>
          <w:sz w:val="18"/>
          <w:szCs w:val="18"/>
        </w:rPr>
        <w:t>9</w:t>
      </w:r>
      <w:r w:rsidRPr="00E63B29">
        <w:rPr>
          <w:rFonts w:ascii="Poppins" w:hAnsi="Poppins" w:cs="Poppins"/>
          <w:sz w:val="18"/>
          <w:szCs w:val="18"/>
        </w:rPr>
        <w:t xml:space="preserve"> millones de barriles</w:t>
      </w:r>
      <w:r>
        <w:rPr>
          <w:rFonts w:ascii="Poppins" w:hAnsi="Poppins" w:cs="Poppins"/>
          <w:sz w:val="18"/>
          <w:szCs w:val="18"/>
        </w:rPr>
        <w:t>.</w:t>
      </w:r>
    </w:p>
    <w:p w14:paraId="595EA860" w14:textId="77777777" w:rsidR="00C85B7F" w:rsidRPr="00E63B29" w:rsidRDefault="00C85B7F" w:rsidP="00C85B7F">
      <w:pPr>
        <w:shd w:val="clear" w:color="auto" w:fill="FFFFFF"/>
        <w:ind w:left="425"/>
        <w:jc w:val="both"/>
        <w:rPr>
          <w:rFonts w:ascii="Poppins" w:hAnsi="Poppins" w:cs="Poppins"/>
          <w:sz w:val="18"/>
          <w:szCs w:val="18"/>
        </w:rPr>
      </w:pPr>
    </w:p>
    <w:p w14:paraId="1F6E616A" w14:textId="77777777" w:rsidR="00C85B7F" w:rsidRPr="00E47B86" w:rsidRDefault="00C85B7F" w:rsidP="00C85B7F">
      <w:pPr>
        <w:shd w:val="clear" w:color="auto" w:fill="FFFFFF"/>
        <w:ind w:left="425"/>
        <w:jc w:val="both"/>
        <w:rPr>
          <w:rFonts w:ascii="Poppins" w:hAnsi="Poppins" w:cs="Poppins"/>
          <w:sz w:val="18"/>
          <w:szCs w:val="18"/>
        </w:rPr>
      </w:pPr>
      <w:r w:rsidRPr="00E63B29">
        <w:rPr>
          <w:rFonts w:ascii="Poppins" w:hAnsi="Poppins" w:cs="Poppins"/>
          <w:sz w:val="18"/>
          <w:szCs w:val="18"/>
        </w:rPr>
        <w:t xml:space="preserve">Finalmente, las existencias de propano </w:t>
      </w:r>
      <w:r>
        <w:rPr>
          <w:rFonts w:ascii="Poppins" w:hAnsi="Poppins" w:cs="Poppins"/>
          <w:sz w:val="18"/>
          <w:szCs w:val="18"/>
        </w:rPr>
        <w:t>aumentaron</w:t>
      </w:r>
      <w:r w:rsidRPr="00E63B29">
        <w:rPr>
          <w:rFonts w:ascii="Poppins" w:hAnsi="Poppins" w:cs="Poppins"/>
          <w:sz w:val="18"/>
          <w:szCs w:val="18"/>
        </w:rPr>
        <w:t xml:space="preserve"> en</w:t>
      </w:r>
      <w:r>
        <w:rPr>
          <w:rFonts w:ascii="Poppins" w:hAnsi="Poppins" w:cs="Poppins"/>
          <w:sz w:val="18"/>
          <w:szCs w:val="18"/>
        </w:rPr>
        <w:t xml:space="preserve"> 0,81 </w:t>
      </w:r>
      <w:r w:rsidRPr="00E63B29">
        <w:rPr>
          <w:rFonts w:ascii="Poppins" w:hAnsi="Poppins" w:cs="Poppins"/>
          <w:sz w:val="18"/>
          <w:szCs w:val="18"/>
        </w:rPr>
        <w:t xml:space="preserve">millones de barriles, registrando </w:t>
      </w:r>
      <w:r w:rsidRPr="00E47B86">
        <w:rPr>
          <w:rFonts w:ascii="Poppins" w:hAnsi="Poppins" w:cs="Poppins"/>
          <w:sz w:val="18"/>
          <w:szCs w:val="18"/>
        </w:rPr>
        <w:t>un nivel de 72,49 millones de barriles.</w:t>
      </w:r>
    </w:p>
    <w:p w14:paraId="689BE09E" w14:textId="6EAA8A40" w:rsidR="00C85B7F" w:rsidRDefault="00C85B7F" w:rsidP="00C85B7F">
      <w:pPr>
        <w:jc w:val="both"/>
        <w:rPr>
          <w:rFonts w:ascii="Poppins" w:hAnsi="Poppins" w:cs="Poppins"/>
          <w:b/>
          <w:sz w:val="18"/>
          <w:szCs w:val="18"/>
        </w:rPr>
      </w:pPr>
    </w:p>
    <w:p w14:paraId="1F869BC8" w14:textId="0A131C1B" w:rsidR="00C85B7F" w:rsidRDefault="00C85B7F" w:rsidP="00C85B7F">
      <w:pPr>
        <w:jc w:val="both"/>
        <w:rPr>
          <w:rFonts w:ascii="Poppins" w:hAnsi="Poppins" w:cs="Poppins"/>
          <w:b/>
          <w:sz w:val="18"/>
          <w:szCs w:val="18"/>
        </w:rPr>
      </w:pPr>
    </w:p>
    <w:p w14:paraId="1A29E01F" w14:textId="5387D476" w:rsidR="00C85B7F" w:rsidRDefault="00C85B7F" w:rsidP="00C85B7F">
      <w:pPr>
        <w:jc w:val="both"/>
        <w:rPr>
          <w:rFonts w:ascii="Poppins" w:hAnsi="Poppins" w:cs="Poppins"/>
          <w:b/>
          <w:sz w:val="18"/>
          <w:szCs w:val="18"/>
        </w:rPr>
      </w:pPr>
    </w:p>
    <w:p w14:paraId="1CEE8C7C" w14:textId="77777777" w:rsidR="00C85B7F" w:rsidRPr="00E47B86" w:rsidRDefault="00C85B7F" w:rsidP="00C85B7F">
      <w:pPr>
        <w:jc w:val="both"/>
        <w:rPr>
          <w:rFonts w:ascii="Poppins" w:hAnsi="Poppins" w:cs="Poppins"/>
          <w:b/>
          <w:sz w:val="18"/>
          <w:szCs w:val="18"/>
        </w:rPr>
      </w:pPr>
    </w:p>
    <w:p w14:paraId="3F0507AF" w14:textId="77777777" w:rsidR="00C85B7F" w:rsidRPr="00E47B86" w:rsidRDefault="00C85B7F" w:rsidP="00C85B7F">
      <w:pPr>
        <w:pStyle w:val="Prrafodelista"/>
        <w:numPr>
          <w:ilvl w:val="0"/>
          <w:numId w:val="30"/>
        </w:numPr>
        <w:ind w:left="425"/>
        <w:contextualSpacing/>
        <w:jc w:val="both"/>
        <w:rPr>
          <w:rFonts w:ascii="Poppins" w:hAnsi="Poppins" w:cs="Poppins"/>
          <w:b/>
          <w:sz w:val="18"/>
          <w:szCs w:val="18"/>
        </w:rPr>
      </w:pPr>
      <w:r w:rsidRPr="00E47B86">
        <w:rPr>
          <w:rFonts w:ascii="Poppins" w:hAnsi="Poppins" w:cs="Poppins"/>
          <w:b/>
          <w:sz w:val="18"/>
          <w:szCs w:val="18"/>
        </w:rPr>
        <w:lastRenderedPageBreak/>
        <w:t>EE.UU. e Irán pasaron del diálogo estancado a una confrontación abierta, mientras la crisis regional escaló y golpeó de lleno la logística energética</w:t>
      </w:r>
    </w:p>
    <w:p w14:paraId="3F0488D6" w14:textId="77777777" w:rsidR="00C85B7F" w:rsidRPr="00E47B86" w:rsidRDefault="00C85B7F" w:rsidP="00C85B7F">
      <w:pPr>
        <w:jc w:val="both"/>
        <w:rPr>
          <w:rFonts w:ascii="Poppins" w:hAnsi="Poppins" w:cs="Poppins"/>
          <w:b/>
          <w:sz w:val="18"/>
          <w:szCs w:val="18"/>
        </w:rPr>
      </w:pPr>
    </w:p>
    <w:p w14:paraId="2C023F6D" w14:textId="77777777" w:rsidR="00C85B7F" w:rsidRPr="00E47B86" w:rsidRDefault="00C85B7F" w:rsidP="00C85B7F">
      <w:pPr>
        <w:shd w:val="clear" w:color="auto" w:fill="FFFFFF"/>
        <w:ind w:left="425"/>
        <w:jc w:val="both"/>
        <w:rPr>
          <w:rFonts w:ascii="Poppins" w:hAnsi="Poppins" w:cs="Poppins"/>
          <w:sz w:val="18"/>
          <w:szCs w:val="18"/>
        </w:rPr>
      </w:pPr>
      <w:r w:rsidRPr="00E47B86">
        <w:rPr>
          <w:rFonts w:ascii="Poppins" w:hAnsi="Poppins" w:cs="Poppins"/>
          <w:sz w:val="18"/>
          <w:szCs w:val="18"/>
        </w:rPr>
        <w:t xml:space="preserve">Durante las últimas semanas, el frente diplomático quedó claramente subordinado a la dinámica militar y conflicto abierto. Tras los contactos nucleares indirectos de Ginebra del 26 y 27 de febrero, que no produjeron avances, la ofensiva conjunta de EE.UU. e Israel iniciada el 28 de febrero rompió el frágil equilibrio previo y abrió una fase de confrontación abierta. En los días siguientes, Irán endureció su postura, el nuevo líder supremo Mojtaba Khamenei respaldó el cierre de Ormuz y Donald Trump elevó la presión con amenazas cada vez más directas, hasta pasar del lenguaje de advertencia a exigencias de </w:t>
      </w:r>
      <w:r w:rsidRPr="00E47B86">
        <w:rPr>
          <w:rFonts w:ascii="Poppins" w:hAnsi="Poppins" w:cs="Poppins"/>
          <w:i/>
          <w:iCs/>
          <w:sz w:val="18"/>
          <w:szCs w:val="18"/>
        </w:rPr>
        <w:t>“rendición incondicional”</w:t>
      </w:r>
      <w:r w:rsidRPr="00E47B86">
        <w:rPr>
          <w:rFonts w:ascii="Poppins" w:hAnsi="Poppins" w:cs="Poppins"/>
          <w:sz w:val="18"/>
          <w:szCs w:val="18"/>
        </w:rPr>
        <w:t>.</w:t>
      </w:r>
    </w:p>
    <w:p w14:paraId="6D480F96" w14:textId="77777777" w:rsidR="00C85B7F" w:rsidRPr="00E47B86" w:rsidRDefault="00C85B7F" w:rsidP="00C85B7F">
      <w:pPr>
        <w:shd w:val="clear" w:color="auto" w:fill="FFFFFF"/>
        <w:ind w:left="425"/>
        <w:jc w:val="both"/>
        <w:rPr>
          <w:rFonts w:ascii="Poppins" w:hAnsi="Poppins" w:cs="Poppins"/>
          <w:sz w:val="18"/>
          <w:szCs w:val="18"/>
        </w:rPr>
      </w:pPr>
    </w:p>
    <w:p w14:paraId="008AE947" w14:textId="77777777" w:rsidR="00C85B7F" w:rsidRPr="00E47B86" w:rsidRDefault="00C85B7F" w:rsidP="00C85B7F">
      <w:pPr>
        <w:shd w:val="clear" w:color="auto" w:fill="FFFFFF"/>
        <w:ind w:left="425"/>
        <w:jc w:val="both"/>
        <w:rPr>
          <w:rFonts w:ascii="Poppins" w:hAnsi="Poppins" w:cs="Poppins"/>
          <w:sz w:val="18"/>
          <w:szCs w:val="18"/>
        </w:rPr>
      </w:pPr>
      <w:r w:rsidRPr="00E47B86">
        <w:rPr>
          <w:rFonts w:ascii="Poppins" w:hAnsi="Poppins" w:cs="Poppins"/>
          <w:sz w:val="18"/>
          <w:szCs w:val="18"/>
        </w:rPr>
        <w:t>La escalada dio un salto importante el 13 de marzo, cuando Trump anunció ataques estadounidenses contra objetivos militares en Kharg, la isla que concentra cerca de 90% de las exportaciones petroleras de Irán. Se reportó que EE.UU. afirmó haber destruido blancos militares en la isla sin golpear directamente la infraestructura petrolera, aunque dejó explícita la amenaza de ampliar los ataques si Irán seguía interfiriendo en el Estrecho de Ormuz. Un día después, CENTCOM (Comando Central de EE.UU.) informó que las fuerzas estadounidenses habían atacado más de 90 objetivos militares en Kharg, manteniendo intactas las instalaciones petroleras. Aun así, la señal estratégica fue contundente, pues mostró que EE.UU. estaba dispuesto a escalar sobre el principal nodo exportador iraní para presionar un cambio en la postura iraní.</w:t>
      </w:r>
    </w:p>
    <w:p w14:paraId="6C23FEF7" w14:textId="77777777" w:rsidR="00C85B7F" w:rsidRPr="00E47B86" w:rsidRDefault="00C85B7F" w:rsidP="00C85B7F">
      <w:pPr>
        <w:shd w:val="clear" w:color="auto" w:fill="FFFFFF"/>
        <w:ind w:left="425"/>
        <w:jc w:val="both"/>
        <w:rPr>
          <w:rFonts w:ascii="Poppins" w:hAnsi="Poppins" w:cs="Poppins"/>
          <w:sz w:val="18"/>
          <w:szCs w:val="18"/>
        </w:rPr>
      </w:pPr>
    </w:p>
    <w:p w14:paraId="3BF93016" w14:textId="77777777" w:rsidR="00C85B7F" w:rsidRPr="00E47B86" w:rsidRDefault="00C85B7F" w:rsidP="00C85B7F">
      <w:pPr>
        <w:shd w:val="clear" w:color="auto" w:fill="FFFFFF"/>
        <w:ind w:left="425"/>
        <w:jc w:val="both"/>
        <w:rPr>
          <w:rFonts w:ascii="Poppins" w:hAnsi="Poppins" w:cs="Poppins"/>
          <w:sz w:val="18"/>
          <w:szCs w:val="18"/>
        </w:rPr>
      </w:pPr>
      <w:r w:rsidRPr="00E47B86">
        <w:rPr>
          <w:rFonts w:ascii="Poppins" w:hAnsi="Poppins" w:cs="Poppins"/>
          <w:sz w:val="18"/>
          <w:szCs w:val="18"/>
        </w:rPr>
        <w:t xml:space="preserve">En la tercera semana de marzo, la confrontación se volvió todavía más volátil. La campaña de EE.UU. e Israel contra Irán siguió golpeando objetivos estratégicos, mientras Trump evaluaba incluso la posibilidad de ocupar o bloquear la isla de Kharg para forzar la reapertura del estrecho de Ormuz. En respuesta, Irán endureció sus advertencias y dejó entrever que cualquier escalada adicional sobre su litoral, sus islas o su infraestructura energética podía derivar en un cierre más agresivo del Golfo, incluido el eventual empleo de minas marinas. Así, con corte al 20 de marzo, la crisis ya había pasado a una dinámica de coerción mutua sin una salida diplomática clara. Con posterioridad, Trump anunció una prórroga de cinco días para ataques contra infraestructura energética iraní y habló de contactos </w:t>
      </w:r>
      <w:r w:rsidRPr="00E47B86">
        <w:rPr>
          <w:rFonts w:ascii="Poppins" w:hAnsi="Poppins" w:cs="Poppins"/>
          <w:i/>
          <w:iCs/>
          <w:sz w:val="18"/>
          <w:szCs w:val="18"/>
        </w:rPr>
        <w:t xml:space="preserve">“productivos” </w:t>
      </w:r>
      <w:r w:rsidRPr="00E47B86">
        <w:rPr>
          <w:rFonts w:ascii="Poppins" w:hAnsi="Poppins" w:cs="Poppins"/>
          <w:sz w:val="18"/>
          <w:szCs w:val="18"/>
        </w:rPr>
        <w:t>con Teherán, aunque Irán negó negociaciones formales.</w:t>
      </w:r>
    </w:p>
    <w:p w14:paraId="61B67FA7" w14:textId="77777777" w:rsidR="00C85B7F" w:rsidRPr="00E47B86" w:rsidRDefault="00C85B7F" w:rsidP="00C85B7F">
      <w:pPr>
        <w:shd w:val="clear" w:color="auto" w:fill="FFFFFF"/>
        <w:ind w:left="425"/>
        <w:jc w:val="both"/>
        <w:rPr>
          <w:rFonts w:ascii="Poppins" w:hAnsi="Poppins" w:cs="Poppins"/>
          <w:sz w:val="18"/>
          <w:szCs w:val="18"/>
        </w:rPr>
      </w:pPr>
    </w:p>
    <w:p w14:paraId="314C0455" w14:textId="77777777" w:rsidR="00C85B7F" w:rsidRPr="00E47B86" w:rsidRDefault="00C85B7F" w:rsidP="00C85B7F">
      <w:pPr>
        <w:shd w:val="clear" w:color="auto" w:fill="FFFFFF"/>
        <w:ind w:left="425"/>
        <w:jc w:val="both"/>
        <w:rPr>
          <w:rFonts w:ascii="Poppins" w:hAnsi="Poppins" w:cs="Poppins"/>
          <w:sz w:val="18"/>
          <w:szCs w:val="18"/>
        </w:rPr>
      </w:pPr>
      <w:r w:rsidRPr="00E47B86">
        <w:rPr>
          <w:rFonts w:ascii="Poppins" w:hAnsi="Poppins" w:cs="Poppins"/>
          <w:sz w:val="18"/>
          <w:szCs w:val="18"/>
        </w:rPr>
        <w:t>El impacto operativo sobre la logística energética ha sido severo y medible. Reuters reportó que, desde el inicio del conflicto, al menos 22 buques civiles habían sido atacados; a comienzos de marzo, unos 150 buques permanecían fondeados (anclados en espera) dentro del Golfo Pérsico y otros 100 seguían detenidos fuera de Ormuz, mientras el tránsito total llegó a desplomarse alrededor de 95% frente al período previo. Además, cerca de 20% del petróleo y GNL mundial quedó afectado por la disrupción de este corredor, y la amenaza de minado elevó aún más el costo y la complejidad de reabrirlo.</w:t>
      </w:r>
    </w:p>
    <w:p w14:paraId="4C4F027A" w14:textId="77777777" w:rsidR="00C85B7F" w:rsidRPr="00E47B86" w:rsidRDefault="00C85B7F" w:rsidP="00C85B7F">
      <w:pPr>
        <w:shd w:val="clear" w:color="auto" w:fill="FFFFFF"/>
        <w:ind w:left="425"/>
        <w:jc w:val="both"/>
        <w:rPr>
          <w:rFonts w:ascii="Poppins" w:hAnsi="Poppins" w:cs="Poppins"/>
          <w:sz w:val="18"/>
          <w:szCs w:val="18"/>
        </w:rPr>
      </w:pPr>
    </w:p>
    <w:p w14:paraId="0E1ED4BF" w14:textId="06902DD1" w:rsidR="00C85B7F" w:rsidRDefault="00C85B7F" w:rsidP="00C85B7F">
      <w:pPr>
        <w:shd w:val="clear" w:color="auto" w:fill="FFFFFF"/>
        <w:ind w:left="425"/>
        <w:jc w:val="both"/>
        <w:rPr>
          <w:rFonts w:ascii="Poppins" w:hAnsi="Poppins" w:cs="Poppins"/>
          <w:sz w:val="18"/>
          <w:szCs w:val="18"/>
        </w:rPr>
      </w:pPr>
      <w:r w:rsidRPr="00E47B86">
        <w:rPr>
          <w:rFonts w:ascii="Poppins" w:hAnsi="Poppins" w:cs="Poppins"/>
          <w:sz w:val="18"/>
          <w:szCs w:val="18"/>
        </w:rPr>
        <w:t>Los efectos económicos también se profundizaron. Las primas de seguro de guerra, que al inicio del conflicto habían saltado desde alrededor de 0,25% hasta cerca de 3% del valor del buque, siguieron desincentivando la navegación comercial, y que incluso los anuncios de pausa táctica de Trump solo lograron aliviar temporalmente al mercado.</w:t>
      </w:r>
    </w:p>
    <w:p w14:paraId="643A6A50" w14:textId="77777777" w:rsidR="00C85B7F" w:rsidRPr="00E47B86" w:rsidRDefault="00C85B7F" w:rsidP="00C85B7F">
      <w:pPr>
        <w:shd w:val="clear" w:color="auto" w:fill="FFFFFF"/>
        <w:ind w:left="425"/>
        <w:jc w:val="both"/>
        <w:rPr>
          <w:rFonts w:ascii="Poppins" w:hAnsi="Poppins" w:cs="Poppins"/>
          <w:sz w:val="18"/>
          <w:szCs w:val="18"/>
        </w:rPr>
      </w:pPr>
    </w:p>
    <w:p w14:paraId="4FD44F5E" w14:textId="77777777" w:rsidR="00C85B7F" w:rsidRPr="00E47B86" w:rsidRDefault="00C85B7F" w:rsidP="00C85B7F">
      <w:pPr>
        <w:shd w:val="clear" w:color="auto" w:fill="FFFFFF"/>
        <w:ind w:left="425"/>
        <w:jc w:val="both"/>
        <w:rPr>
          <w:rFonts w:ascii="Poppins" w:hAnsi="Poppins" w:cs="Poppins"/>
          <w:sz w:val="18"/>
          <w:szCs w:val="18"/>
        </w:rPr>
      </w:pPr>
    </w:p>
    <w:p w14:paraId="1EF5BAE4" w14:textId="77777777" w:rsidR="00C85B7F" w:rsidRPr="00E47B86" w:rsidRDefault="00C85B7F" w:rsidP="00C85B7F">
      <w:pPr>
        <w:pStyle w:val="Prrafodelista"/>
        <w:numPr>
          <w:ilvl w:val="0"/>
          <w:numId w:val="30"/>
        </w:numPr>
        <w:ind w:left="425"/>
        <w:contextualSpacing/>
        <w:jc w:val="both"/>
        <w:rPr>
          <w:rFonts w:ascii="Poppins" w:hAnsi="Poppins" w:cs="Poppins"/>
          <w:b/>
          <w:sz w:val="18"/>
          <w:szCs w:val="18"/>
        </w:rPr>
      </w:pPr>
      <w:r w:rsidRPr="00E47B86">
        <w:rPr>
          <w:rFonts w:ascii="Poppins" w:hAnsi="Poppins" w:cs="Poppins"/>
          <w:b/>
          <w:sz w:val="18"/>
          <w:szCs w:val="18"/>
        </w:rPr>
        <w:lastRenderedPageBreak/>
        <w:t>La crisis del Golfo Pérsico dejó de ser solo logístico y golpeó directamente la oferta de crudo, GNL y refinados en Medio Oriente</w:t>
      </w:r>
    </w:p>
    <w:p w14:paraId="540F8C53" w14:textId="77777777" w:rsidR="00C85B7F" w:rsidRPr="00E47B86" w:rsidRDefault="00C85B7F" w:rsidP="00C85B7F">
      <w:pPr>
        <w:jc w:val="both"/>
        <w:rPr>
          <w:rFonts w:ascii="Poppins" w:hAnsi="Poppins" w:cs="Poppins"/>
          <w:b/>
          <w:sz w:val="18"/>
          <w:szCs w:val="18"/>
        </w:rPr>
      </w:pPr>
    </w:p>
    <w:p w14:paraId="738741A3" w14:textId="77777777" w:rsidR="00C85B7F" w:rsidRPr="00E47B86" w:rsidRDefault="00C85B7F" w:rsidP="00C85B7F">
      <w:pPr>
        <w:shd w:val="clear" w:color="auto" w:fill="FFFFFF"/>
        <w:ind w:left="425"/>
        <w:jc w:val="both"/>
        <w:rPr>
          <w:rFonts w:ascii="Poppins" w:hAnsi="Poppins" w:cs="Poppins"/>
          <w:sz w:val="18"/>
          <w:szCs w:val="18"/>
        </w:rPr>
      </w:pPr>
      <w:r w:rsidRPr="00E47B86">
        <w:rPr>
          <w:rFonts w:ascii="Poppins" w:hAnsi="Poppins" w:cs="Poppins"/>
          <w:sz w:val="18"/>
          <w:szCs w:val="18"/>
        </w:rPr>
        <w:t>La crisis en Medio Oriente dejó de reflejarse únicamente en mayores costos logísticos y primas de riesgo, para convertirse en una pérdida material de oferta. El punto de quiebre llegó el 18 de marzo, cuando Israel atacó South Pars y el hub de Asaluyeh, golpeando el principal sistema gasífero iraní; al día siguiente, Irán respondió contra activos energéticos en Arabia Saudita, Kuwait, Qatar, Emiratos Árabes Unidos y Bahréin. En Catar, los ataques dañaron instalaciones en Ras Laffan y eliminaron alrededor de una sexta parte de su capacidad de GNL, mientras agencias de noticias reportaron que el mercado empezó a valorar una interrupción más prolongada sobre uno de los nodos energéticos más sensibles del mundo.</w:t>
      </w:r>
    </w:p>
    <w:p w14:paraId="26EE033A" w14:textId="77777777" w:rsidR="00C85B7F" w:rsidRPr="00E47B86" w:rsidRDefault="00C85B7F" w:rsidP="00C85B7F">
      <w:pPr>
        <w:shd w:val="clear" w:color="auto" w:fill="FFFFFF"/>
        <w:ind w:left="425"/>
        <w:jc w:val="both"/>
        <w:rPr>
          <w:rFonts w:ascii="Poppins" w:hAnsi="Poppins" w:cs="Poppins"/>
          <w:sz w:val="18"/>
          <w:szCs w:val="18"/>
        </w:rPr>
      </w:pPr>
    </w:p>
    <w:p w14:paraId="13FE8909" w14:textId="2FDC028A" w:rsidR="00C85B7F" w:rsidRDefault="00C85B7F" w:rsidP="00C85B7F">
      <w:pPr>
        <w:shd w:val="clear" w:color="auto" w:fill="FFFFFF"/>
        <w:ind w:left="425"/>
        <w:jc w:val="both"/>
        <w:rPr>
          <w:rFonts w:ascii="Poppins" w:hAnsi="Poppins" w:cs="Poppins"/>
          <w:sz w:val="18"/>
          <w:szCs w:val="18"/>
        </w:rPr>
      </w:pPr>
      <w:r w:rsidRPr="00E47B86">
        <w:rPr>
          <w:rFonts w:ascii="Poppins" w:hAnsi="Poppins" w:cs="Poppins"/>
          <w:sz w:val="18"/>
          <w:szCs w:val="18"/>
        </w:rPr>
        <w:t>El golpe sobre la oferta de crudo también fue severo y ya no respondió solo al cierre de rutas, sino a restricciones operativas reales. Reuters reportó el 19 de marzo que la guerra y las restricciones en Ormuz habían retirado alrededor de 12 millones de bpd del mercado, equivalente a cerca de 12% de la demanda mundial diaria, mientras el crudo Dubái, referencia de la zona, se disparó hasta US$ 166,80 por barril. Un día después, Irak declaró fuerza mayor sobre campos operados por empresas extranjeras, al quedar prácticamente detenidas sus exportaciones y saturada su capacidad de almacenamiento; en el sur iraquí, la producción cayó de 3,3 millones de bpd a cerca de 900 mil bpd, redirigiéndose parte del crudo a refinerías domésticas.</w:t>
      </w:r>
    </w:p>
    <w:p w14:paraId="265A3B88" w14:textId="77777777" w:rsidR="00C85B7F" w:rsidRPr="00E47B86" w:rsidRDefault="00C85B7F" w:rsidP="00C85B7F">
      <w:pPr>
        <w:shd w:val="clear" w:color="auto" w:fill="FFFFFF"/>
        <w:ind w:left="425"/>
        <w:jc w:val="both"/>
        <w:rPr>
          <w:rFonts w:ascii="Poppins" w:hAnsi="Poppins" w:cs="Poppins"/>
          <w:sz w:val="18"/>
          <w:szCs w:val="18"/>
        </w:rPr>
      </w:pPr>
    </w:p>
    <w:p w14:paraId="26DBE441" w14:textId="77777777" w:rsidR="00C85B7F" w:rsidRPr="00E47B86" w:rsidRDefault="00C85B7F" w:rsidP="00C85B7F">
      <w:pPr>
        <w:shd w:val="clear" w:color="auto" w:fill="FFFFFF"/>
        <w:ind w:left="425"/>
        <w:jc w:val="both"/>
        <w:rPr>
          <w:rFonts w:ascii="Poppins" w:hAnsi="Poppins" w:cs="Poppins"/>
          <w:sz w:val="18"/>
          <w:szCs w:val="18"/>
        </w:rPr>
      </w:pPr>
      <w:r w:rsidRPr="00E47B86">
        <w:rPr>
          <w:rFonts w:ascii="Poppins" w:hAnsi="Poppins" w:cs="Poppins"/>
          <w:sz w:val="18"/>
          <w:szCs w:val="18"/>
        </w:rPr>
        <w:t>A la vez, la crisis siguió golpeando refinación, puertos y combustibles en todo el Golfo Pérsico. Agencias de noticias informaron el 19 de marzo que los precios de crudo y refinados tocaron récords, con el jet fuel (aviación) en Europa por encima de US$ 220 por barril, mientras los niveles de refinación en Asia se reducían por falta de insumos y mayores costos logísticos. El 20 de marzo, Reuters añadió que los ataques iraníes alcanzaron refinerías, terminales y complejos gasíferos regionales, incluidos activos en Habshan (Emiratos Árabes Unidos) y Sitra (Baréin), confirmando que el mercado ya no enfrentaba solo una crisis de transporte marítimo, sino una pérdida simultánea de crudo, refinación, GNL y capacidad exportadora en la región.</w:t>
      </w:r>
    </w:p>
    <w:p w14:paraId="5CD05E1D" w14:textId="77777777" w:rsidR="00C85B7F" w:rsidRPr="00E47B86" w:rsidRDefault="00C85B7F" w:rsidP="00C85B7F">
      <w:pPr>
        <w:shd w:val="clear" w:color="auto" w:fill="FFFFFF"/>
        <w:ind w:left="425"/>
        <w:jc w:val="both"/>
        <w:rPr>
          <w:rFonts w:ascii="Poppins" w:hAnsi="Poppins" w:cs="Poppins"/>
          <w:sz w:val="18"/>
          <w:szCs w:val="18"/>
        </w:rPr>
      </w:pPr>
    </w:p>
    <w:p w14:paraId="40B769D5" w14:textId="77777777" w:rsidR="00C85B7F" w:rsidRPr="00E47B86" w:rsidRDefault="00C85B7F" w:rsidP="00C85B7F">
      <w:pPr>
        <w:pStyle w:val="Prrafodelista"/>
        <w:numPr>
          <w:ilvl w:val="0"/>
          <w:numId w:val="30"/>
        </w:numPr>
        <w:ind w:left="425"/>
        <w:contextualSpacing/>
        <w:jc w:val="both"/>
        <w:rPr>
          <w:rFonts w:ascii="Poppins" w:hAnsi="Poppins" w:cs="Poppins"/>
          <w:b/>
          <w:sz w:val="18"/>
          <w:szCs w:val="18"/>
        </w:rPr>
      </w:pPr>
      <w:r w:rsidRPr="00E47B86">
        <w:rPr>
          <w:rFonts w:ascii="Poppins" w:hAnsi="Poppins" w:cs="Poppins"/>
          <w:b/>
          <w:sz w:val="18"/>
          <w:szCs w:val="18"/>
        </w:rPr>
        <w:t>La AIE y EE.UU. activan medidas de alivio para contener el shock petrolero</w:t>
      </w:r>
    </w:p>
    <w:p w14:paraId="5763EE6A" w14:textId="77777777" w:rsidR="00C85B7F" w:rsidRPr="00E47B86" w:rsidRDefault="00C85B7F" w:rsidP="00C85B7F">
      <w:pPr>
        <w:shd w:val="clear" w:color="auto" w:fill="FFFFFF"/>
        <w:ind w:left="425"/>
        <w:jc w:val="both"/>
        <w:rPr>
          <w:rFonts w:ascii="Poppins" w:hAnsi="Poppins" w:cs="Poppins"/>
          <w:sz w:val="18"/>
          <w:szCs w:val="18"/>
        </w:rPr>
      </w:pPr>
    </w:p>
    <w:p w14:paraId="2FBE30C6" w14:textId="77777777" w:rsidR="00C85B7F" w:rsidRPr="00E47B86" w:rsidRDefault="00C85B7F" w:rsidP="00C85B7F">
      <w:pPr>
        <w:shd w:val="clear" w:color="auto" w:fill="FFFFFF"/>
        <w:ind w:left="425"/>
        <w:jc w:val="both"/>
        <w:rPr>
          <w:rFonts w:ascii="Poppins" w:hAnsi="Poppins" w:cs="Poppins"/>
          <w:sz w:val="18"/>
          <w:szCs w:val="18"/>
        </w:rPr>
      </w:pPr>
      <w:r w:rsidRPr="00E47B86">
        <w:rPr>
          <w:rFonts w:ascii="Poppins" w:hAnsi="Poppins" w:cs="Poppins"/>
          <w:sz w:val="18"/>
          <w:szCs w:val="18"/>
        </w:rPr>
        <w:t>Frente a la disrupción provocada por el cierre de Ormuz, los principales consumidores activaron medidas extraordinarias para moderar la escalada del crudo y contener su impacto inflacionario. La AIE (Agencia Internacional de Energía) coordinó la mayor liberación de reservas estratégicas de su historia, con unos 400 millones de barriles, equivalentes a cerca de 20% de sus inventarios, mientras EE.UU. comprometió alrededor de 172 millones y Japón unos 80 millones de barriles. Sin embargo, la agencia Reuters señaló que esa liberación solo cubría cerca de 20 días de la oferta perdida y que su llegada al mercado tomaría semanas o meses.</w:t>
      </w:r>
    </w:p>
    <w:p w14:paraId="2E61F4B9" w14:textId="77777777" w:rsidR="00C85B7F" w:rsidRPr="00E47B86" w:rsidRDefault="00C85B7F" w:rsidP="00C85B7F">
      <w:pPr>
        <w:shd w:val="clear" w:color="auto" w:fill="FFFFFF"/>
        <w:ind w:left="425"/>
        <w:jc w:val="both"/>
        <w:rPr>
          <w:rFonts w:ascii="Poppins" w:hAnsi="Poppins" w:cs="Poppins"/>
          <w:sz w:val="18"/>
          <w:szCs w:val="18"/>
        </w:rPr>
      </w:pPr>
    </w:p>
    <w:p w14:paraId="7EF61A0C" w14:textId="77777777" w:rsidR="00C85B7F" w:rsidRPr="00E47B86" w:rsidRDefault="00C85B7F" w:rsidP="00C85B7F">
      <w:pPr>
        <w:shd w:val="clear" w:color="auto" w:fill="FFFFFF"/>
        <w:ind w:left="425"/>
        <w:jc w:val="both"/>
        <w:rPr>
          <w:rFonts w:ascii="Poppins" w:hAnsi="Poppins" w:cs="Poppins"/>
          <w:sz w:val="18"/>
          <w:szCs w:val="18"/>
        </w:rPr>
      </w:pPr>
      <w:r w:rsidRPr="00E47B86">
        <w:rPr>
          <w:rFonts w:ascii="Poppins" w:hAnsi="Poppins" w:cs="Poppins"/>
          <w:sz w:val="18"/>
          <w:szCs w:val="18"/>
        </w:rPr>
        <w:t xml:space="preserve">A esta respuesta se sumaron medidas adicionales de corto plazo por parte del gobierno estadounidense. Es así que el 18 de marzo, EE.UU. aprobó una exención de 60 días de la Jones Act (Ley de cabotaje de EE.UU.), permitiendo que buques de bandera extranjera transporten combustible y fertilizantes entre puertos estadounidenses, y además flexibilizó </w:t>
      </w:r>
      <w:r w:rsidRPr="00E47B86">
        <w:rPr>
          <w:rFonts w:ascii="Poppins" w:hAnsi="Poppins" w:cs="Poppins"/>
          <w:sz w:val="18"/>
          <w:szCs w:val="18"/>
        </w:rPr>
        <w:lastRenderedPageBreak/>
        <w:t>temporalmente las restricciones sobre la gasolina para aliviar tensiones domésticas de abastecimiento.</w:t>
      </w:r>
    </w:p>
    <w:p w14:paraId="42522B15" w14:textId="77777777" w:rsidR="00C85B7F" w:rsidRPr="00E47B86" w:rsidRDefault="00C85B7F" w:rsidP="00C85B7F">
      <w:pPr>
        <w:shd w:val="clear" w:color="auto" w:fill="FFFFFF"/>
        <w:ind w:left="425"/>
        <w:jc w:val="both"/>
        <w:rPr>
          <w:rFonts w:ascii="Poppins" w:hAnsi="Poppins" w:cs="Poppins"/>
          <w:sz w:val="18"/>
          <w:szCs w:val="18"/>
        </w:rPr>
      </w:pPr>
    </w:p>
    <w:p w14:paraId="654B8DAF" w14:textId="77777777" w:rsidR="00C85B7F" w:rsidRPr="00E47B86" w:rsidRDefault="00C85B7F" w:rsidP="00C85B7F">
      <w:pPr>
        <w:shd w:val="clear" w:color="auto" w:fill="FFFFFF"/>
        <w:ind w:left="425"/>
        <w:jc w:val="both"/>
        <w:rPr>
          <w:rFonts w:ascii="Poppins" w:hAnsi="Poppins" w:cs="Poppins"/>
          <w:sz w:val="18"/>
          <w:szCs w:val="18"/>
        </w:rPr>
      </w:pPr>
      <w:r w:rsidRPr="00E47B86">
        <w:rPr>
          <w:rFonts w:ascii="Poppins" w:hAnsi="Poppins" w:cs="Poppins"/>
          <w:sz w:val="18"/>
          <w:szCs w:val="18"/>
        </w:rPr>
        <w:t>El alivio más reciente llegó el 20 de marzo, cuando la administración Trump suspendió por 30 días las sanciones sobre la compra de petróleo iraní ya cargado en el mar, una decisión que podría facilitar el ingreso de unos 140 millones de barriles al mercado internacional. En conjunto, estas medidas actuaron como un freno bajista parcial, pero sin revertir un mercado todavía dominado por la pérdida física de oferta en Medio Oriente.</w:t>
      </w:r>
    </w:p>
    <w:p w14:paraId="1E87503D" w14:textId="77777777" w:rsidR="00C85B7F" w:rsidRPr="00E47B86" w:rsidRDefault="00C85B7F" w:rsidP="00C85B7F">
      <w:pPr>
        <w:shd w:val="clear" w:color="auto" w:fill="FFFFFF"/>
        <w:ind w:left="425"/>
        <w:jc w:val="both"/>
        <w:rPr>
          <w:rFonts w:ascii="Poppins" w:hAnsi="Poppins" w:cs="Poppins"/>
          <w:sz w:val="18"/>
          <w:szCs w:val="18"/>
        </w:rPr>
      </w:pPr>
    </w:p>
    <w:p w14:paraId="481DE995" w14:textId="77777777" w:rsidR="00C85B7F" w:rsidRPr="00E47B86" w:rsidRDefault="00C85B7F" w:rsidP="00C85B7F">
      <w:pPr>
        <w:pStyle w:val="Prrafodelista"/>
        <w:numPr>
          <w:ilvl w:val="0"/>
          <w:numId w:val="30"/>
        </w:numPr>
        <w:ind w:left="425"/>
        <w:contextualSpacing/>
        <w:jc w:val="both"/>
        <w:rPr>
          <w:rFonts w:ascii="Poppins" w:hAnsi="Poppins" w:cs="Poppins"/>
          <w:b/>
          <w:sz w:val="18"/>
          <w:szCs w:val="18"/>
        </w:rPr>
      </w:pPr>
      <w:r w:rsidRPr="00E47B86">
        <w:rPr>
          <w:rFonts w:ascii="Poppins" w:hAnsi="Poppins" w:cs="Poppins"/>
          <w:b/>
          <w:sz w:val="18"/>
          <w:szCs w:val="18"/>
        </w:rPr>
        <w:t>China llegó al shock con mayores inventarios de crudo y luego limitó el traslado del alza a los combustibles</w:t>
      </w:r>
    </w:p>
    <w:p w14:paraId="3E96E686" w14:textId="77777777" w:rsidR="00C85B7F" w:rsidRPr="00E47B86" w:rsidRDefault="00C85B7F" w:rsidP="00C85B7F">
      <w:pPr>
        <w:shd w:val="clear" w:color="auto" w:fill="FFFFFF"/>
        <w:ind w:left="425"/>
        <w:jc w:val="both"/>
        <w:rPr>
          <w:rFonts w:ascii="Poppins" w:hAnsi="Poppins" w:cs="Poppins"/>
          <w:sz w:val="18"/>
          <w:szCs w:val="18"/>
        </w:rPr>
      </w:pPr>
    </w:p>
    <w:p w14:paraId="3E168403" w14:textId="77777777" w:rsidR="00C85B7F" w:rsidRPr="00E47B86" w:rsidRDefault="00C85B7F" w:rsidP="00C85B7F">
      <w:pPr>
        <w:shd w:val="clear" w:color="auto" w:fill="FFFFFF"/>
        <w:ind w:left="425"/>
        <w:jc w:val="both"/>
        <w:rPr>
          <w:rFonts w:ascii="Poppins" w:hAnsi="Poppins" w:cs="Poppins"/>
          <w:sz w:val="18"/>
          <w:szCs w:val="18"/>
        </w:rPr>
      </w:pPr>
      <w:r w:rsidRPr="00E47B86">
        <w:rPr>
          <w:rFonts w:ascii="Poppins" w:hAnsi="Poppins" w:cs="Poppins"/>
          <w:sz w:val="18"/>
          <w:szCs w:val="18"/>
        </w:rPr>
        <w:t>China entró a la crisis de Medio Oriente con una posición de abastecimiento más holgada que otros importadores. En enero-febrero, sus importaciones de crudo subieron 15,8% interanual hasta 12 millones de bpd, equivalentes a 97 millones de toneladas, impulsadas por una mayor actividad de refinación y, sobre todo, por acumulación de inventarios. Distintos cálculos citados por agencias de noticias, estimaron además un excedente de cerca de 1,24 millones de bpd entre oferta y procesamiento al inicio de 2026, lo que sugiere que parte relevante de esas compras terminó almacenada antes del shock regional de Medio Oriente.</w:t>
      </w:r>
    </w:p>
    <w:p w14:paraId="00D33F0F" w14:textId="77777777" w:rsidR="00C85B7F" w:rsidRPr="00E47B86" w:rsidRDefault="00C85B7F" w:rsidP="00C85B7F">
      <w:pPr>
        <w:shd w:val="clear" w:color="auto" w:fill="FFFFFF"/>
        <w:ind w:left="425"/>
        <w:jc w:val="both"/>
        <w:rPr>
          <w:rFonts w:ascii="Poppins" w:hAnsi="Poppins" w:cs="Poppins"/>
          <w:sz w:val="18"/>
          <w:szCs w:val="18"/>
        </w:rPr>
      </w:pPr>
    </w:p>
    <w:p w14:paraId="4326DF5E" w14:textId="77777777" w:rsidR="00C85B7F" w:rsidRPr="00E47B86" w:rsidRDefault="00C85B7F" w:rsidP="00C85B7F">
      <w:pPr>
        <w:shd w:val="clear" w:color="auto" w:fill="FFFFFF"/>
        <w:ind w:left="425"/>
        <w:jc w:val="both"/>
        <w:rPr>
          <w:rFonts w:ascii="Poppins" w:hAnsi="Poppins" w:cs="Poppins"/>
          <w:sz w:val="18"/>
          <w:szCs w:val="18"/>
        </w:rPr>
      </w:pPr>
      <w:r w:rsidRPr="00E47B86">
        <w:rPr>
          <w:rFonts w:ascii="Poppins" w:hAnsi="Poppins" w:cs="Poppins"/>
          <w:sz w:val="18"/>
          <w:szCs w:val="18"/>
        </w:rPr>
        <w:t>Con el repunte del crudo tras la crisis en Ormuz, China pasó de reforzar inventarios a contener el impacto interno sobre los combustibles. En efecto, la autoridad china elevó los precios máximos de gasolina y diésel en 1 160 y 1 115 yuanes por tonelada, equivalentes a aproximadamente US$0,48 por galón de gasolina y US$0,52 por galón de diésel. Sin embargo, ese ajuste fue solo cerca de la mitad de lo que habría resultado de la fórmula oficial, que apuntaba a subidas de 2 205 y 2 120 yuanes por tonelada, es decir, cerca de US$0,92 por galón y US$0,98 por galón, respectivamente. En los hechos, China combinó una estrategia previa de acumulación de crudo con una política posterior de contención de precios, buscando amortiguar el traslado del shock petrolero a la inflación y a la actividad doméstica.</w:t>
      </w:r>
    </w:p>
    <w:p w14:paraId="4553E67A" w14:textId="77777777" w:rsidR="00C85B7F" w:rsidRPr="00E47B86" w:rsidRDefault="00C85B7F" w:rsidP="00C85B7F">
      <w:pPr>
        <w:shd w:val="clear" w:color="auto" w:fill="FFFFFF"/>
        <w:ind w:left="425"/>
        <w:jc w:val="both"/>
        <w:rPr>
          <w:rFonts w:ascii="Poppins" w:hAnsi="Poppins" w:cs="Poppins"/>
          <w:sz w:val="18"/>
          <w:szCs w:val="18"/>
        </w:rPr>
      </w:pPr>
    </w:p>
    <w:p w14:paraId="3EBDA6A5" w14:textId="77777777" w:rsidR="00C85B7F" w:rsidRPr="00E47B86" w:rsidRDefault="00C85B7F" w:rsidP="00C85B7F">
      <w:pPr>
        <w:pStyle w:val="Prrafodelista"/>
        <w:numPr>
          <w:ilvl w:val="0"/>
          <w:numId w:val="30"/>
        </w:numPr>
        <w:ind w:left="425"/>
        <w:contextualSpacing/>
        <w:jc w:val="both"/>
        <w:rPr>
          <w:rFonts w:ascii="Poppins" w:hAnsi="Poppins" w:cs="Poppins"/>
          <w:b/>
          <w:sz w:val="18"/>
          <w:szCs w:val="18"/>
        </w:rPr>
      </w:pPr>
      <w:r w:rsidRPr="00E47B86">
        <w:rPr>
          <w:rFonts w:ascii="Poppins" w:hAnsi="Poppins" w:cs="Poppins"/>
          <w:b/>
          <w:sz w:val="18"/>
          <w:szCs w:val="18"/>
        </w:rPr>
        <w:t>Goldman Sachs y China alertan que el shock petrolero ya amenaza al crecimiento global y reaviva los riesgos inflacionarios</w:t>
      </w:r>
    </w:p>
    <w:p w14:paraId="0CAED6FF" w14:textId="77777777" w:rsidR="00C85B7F" w:rsidRPr="00E47B86" w:rsidRDefault="00C85B7F" w:rsidP="00C85B7F">
      <w:pPr>
        <w:shd w:val="clear" w:color="auto" w:fill="FFFFFF"/>
        <w:ind w:left="425"/>
        <w:jc w:val="both"/>
        <w:rPr>
          <w:rFonts w:ascii="Poppins" w:hAnsi="Poppins" w:cs="Poppins"/>
          <w:sz w:val="18"/>
          <w:szCs w:val="18"/>
        </w:rPr>
      </w:pPr>
    </w:p>
    <w:p w14:paraId="2A7A99F4" w14:textId="77777777" w:rsidR="00C85B7F" w:rsidRPr="00E47B86" w:rsidRDefault="00C85B7F" w:rsidP="00C85B7F">
      <w:pPr>
        <w:shd w:val="clear" w:color="auto" w:fill="FFFFFF"/>
        <w:ind w:left="425"/>
        <w:jc w:val="both"/>
        <w:rPr>
          <w:rFonts w:ascii="Poppins" w:hAnsi="Poppins" w:cs="Poppins"/>
          <w:sz w:val="18"/>
          <w:szCs w:val="18"/>
        </w:rPr>
      </w:pPr>
      <w:r w:rsidRPr="00E47B86">
        <w:rPr>
          <w:rFonts w:ascii="Poppins" w:hAnsi="Poppins" w:cs="Poppins"/>
          <w:sz w:val="18"/>
          <w:szCs w:val="18"/>
        </w:rPr>
        <w:t>El temor a un freno del crecimiento global y a un nuevo brote inflacionario ganó fuerza esta semana, a medida que el encarecimiento del crudo dejó de verse como un episodio transitorio y empezó a trasladarse al escenario macroeconómico. Goldman Sachs elevó su previsión promedio del Brent para 2026 de US$ 77 a US$ 85 por barril y la del WTI de US$ 72 a US$ 79 por barril, al tiempo que subió su estimación para marzo-abril a US$ 110 por barril. Además, advirtió que, bajo un escenario de disrupción severa por 10 semanas y una pérdida persistente de 2 millones de bpd, el Brent podría escalar hasta US$ 135 por barril.</w:t>
      </w:r>
    </w:p>
    <w:p w14:paraId="3C70EAA6" w14:textId="77777777" w:rsidR="00C85B7F" w:rsidRPr="00E47B86" w:rsidRDefault="00C85B7F" w:rsidP="00C85B7F">
      <w:pPr>
        <w:shd w:val="clear" w:color="auto" w:fill="FFFFFF"/>
        <w:ind w:left="425"/>
        <w:jc w:val="both"/>
        <w:rPr>
          <w:rFonts w:ascii="Poppins" w:hAnsi="Poppins" w:cs="Poppins"/>
          <w:sz w:val="18"/>
          <w:szCs w:val="18"/>
        </w:rPr>
      </w:pPr>
    </w:p>
    <w:p w14:paraId="52E6C74F" w14:textId="77777777" w:rsidR="00C85B7F" w:rsidRPr="00E47B86" w:rsidRDefault="00C85B7F" w:rsidP="00C85B7F">
      <w:pPr>
        <w:shd w:val="clear" w:color="auto" w:fill="FFFFFF"/>
        <w:ind w:left="425"/>
        <w:jc w:val="both"/>
        <w:rPr>
          <w:rFonts w:ascii="Poppins" w:hAnsi="Poppins" w:cs="Poppins"/>
          <w:sz w:val="18"/>
          <w:szCs w:val="18"/>
        </w:rPr>
      </w:pPr>
      <w:r w:rsidRPr="00E47B86">
        <w:rPr>
          <w:rFonts w:ascii="Poppins" w:hAnsi="Poppins" w:cs="Poppins"/>
          <w:sz w:val="18"/>
          <w:szCs w:val="18"/>
        </w:rPr>
        <w:t xml:space="preserve">En paralelo, China advirtió que una guerra prolongada en Medio Oriente podría desencadenar un “círculo vicioso” para la economía mundial, al golpear el crecimiento y elevar la inflación, especialmente en economías emergentes sensibles a energía más cara. En la misma línea, Goldman Sachs también recortó su previsión de crecimiento de China para el segundo trimestre y elevó sus expectativas de inflación, mientras los mercados </w:t>
      </w:r>
      <w:r w:rsidRPr="00E47B86">
        <w:rPr>
          <w:rFonts w:ascii="Poppins" w:hAnsi="Poppins" w:cs="Poppins"/>
          <w:sz w:val="18"/>
          <w:szCs w:val="18"/>
        </w:rPr>
        <w:lastRenderedPageBreak/>
        <w:t>comenzaron a leer la crisis como un riesgo cada vez más de estanflación, es decir, con menor actividad y mayores presiones de precios al mismo tiempo.</w:t>
      </w:r>
    </w:p>
    <w:p w14:paraId="6980EC21" w14:textId="1A187639" w:rsidR="00604BC3" w:rsidRDefault="00604BC3" w:rsidP="00604BC3">
      <w:pPr>
        <w:shd w:val="clear" w:color="auto" w:fill="FFFFFF"/>
        <w:ind w:left="425"/>
        <w:jc w:val="both"/>
        <w:rPr>
          <w:rFonts w:ascii="Poppins" w:hAnsi="Poppins" w:cs="Poppins"/>
          <w:sz w:val="18"/>
          <w:szCs w:val="18"/>
          <w:highlight w:val="yellow"/>
        </w:rPr>
      </w:pPr>
    </w:p>
    <w:p w14:paraId="0900822D" w14:textId="738EBA35" w:rsidR="00A3178F" w:rsidRDefault="00A3178F" w:rsidP="0000213D">
      <w:pPr>
        <w:jc w:val="both"/>
        <w:rPr>
          <w:rFonts w:ascii="Poppins" w:hAnsi="Poppins" w:cs="Poppins"/>
          <w:sz w:val="18"/>
          <w:szCs w:val="18"/>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2914F3C2" w:rsidR="006C04F5"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23D83378" w14:textId="77777777" w:rsidR="000A6914" w:rsidRPr="0096213B" w:rsidRDefault="000A691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Clarksons Research Services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 las tarifas de los barcos que transportan combustibles y gas, derivado de las demoras, tal como puede observarse en la gráfica N°</w:t>
      </w:r>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lastRenderedPageBreak/>
        <w:t xml:space="preserve">GRAFICA N°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577D0BA2">
            <wp:extent cx="5167630" cy="3225800"/>
            <wp:effectExtent l="0" t="0" r="0" b="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58202" cy="3282338"/>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2FC573E" w14:textId="77777777" w:rsidR="0082707D" w:rsidRDefault="0082707D" w:rsidP="00D87FA1">
      <w:pPr>
        <w:ind w:left="426"/>
        <w:jc w:val="both"/>
        <w:rPr>
          <w:rFonts w:ascii="Poppins" w:hAnsi="Poppins" w:cs="Poppins"/>
          <w:sz w:val="18"/>
          <w:szCs w:val="18"/>
        </w:rPr>
      </w:pPr>
    </w:p>
    <w:p w14:paraId="5A074A03" w14:textId="2F5D014F"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1E0809F2" w14:textId="4B2603EE" w:rsidR="006A59A3" w:rsidRDefault="006A59A3" w:rsidP="00D87FA1">
      <w:pPr>
        <w:ind w:left="426"/>
        <w:jc w:val="both"/>
        <w:rPr>
          <w:rFonts w:ascii="Poppins" w:hAnsi="Poppins" w:cs="Poppins"/>
          <w:sz w:val="18"/>
          <w:szCs w:val="18"/>
        </w:rPr>
      </w:pPr>
    </w:p>
    <w:p w14:paraId="41A908E3" w14:textId="300D7287" w:rsidR="003A0D60" w:rsidRDefault="003A0D60" w:rsidP="00D87FA1">
      <w:pPr>
        <w:ind w:left="426"/>
        <w:jc w:val="both"/>
        <w:rPr>
          <w:rFonts w:ascii="Poppins" w:hAnsi="Poppins" w:cs="Poppins"/>
          <w:sz w:val="18"/>
          <w:szCs w:val="18"/>
        </w:rPr>
      </w:pPr>
    </w:p>
    <w:p w14:paraId="0EEF7B5D" w14:textId="145C5BDB" w:rsidR="00C85B7F" w:rsidRDefault="00C85B7F" w:rsidP="00D87FA1">
      <w:pPr>
        <w:ind w:left="426"/>
        <w:jc w:val="both"/>
        <w:rPr>
          <w:rFonts w:ascii="Poppins" w:hAnsi="Poppins" w:cs="Poppins"/>
          <w:sz w:val="18"/>
          <w:szCs w:val="18"/>
        </w:rPr>
      </w:pPr>
    </w:p>
    <w:p w14:paraId="363C9575" w14:textId="4D3E8C7C" w:rsidR="00C85B7F" w:rsidRDefault="00C85B7F" w:rsidP="00D87FA1">
      <w:pPr>
        <w:ind w:left="426"/>
        <w:jc w:val="both"/>
        <w:rPr>
          <w:rFonts w:ascii="Poppins" w:hAnsi="Poppins" w:cs="Poppins"/>
          <w:sz w:val="18"/>
          <w:szCs w:val="18"/>
        </w:rPr>
      </w:pPr>
    </w:p>
    <w:p w14:paraId="73A048DC" w14:textId="67181BA0" w:rsidR="00C85B7F" w:rsidRDefault="00C85B7F" w:rsidP="00D87FA1">
      <w:pPr>
        <w:ind w:left="426"/>
        <w:jc w:val="both"/>
        <w:rPr>
          <w:rFonts w:ascii="Poppins" w:hAnsi="Poppins" w:cs="Poppins"/>
          <w:sz w:val="18"/>
          <w:szCs w:val="18"/>
        </w:rPr>
      </w:pPr>
    </w:p>
    <w:p w14:paraId="22E8C522" w14:textId="56DF746E" w:rsidR="00C85B7F" w:rsidRDefault="00C85B7F" w:rsidP="00D87FA1">
      <w:pPr>
        <w:ind w:left="426"/>
        <w:jc w:val="both"/>
        <w:rPr>
          <w:rFonts w:ascii="Poppins" w:hAnsi="Poppins" w:cs="Poppins"/>
          <w:sz w:val="18"/>
          <w:szCs w:val="18"/>
        </w:rPr>
      </w:pPr>
    </w:p>
    <w:p w14:paraId="558279F3" w14:textId="098D3EE4" w:rsidR="00C85B7F" w:rsidRDefault="00C85B7F" w:rsidP="00D87FA1">
      <w:pPr>
        <w:ind w:left="426"/>
        <w:jc w:val="both"/>
        <w:rPr>
          <w:rFonts w:ascii="Poppins" w:hAnsi="Poppins" w:cs="Poppins"/>
          <w:sz w:val="18"/>
          <w:szCs w:val="18"/>
        </w:rPr>
      </w:pPr>
    </w:p>
    <w:p w14:paraId="0AB25B9E" w14:textId="77716502" w:rsidR="00C85B7F" w:rsidRDefault="00C85B7F" w:rsidP="00D87FA1">
      <w:pPr>
        <w:ind w:left="426"/>
        <w:jc w:val="both"/>
        <w:rPr>
          <w:rFonts w:ascii="Poppins" w:hAnsi="Poppins" w:cs="Poppins"/>
          <w:sz w:val="18"/>
          <w:szCs w:val="18"/>
        </w:rPr>
      </w:pPr>
    </w:p>
    <w:p w14:paraId="543CE8CC" w14:textId="3FBBC9AE" w:rsidR="00C85B7F" w:rsidRDefault="00C85B7F" w:rsidP="00D87FA1">
      <w:pPr>
        <w:ind w:left="426"/>
        <w:jc w:val="both"/>
        <w:rPr>
          <w:rFonts w:ascii="Poppins" w:hAnsi="Poppins" w:cs="Poppins"/>
          <w:sz w:val="18"/>
          <w:szCs w:val="18"/>
        </w:rPr>
      </w:pPr>
    </w:p>
    <w:p w14:paraId="2234DD72" w14:textId="612031F5" w:rsidR="00C85B7F" w:rsidRDefault="00C85B7F" w:rsidP="00D87FA1">
      <w:pPr>
        <w:ind w:left="426"/>
        <w:jc w:val="both"/>
        <w:rPr>
          <w:rFonts w:ascii="Poppins" w:hAnsi="Poppins" w:cs="Poppins"/>
          <w:sz w:val="18"/>
          <w:szCs w:val="18"/>
        </w:rPr>
      </w:pPr>
    </w:p>
    <w:p w14:paraId="2B297226" w14:textId="700CF617" w:rsidR="00C85B7F" w:rsidRDefault="00C85B7F" w:rsidP="00D87FA1">
      <w:pPr>
        <w:ind w:left="426"/>
        <w:jc w:val="both"/>
        <w:rPr>
          <w:rFonts w:ascii="Poppins" w:hAnsi="Poppins" w:cs="Poppins"/>
          <w:sz w:val="18"/>
          <w:szCs w:val="18"/>
        </w:rPr>
      </w:pPr>
    </w:p>
    <w:p w14:paraId="3C49CBD6" w14:textId="761DB7C4" w:rsidR="00C85B7F" w:rsidRDefault="00C85B7F" w:rsidP="00D87FA1">
      <w:pPr>
        <w:ind w:left="426"/>
        <w:jc w:val="both"/>
        <w:rPr>
          <w:rFonts w:ascii="Poppins" w:hAnsi="Poppins" w:cs="Poppins"/>
          <w:sz w:val="18"/>
          <w:szCs w:val="18"/>
        </w:rPr>
      </w:pPr>
    </w:p>
    <w:p w14:paraId="6D1FD109" w14:textId="78A349C4" w:rsidR="00C85B7F" w:rsidRDefault="00C85B7F" w:rsidP="00D87FA1">
      <w:pPr>
        <w:ind w:left="426"/>
        <w:jc w:val="both"/>
        <w:rPr>
          <w:rFonts w:ascii="Poppins" w:hAnsi="Poppins" w:cs="Poppins"/>
          <w:sz w:val="18"/>
          <w:szCs w:val="18"/>
        </w:rPr>
      </w:pPr>
    </w:p>
    <w:p w14:paraId="2B51DC04" w14:textId="7E724A02" w:rsidR="00C85B7F" w:rsidRDefault="00C85B7F" w:rsidP="00D87FA1">
      <w:pPr>
        <w:ind w:left="426"/>
        <w:jc w:val="both"/>
        <w:rPr>
          <w:rFonts w:ascii="Poppins" w:hAnsi="Poppins" w:cs="Poppins"/>
          <w:sz w:val="18"/>
          <w:szCs w:val="18"/>
        </w:rPr>
      </w:pPr>
    </w:p>
    <w:p w14:paraId="018E36A7" w14:textId="47D344F6" w:rsidR="00C85B7F" w:rsidRDefault="00C85B7F" w:rsidP="00D87FA1">
      <w:pPr>
        <w:ind w:left="426"/>
        <w:jc w:val="both"/>
        <w:rPr>
          <w:rFonts w:ascii="Poppins" w:hAnsi="Poppins" w:cs="Poppins"/>
          <w:sz w:val="18"/>
          <w:szCs w:val="18"/>
        </w:rPr>
      </w:pPr>
    </w:p>
    <w:p w14:paraId="0F09763A" w14:textId="79093A60" w:rsidR="00C85B7F" w:rsidRDefault="00C85B7F" w:rsidP="00D87FA1">
      <w:pPr>
        <w:ind w:left="426"/>
        <w:jc w:val="both"/>
        <w:rPr>
          <w:rFonts w:ascii="Poppins" w:hAnsi="Poppins" w:cs="Poppins"/>
          <w:sz w:val="18"/>
          <w:szCs w:val="18"/>
        </w:rPr>
      </w:pPr>
    </w:p>
    <w:p w14:paraId="721174A0" w14:textId="22B412CA" w:rsidR="00C85B7F" w:rsidRDefault="00C85B7F" w:rsidP="00D87FA1">
      <w:pPr>
        <w:ind w:left="426"/>
        <w:jc w:val="both"/>
        <w:rPr>
          <w:rFonts w:ascii="Poppins" w:hAnsi="Poppins" w:cs="Poppins"/>
          <w:sz w:val="18"/>
          <w:szCs w:val="18"/>
        </w:rPr>
      </w:pPr>
    </w:p>
    <w:p w14:paraId="7141A22D" w14:textId="7DF78D88" w:rsidR="00C85B7F" w:rsidRDefault="00C85B7F" w:rsidP="00D87FA1">
      <w:pPr>
        <w:ind w:left="426"/>
        <w:jc w:val="both"/>
        <w:rPr>
          <w:rFonts w:ascii="Poppins" w:hAnsi="Poppins" w:cs="Poppins"/>
          <w:sz w:val="18"/>
          <w:szCs w:val="18"/>
        </w:rPr>
      </w:pPr>
    </w:p>
    <w:p w14:paraId="1CFD9DE8" w14:textId="489F9EBA" w:rsidR="00C85B7F" w:rsidRDefault="00C85B7F" w:rsidP="00D87FA1">
      <w:pPr>
        <w:ind w:left="426"/>
        <w:jc w:val="both"/>
        <w:rPr>
          <w:rFonts w:ascii="Poppins" w:hAnsi="Poppins" w:cs="Poppins"/>
          <w:sz w:val="18"/>
          <w:szCs w:val="18"/>
        </w:rPr>
      </w:pPr>
    </w:p>
    <w:p w14:paraId="2E99306B" w14:textId="45E35376" w:rsidR="00C85B7F" w:rsidRDefault="00C85B7F" w:rsidP="00D87FA1">
      <w:pPr>
        <w:ind w:left="426"/>
        <w:jc w:val="both"/>
        <w:rPr>
          <w:rFonts w:ascii="Poppins" w:hAnsi="Poppins" w:cs="Poppins"/>
          <w:sz w:val="18"/>
          <w:szCs w:val="18"/>
        </w:rPr>
      </w:pPr>
    </w:p>
    <w:p w14:paraId="3D05A07F" w14:textId="1BEAFEAE" w:rsidR="00C85B7F" w:rsidRDefault="00C85B7F" w:rsidP="00D87FA1">
      <w:pPr>
        <w:ind w:left="426"/>
        <w:jc w:val="both"/>
        <w:rPr>
          <w:rFonts w:ascii="Poppins" w:hAnsi="Poppins" w:cs="Poppins"/>
          <w:sz w:val="18"/>
          <w:szCs w:val="18"/>
        </w:rPr>
      </w:pPr>
    </w:p>
    <w:p w14:paraId="21392B2F" w14:textId="293A78FA" w:rsidR="00C85B7F" w:rsidRDefault="00C85B7F" w:rsidP="00D87FA1">
      <w:pPr>
        <w:ind w:left="426"/>
        <w:jc w:val="both"/>
        <w:rPr>
          <w:rFonts w:ascii="Poppins" w:hAnsi="Poppins" w:cs="Poppins"/>
          <w:sz w:val="18"/>
          <w:szCs w:val="18"/>
        </w:rPr>
      </w:pPr>
    </w:p>
    <w:p w14:paraId="433FCC90" w14:textId="01977D91" w:rsidR="00C85B7F" w:rsidRDefault="00C85B7F" w:rsidP="00D87FA1">
      <w:pPr>
        <w:ind w:left="426"/>
        <w:jc w:val="both"/>
        <w:rPr>
          <w:rFonts w:ascii="Poppins" w:hAnsi="Poppins" w:cs="Poppins"/>
          <w:sz w:val="18"/>
          <w:szCs w:val="18"/>
        </w:rPr>
      </w:pPr>
    </w:p>
    <w:p w14:paraId="2BB8E191" w14:textId="6EB252DD" w:rsidR="00C85B7F" w:rsidRDefault="00C85B7F" w:rsidP="00D87FA1">
      <w:pPr>
        <w:ind w:left="426"/>
        <w:jc w:val="both"/>
        <w:rPr>
          <w:rFonts w:ascii="Poppins" w:hAnsi="Poppins" w:cs="Poppins"/>
          <w:sz w:val="18"/>
          <w:szCs w:val="18"/>
        </w:rPr>
      </w:pPr>
    </w:p>
    <w:p w14:paraId="4A21CFCC" w14:textId="0E2DAFBC" w:rsidR="00C85B7F" w:rsidRDefault="00C85B7F" w:rsidP="00D87FA1">
      <w:pPr>
        <w:ind w:left="426"/>
        <w:jc w:val="both"/>
        <w:rPr>
          <w:rFonts w:ascii="Poppins" w:hAnsi="Poppins" w:cs="Poppins"/>
          <w:sz w:val="18"/>
          <w:szCs w:val="18"/>
        </w:rPr>
      </w:pPr>
    </w:p>
    <w:p w14:paraId="09BB84FC" w14:textId="77777777" w:rsidR="00C85B7F" w:rsidRDefault="00C85B7F"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Decreto Supremo N°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Decreto Supremo N°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40F80564" w14:textId="2B4A55CB"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Resolución N° 0</w:t>
      </w:r>
      <w:r w:rsidR="00F56EEA">
        <w:rPr>
          <w:rFonts w:ascii="Poppins" w:hAnsi="Poppins" w:cs="Poppins"/>
          <w:sz w:val="18"/>
          <w:szCs w:val="18"/>
        </w:rPr>
        <w:t>06</w:t>
      </w:r>
      <w:r w:rsidR="00581B20" w:rsidRPr="00581B20">
        <w:rPr>
          <w:rFonts w:ascii="Poppins" w:hAnsi="Poppins" w:cs="Poppins"/>
          <w:sz w:val="18"/>
          <w:szCs w:val="18"/>
        </w:rPr>
        <w:t>-2025-OS/GRT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N° 6 utilizado en actividades de generación eléctrica en sistemas eléctricos Aislados con vigencia desde el </w:t>
      </w:r>
      <w:r w:rsidR="00DE2753">
        <w:rPr>
          <w:rFonts w:ascii="Poppins" w:hAnsi="Poppins" w:cs="Poppins"/>
          <w:sz w:val="18"/>
          <w:szCs w:val="18"/>
        </w:rPr>
        <w:t>2</w:t>
      </w:r>
      <w:r w:rsidR="00F56EEA">
        <w:rPr>
          <w:rFonts w:ascii="Poppins" w:hAnsi="Poppins" w:cs="Poppins"/>
          <w:sz w:val="18"/>
          <w:szCs w:val="18"/>
        </w:rPr>
        <w:t>7</w:t>
      </w:r>
      <w:r w:rsidR="004748A9" w:rsidRPr="00581B20">
        <w:rPr>
          <w:rFonts w:ascii="Poppins" w:hAnsi="Poppins" w:cs="Poppins"/>
          <w:sz w:val="18"/>
          <w:szCs w:val="18"/>
        </w:rPr>
        <w:t xml:space="preserve"> de </w:t>
      </w:r>
      <w:r w:rsidR="00F56EEA">
        <w:rPr>
          <w:rFonts w:ascii="Poppins" w:hAnsi="Poppins" w:cs="Poppins"/>
          <w:sz w:val="18"/>
          <w:szCs w:val="18"/>
        </w:rPr>
        <w:t>febrero</w:t>
      </w:r>
      <w:r w:rsidR="004748A9" w:rsidRPr="00581B20">
        <w:rPr>
          <w:rFonts w:ascii="Poppins" w:hAnsi="Poppins" w:cs="Poppins"/>
          <w:sz w:val="18"/>
          <w:szCs w:val="18"/>
        </w:rPr>
        <w:t xml:space="preserve"> de 2025 hasta el </w:t>
      </w:r>
      <w:r w:rsidR="00F56EEA">
        <w:rPr>
          <w:rFonts w:ascii="Poppins" w:hAnsi="Poppins" w:cs="Poppins"/>
          <w:sz w:val="18"/>
          <w:szCs w:val="18"/>
        </w:rPr>
        <w:t>30</w:t>
      </w:r>
      <w:r w:rsidR="004748A9" w:rsidRPr="00581B20">
        <w:rPr>
          <w:rFonts w:ascii="Poppins" w:hAnsi="Poppins" w:cs="Poppins"/>
          <w:sz w:val="18"/>
          <w:szCs w:val="18"/>
        </w:rPr>
        <w:t xml:space="preserve"> de </w:t>
      </w:r>
      <w:r w:rsidR="00F56EEA">
        <w:rPr>
          <w:rFonts w:ascii="Poppins" w:hAnsi="Poppins" w:cs="Poppins"/>
          <w:sz w:val="18"/>
          <w:szCs w:val="18"/>
        </w:rPr>
        <w:t>abril</w:t>
      </w:r>
      <w:r w:rsidR="004748A9" w:rsidRPr="00581B20">
        <w:rPr>
          <w:rFonts w:ascii="Poppins" w:hAnsi="Poppins" w:cs="Poppins"/>
          <w:sz w:val="18"/>
          <w:szCs w:val="18"/>
        </w:rPr>
        <w:t xml:space="preserve"> de 202</w:t>
      </w:r>
      <w:r w:rsidR="00DE2753">
        <w:rPr>
          <w:rFonts w:ascii="Poppins" w:hAnsi="Poppins" w:cs="Poppins"/>
          <w:sz w:val="18"/>
          <w:szCs w:val="18"/>
        </w:rPr>
        <w:t>6</w:t>
      </w:r>
      <w:r w:rsidR="004748A9" w:rsidRPr="00581B20">
        <w:rPr>
          <w:rFonts w:ascii="Poppins" w:hAnsi="Poppins" w:cs="Poppins"/>
          <w:sz w:val="18"/>
          <w:szCs w:val="18"/>
        </w:rPr>
        <w:t xml:space="preserve">. </w:t>
      </w:r>
    </w:p>
    <w:p w14:paraId="54D44992" w14:textId="77777777" w:rsidR="00E26DC5" w:rsidRDefault="00E26DC5" w:rsidP="00E26DC5">
      <w:pPr>
        <w:pStyle w:val="Prrafodelista"/>
        <w:rPr>
          <w:rFonts w:ascii="Poppins" w:hAnsi="Poppins" w:cs="Poppins"/>
          <w:sz w:val="18"/>
          <w:szCs w:val="18"/>
        </w:rPr>
      </w:pPr>
    </w:p>
    <w:p w14:paraId="6A803DEB" w14:textId="6DE26A6A"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Resolución N° 0</w:t>
      </w:r>
      <w:r w:rsidR="000040AB">
        <w:rPr>
          <w:rFonts w:ascii="Poppins" w:hAnsi="Poppins" w:cs="Poppins"/>
          <w:sz w:val="18"/>
          <w:szCs w:val="18"/>
        </w:rPr>
        <w:t>0</w:t>
      </w:r>
      <w:r w:rsidR="008A0B48">
        <w:rPr>
          <w:rFonts w:ascii="Poppins" w:hAnsi="Poppins" w:cs="Poppins"/>
          <w:sz w:val="18"/>
          <w:szCs w:val="18"/>
        </w:rPr>
        <w:t>6</w:t>
      </w:r>
      <w:r w:rsidRPr="00581B20">
        <w:rPr>
          <w:rFonts w:ascii="Poppins" w:hAnsi="Poppins" w:cs="Poppins"/>
          <w:sz w:val="18"/>
          <w:szCs w:val="18"/>
        </w:rPr>
        <w:t>-202</w:t>
      </w:r>
      <w:r w:rsidR="000040AB">
        <w:rPr>
          <w:rFonts w:ascii="Poppins" w:hAnsi="Poppins" w:cs="Poppins"/>
          <w:sz w:val="18"/>
          <w:szCs w:val="18"/>
        </w:rPr>
        <w:t>6</w:t>
      </w:r>
      <w:r w:rsidRPr="00581B20">
        <w:rPr>
          <w:rFonts w:ascii="Poppins" w:hAnsi="Poppins" w:cs="Poppins"/>
          <w:sz w:val="18"/>
          <w:szCs w:val="18"/>
        </w:rPr>
        <w:t>-OS/GRT</w:t>
      </w:r>
      <w:r>
        <w:rPr>
          <w:rFonts w:ascii="Poppins" w:hAnsi="Poppins" w:cs="Poppins"/>
          <w:sz w:val="18"/>
          <w:szCs w:val="18"/>
        </w:rPr>
        <w:t>,</w:t>
      </w:r>
      <w:r w:rsidRPr="00581B20">
        <w:rPr>
          <w:rFonts w:ascii="Poppins" w:hAnsi="Poppins" w:cs="Poppins"/>
          <w:sz w:val="18"/>
          <w:szCs w:val="18"/>
        </w:rPr>
        <w:t xml:space="preserve"> </w:t>
      </w:r>
      <w:r w:rsidR="00354C69">
        <w:rPr>
          <w:rFonts w:ascii="Poppins" w:hAnsi="Poppins" w:cs="Poppins"/>
          <w:sz w:val="18"/>
          <w:szCs w:val="18"/>
        </w:rPr>
        <w:t xml:space="preserve">también </w:t>
      </w:r>
      <w:r w:rsidRPr="00581B20">
        <w:rPr>
          <w:rFonts w:ascii="Poppins" w:hAnsi="Poppins" w:cs="Poppins"/>
          <w:sz w:val="18"/>
          <w:szCs w:val="18"/>
        </w:rPr>
        <w:t xml:space="preserve">se fijó la Banda de Precios y el Margen Comercial para el Diesel BX destinado al uso vehicular, con vigencia a partir del </w:t>
      </w:r>
      <w:r w:rsidR="008A0B48">
        <w:rPr>
          <w:rFonts w:ascii="Poppins" w:hAnsi="Poppins" w:cs="Poppins"/>
          <w:sz w:val="18"/>
          <w:szCs w:val="18"/>
        </w:rPr>
        <w:t>27</w:t>
      </w:r>
      <w:r w:rsidR="007C4098">
        <w:rPr>
          <w:rFonts w:ascii="Poppins" w:hAnsi="Poppins" w:cs="Poppins"/>
          <w:sz w:val="18"/>
          <w:szCs w:val="18"/>
        </w:rPr>
        <w:t xml:space="preserve"> de</w:t>
      </w:r>
      <w:r w:rsidRPr="00581B20">
        <w:rPr>
          <w:rFonts w:ascii="Poppins" w:hAnsi="Poppins" w:cs="Poppins"/>
          <w:sz w:val="18"/>
          <w:szCs w:val="18"/>
        </w:rPr>
        <w:t xml:space="preserve"> </w:t>
      </w:r>
      <w:r w:rsidR="008A0B48">
        <w:rPr>
          <w:rFonts w:ascii="Poppins" w:hAnsi="Poppins" w:cs="Poppins"/>
          <w:sz w:val="18"/>
          <w:szCs w:val="18"/>
        </w:rPr>
        <w:t>febrero</w:t>
      </w:r>
      <w:r w:rsidRPr="00581B20">
        <w:rPr>
          <w:rFonts w:ascii="Poppins" w:hAnsi="Poppins" w:cs="Poppins"/>
          <w:sz w:val="18"/>
          <w:szCs w:val="18"/>
        </w:rPr>
        <w:t xml:space="preserve"> de 202</w:t>
      </w:r>
      <w:r w:rsidR="000040AB">
        <w:rPr>
          <w:rFonts w:ascii="Poppins" w:hAnsi="Poppins" w:cs="Poppins"/>
          <w:sz w:val="18"/>
          <w:szCs w:val="18"/>
        </w:rPr>
        <w:t>6</w:t>
      </w:r>
      <w:r w:rsidRPr="00581B20">
        <w:rPr>
          <w:rFonts w:ascii="Poppins" w:hAnsi="Poppins" w:cs="Poppins"/>
          <w:sz w:val="18"/>
          <w:szCs w:val="18"/>
        </w:rPr>
        <w:t xml:space="preserve"> hasta el </w:t>
      </w:r>
      <w:r w:rsidR="00D063A9">
        <w:rPr>
          <w:rFonts w:ascii="Poppins" w:hAnsi="Poppins" w:cs="Poppins"/>
          <w:sz w:val="18"/>
          <w:szCs w:val="18"/>
        </w:rPr>
        <w:t>jueves</w:t>
      </w:r>
      <w:r w:rsidRPr="00581B20">
        <w:rPr>
          <w:rFonts w:ascii="Poppins" w:hAnsi="Poppins" w:cs="Poppins"/>
          <w:sz w:val="18"/>
          <w:szCs w:val="18"/>
        </w:rPr>
        <w:t xml:space="preserve"> </w:t>
      </w:r>
      <w:r w:rsidR="009833DB">
        <w:rPr>
          <w:rFonts w:ascii="Poppins" w:hAnsi="Poppins" w:cs="Poppins"/>
          <w:sz w:val="18"/>
          <w:szCs w:val="18"/>
        </w:rPr>
        <w:t>2</w:t>
      </w:r>
      <w:r w:rsidR="000040AB">
        <w:rPr>
          <w:rFonts w:ascii="Poppins" w:hAnsi="Poppins" w:cs="Poppins"/>
          <w:sz w:val="18"/>
          <w:szCs w:val="18"/>
        </w:rPr>
        <w:t>6</w:t>
      </w:r>
      <w:r w:rsidRPr="00581B20">
        <w:rPr>
          <w:rFonts w:ascii="Poppins" w:hAnsi="Poppins" w:cs="Poppins"/>
          <w:sz w:val="18"/>
          <w:szCs w:val="18"/>
        </w:rPr>
        <w:t xml:space="preserve"> de </w:t>
      </w:r>
      <w:r w:rsidR="008A0B48">
        <w:rPr>
          <w:rFonts w:ascii="Poppins" w:hAnsi="Poppins" w:cs="Poppins"/>
          <w:sz w:val="18"/>
          <w:szCs w:val="18"/>
        </w:rPr>
        <w:t>marzo</w:t>
      </w:r>
      <w:r w:rsidRPr="00581B20">
        <w:rPr>
          <w:rFonts w:ascii="Poppins" w:hAnsi="Poppins" w:cs="Poppins"/>
          <w:sz w:val="18"/>
          <w:szCs w:val="18"/>
        </w:rPr>
        <w:t xml:space="preserve"> de 202</w:t>
      </w:r>
      <w:r w:rsidR="00DE2753">
        <w:rPr>
          <w:rFonts w:ascii="Poppins" w:hAnsi="Poppins" w:cs="Poppins"/>
          <w:sz w:val="18"/>
          <w:szCs w:val="18"/>
        </w:rPr>
        <w:t>6</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063410B3"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21E2F">
        <w:rPr>
          <w:rFonts w:ascii="Poppins" w:hAnsi="Poppins" w:cs="Poppins"/>
          <w:sz w:val="18"/>
          <w:szCs w:val="18"/>
        </w:rPr>
        <w:t xml:space="preserve"> </w:t>
      </w:r>
      <w:r w:rsidR="008A33A7">
        <w:rPr>
          <w:rFonts w:ascii="Poppins" w:hAnsi="Poppins" w:cs="Poppins"/>
          <w:sz w:val="18"/>
          <w:szCs w:val="18"/>
        </w:rPr>
        <w:t>resoluci</w:t>
      </w:r>
      <w:r w:rsidR="000A6914">
        <w:rPr>
          <w:rFonts w:ascii="Poppins" w:hAnsi="Poppins" w:cs="Poppins"/>
          <w:sz w:val="18"/>
          <w:szCs w:val="18"/>
        </w:rPr>
        <w:t>ó</w:t>
      </w:r>
      <w:r w:rsidR="00E26DC5">
        <w:rPr>
          <w:rFonts w:ascii="Poppins" w:hAnsi="Poppins" w:cs="Poppins"/>
          <w:sz w:val="18"/>
          <w:szCs w:val="18"/>
        </w:rPr>
        <w:t>n</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N° </w:t>
      </w:r>
      <w:r w:rsidR="00E26DC5">
        <w:rPr>
          <w:rFonts w:ascii="Poppins" w:hAnsi="Poppins" w:cs="Poppins"/>
          <w:sz w:val="18"/>
          <w:szCs w:val="18"/>
        </w:rPr>
        <w:t>0</w:t>
      </w:r>
      <w:r w:rsidR="008A0B48">
        <w:rPr>
          <w:rFonts w:ascii="Poppins" w:hAnsi="Poppins" w:cs="Poppins"/>
          <w:sz w:val="18"/>
          <w:szCs w:val="18"/>
        </w:rPr>
        <w:t>06</w:t>
      </w:r>
      <w:r w:rsidR="00E26DC5" w:rsidRPr="0096213B">
        <w:rPr>
          <w:rFonts w:ascii="Poppins" w:hAnsi="Poppins" w:cs="Poppins"/>
          <w:sz w:val="18"/>
          <w:szCs w:val="18"/>
        </w:rPr>
        <w:t>-202</w:t>
      </w:r>
      <w:r w:rsidR="008A0B48">
        <w:rPr>
          <w:rFonts w:ascii="Poppins" w:hAnsi="Poppins" w:cs="Poppins"/>
          <w:sz w:val="18"/>
          <w:szCs w:val="18"/>
        </w:rPr>
        <w:t>6</w:t>
      </w:r>
      <w:r w:rsidR="00E26DC5"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7C4098">
        <w:rPr>
          <w:rFonts w:ascii="Poppins" w:hAnsi="Poppins" w:cs="Poppins"/>
          <w:sz w:val="18"/>
          <w:szCs w:val="18"/>
        </w:rPr>
        <w:t>martes</w:t>
      </w:r>
      <w:r w:rsidR="007C4098" w:rsidRPr="00581B20">
        <w:rPr>
          <w:rFonts w:ascii="Poppins" w:hAnsi="Poppins" w:cs="Poppins"/>
          <w:sz w:val="18"/>
          <w:szCs w:val="18"/>
        </w:rPr>
        <w:t xml:space="preserve"> </w:t>
      </w:r>
      <w:r w:rsidR="00626502">
        <w:rPr>
          <w:rFonts w:ascii="Poppins" w:hAnsi="Poppins" w:cs="Poppins"/>
          <w:sz w:val="18"/>
          <w:szCs w:val="18"/>
        </w:rPr>
        <w:t>24</w:t>
      </w:r>
      <w:r w:rsidR="007C4098" w:rsidRPr="00581B20">
        <w:rPr>
          <w:rFonts w:ascii="Poppins" w:hAnsi="Poppins" w:cs="Poppins"/>
          <w:sz w:val="18"/>
          <w:szCs w:val="18"/>
        </w:rPr>
        <w:t xml:space="preserve"> de</w:t>
      </w:r>
      <w:r w:rsidR="00E059C7">
        <w:rPr>
          <w:rFonts w:ascii="Poppins" w:hAnsi="Poppins" w:cs="Poppins"/>
          <w:sz w:val="18"/>
          <w:szCs w:val="18"/>
        </w:rPr>
        <w:t xml:space="preserve"> </w:t>
      </w:r>
      <w:r w:rsidR="008A0B48">
        <w:rPr>
          <w:rFonts w:ascii="Poppins" w:hAnsi="Poppins" w:cs="Poppins"/>
          <w:sz w:val="18"/>
          <w:szCs w:val="18"/>
        </w:rPr>
        <w:t>marz</w:t>
      </w:r>
      <w:r w:rsidR="005151B0">
        <w:rPr>
          <w:rFonts w:ascii="Poppins" w:hAnsi="Poppins" w:cs="Poppins"/>
          <w:sz w:val="18"/>
          <w:szCs w:val="18"/>
        </w:rPr>
        <w:t>o</w:t>
      </w:r>
      <w:r w:rsidR="007C4098" w:rsidRPr="00581B20">
        <w:rPr>
          <w:rFonts w:ascii="Poppins" w:hAnsi="Poppins" w:cs="Poppins"/>
          <w:sz w:val="18"/>
          <w:szCs w:val="18"/>
        </w:rPr>
        <w:t xml:space="preserve"> de 202</w:t>
      </w:r>
      <w:r w:rsidR="005151B0">
        <w:rPr>
          <w:rFonts w:ascii="Poppins" w:hAnsi="Poppins" w:cs="Poppins"/>
          <w:sz w:val="18"/>
          <w:szCs w:val="18"/>
        </w:rPr>
        <w:t>6</w:t>
      </w:r>
      <w:r w:rsidR="007C4098" w:rsidRPr="00581B20">
        <w:rPr>
          <w:rFonts w:ascii="Poppins" w:hAnsi="Poppins" w:cs="Poppins"/>
          <w:sz w:val="18"/>
          <w:szCs w:val="18"/>
        </w:rPr>
        <w:t xml:space="preserve"> hasta el </w:t>
      </w:r>
      <w:r w:rsidR="00626502">
        <w:rPr>
          <w:rFonts w:ascii="Poppins" w:hAnsi="Poppins" w:cs="Poppins"/>
          <w:sz w:val="18"/>
          <w:szCs w:val="18"/>
        </w:rPr>
        <w:t>jueves</w:t>
      </w:r>
      <w:r w:rsidR="00E059C7">
        <w:rPr>
          <w:rFonts w:ascii="Poppins" w:hAnsi="Poppins" w:cs="Poppins"/>
          <w:sz w:val="18"/>
          <w:szCs w:val="18"/>
        </w:rPr>
        <w:t xml:space="preserve"> </w:t>
      </w:r>
      <w:r w:rsidR="00986BAF">
        <w:rPr>
          <w:rFonts w:ascii="Poppins" w:hAnsi="Poppins" w:cs="Poppins"/>
          <w:sz w:val="18"/>
          <w:szCs w:val="18"/>
        </w:rPr>
        <w:t>2</w:t>
      </w:r>
      <w:r w:rsidR="00626502">
        <w:rPr>
          <w:rFonts w:ascii="Poppins" w:hAnsi="Poppins" w:cs="Poppins"/>
          <w:sz w:val="18"/>
          <w:szCs w:val="18"/>
        </w:rPr>
        <w:t>6</w:t>
      </w:r>
      <w:r w:rsidR="007C4098" w:rsidRPr="00581B20">
        <w:rPr>
          <w:rFonts w:ascii="Poppins" w:hAnsi="Poppins" w:cs="Poppins"/>
          <w:sz w:val="18"/>
          <w:szCs w:val="18"/>
        </w:rPr>
        <w:t xml:space="preserve"> de</w:t>
      </w:r>
      <w:r w:rsidR="00756CA3">
        <w:rPr>
          <w:rFonts w:ascii="Poppins" w:hAnsi="Poppins" w:cs="Poppins"/>
          <w:sz w:val="18"/>
          <w:szCs w:val="18"/>
        </w:rPr>
        <w:t xml:space="preserve"> </w:t>
      </w:r>
      <w:r w:rsidR="008A0B48">
        <w:rPr>
          <w:rFonts w:ascii="Poppins" w:hAnsi="Poppins" w:cs="Poppins"/>
          <w:sz w:val="18"/>
          <w:szCs w:val="18"/>
        </w:rPr>
        <w:t>marz</w:t>
      </w:r>
      <w:r w:rsidR="000040AB">
        <w:rPr>
          <w:rFonts w:ascii="Poppins" w:hAnsi="Poppins" w:cs="Poppins"/>
          <w:sz w:val="18"/>
          <w:szCs w:val="18"/>
        </w:rPr>
        <w:t>o</w:t>
      </w:r>
      <w:r w:rsidR="007C4098" w:rsidRPr="00581B20">
        <w:rPr>
          <w:rFonts w:ascii="Poppins" w:hAnsi="Poppins" w:cs="Poppins"/>
          <w:sz w:val="18"/>
          <w:szCs w:val="18"/>
        </w:rPr>
        <w:t xml:space="preserve"> de 202</w:t>
      </w:r>
      <w:r w:rsidR="00DE2753">
        <w:rPr>
          <w:rFonts w:ascii="Poppins" w:hAnsi="Poppins" w:cs="Poppins"/>
          <w:sz w:val="18"/>
          <w:szCs w:val="18"/>
        </w:rPr>
        <w:t>6</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2FBA315C" w:rsidR="00E804F9" w:rsidRPr="00A01E92" w:rsidRDefault="00593ACE" w:rsidP="009B438E">
      <w:pPr>
        <w:pStyle w:val="Sangradetextonormal"/>
        <w:numPr>
          <w:ilvl w:val="0"/>
          <w:numId w:val="16"/>
        </w:numPr>
        <w:ind w:left="568" w:hanging="426"/>
        <w:rPr>
          <w:rFonts w:ascii="Poppins" w:hAnsi="Poppins" w:cs="Poppins"/>
          <w:sz w:val="18"/>
          <w:szCs w:val="18"/>
        </w:rPr>
      </w:pPr>
      <w:r w:rsidRPr="00A01E92">
        <w:rPr>
          <w:rFonts w:ascii="Poppins" w:hAnsi="Poppins" w:cs="Poppins"/>
          <w:sz w:val="18"/>
          <w:szCs w:val="18"/>
        </w:rPr>
        <w:t xml:space="preserve">El día </w:t>
      </w:r>
      <w:r w:rsidR="002B351D">
        <w:rPr>
          <w:rFonts w:ascii="Poppins" w:hAnsi="Poppins" w:cs="Poppins"/>
          <w:sz w:val="18"/>
          <w:szCs w:val="18"/>
        </w:rPr>
        <w:t>24</w:t>
      </w:r>
      <w:r w:rsidRPr="00A01E92">
        <w:rPr>
          <w:rFonts w:ascii="Poppins" w:hAnsi="Poppins" w:cs="Poppins"/>
          <w:sz w:val="18"/>
          <w:szCs w:val="18"/>
        </w:rPr>
        <w:t>.</w:t>
      </w:r>
      <w:r w:rsidR="005151B0">
        <w:rPr>
          <w:rFonts w:ascii="Poppins" w:hAnsi="Poppins" w:cs="Poppins"/>
          <w:sz w:val="18"/>
          <w:szCs w:val="18"/>
        </w:rPr>
        <w:t>0</w:t>
      </w:r>
      <w:r w:rsidR="00845353">
        <w:rPr>
          <w:rFonts w:ascii="Poppins" w:hAnsi="Poppins" w:cs="Poppins"/>
          <w:sz w:val="18"/>
          <w:szCs w:val="18"/>
        </w:rPr>
        <w:t>3</w:t>
      </w:r>
      <w:r w:rsidRPr="00A01E92">
        <w:rPr>
          <w:rFonts w:ascii="Poppins" w:hAnsi="Poppins" w:cs="Poppins"/>
          <w:sz w:val="18"/>
          <w:szCs w:val="18"/>
        </w:rPr>
        <w:t>.202</w:t>
      </w:r>
      <w:r w:rsidR="005151B0">
        <w:rPr>
          <w:rFonts w:ascii="Poppins" w:hAnsi="Poppins" w:cs="Poppins"/>
          <w:sz w:val="18"/>
          <w:szCs w:val="18"/>
        </w:rPr>
        <w:t>6</w:t>
      </w:r>
      <w:r w:rsidRPr="00A01E92">
        <w:rPr>
          <w:rFonts w:ascii="Poppins" w:hAnsi="Poppins" w:cs="Poppins"/>
          <w:sz w:val="18"/>
          <w:szCs w:val="18"/>
        </w:rPr>
        <w:t xml:space="preserve">, Petroperú publicó su lista de precios de venta de combustibles. </w:t>
      </w:r>
      <w:r w:rsidR="005B7181" w:rsidRPr="00A01E92">
        <w:rPr>
          <w:rFonts w:ascii="Poppins" w:hAnsi="Poppins" w:cs="Poppins"/>
          <w:sz w:val="18"/>
          <w:szCs w:val="18"/>
        </w:rPr>
        <w:t>En dicha lista se</w:t>
      </w:r>
      <w:r w:rsidRPr="00A01E92">
        <w:rPr>
          <w:rFonts w:ascii="Poppins" w:hAnsi="Poppins" w:cs="Poppins"/>
          <w:sz w:val="18"/>
          <w:szCs w:val="18"/>
        </w:rPr>
        <w:t xml:space="preserve"> registraron variaciones en los precios </w:t>
      </w:r>
      <w:r w:rsidR="009076DF" w:rsidRPr="00A01E92">
        <w:rPr>
          <w:rFonts w:ascii="Poppins" w:hAnsi="Poppins" w:cs="Poppins"/>
          <w:sz w:val="18"/>
          <w:szCs w:val="18"/>
        </w:rPr>
        <w:t>de</w:t>
      </w:r>
      <w:r w:rsidR="009E527C">
        <w:rPr>
          <w:rFonts w:ascii="Poppins" w:hAnsi="Poppins" w:cs="Poppins"/>
          <w:sz w:val="18"/>
          <w:szCs w:val="18"/>
        </w:rPr>
        <w:t xml:space="preserve"> </w:t>
      </w:r>
      <w:r w:rsidR="00A7646E">
        <w:rPr>
          <w:rFonts w:ascii="Poppins" w:hAnsi="Poppins" w:cs="Poppins"/>
          <w:sz w:val="18"/>
          <w:szCs w:val="18"/>
        </w:rPr>
        <w:t>l</w:t>
      </w:r>
      <w:r w:rsidR="009E527C">
        <w:rPr>
          <w:rFonts w:ascii="Poppins" w:hAnsi="Poppins" w:cs="Poppins"/>
          <w:sz w:val="18"/>
          <w:szCs w:val="18"/>
        </w:rPr>
        <w:t>a</w:t>
      </w:r>
      <w:r w:rsidR="00A7646E">
        <w:rPr>
          <w:rFonts w:ascii="Poppins" w:hAnsi="Poppins" w:cs="Poppins"/>
          <w:sz w:val="18"/>
          <w:szCs w:val="18"/>
        </w:rPr>
        <w:t xml:space="preserve"> </w:t>
      </w:r>
      <w:r w:rsidR="00093757" w:rsidRPr="00A01E92">
        <w:rPr>
          <w:rFonts w:ascii="Poppins" w:hAnsi="Poppins" w:cs="Poppins"/>
          <w:sz w:val="18"/>
          <w:szCs w:val="18"/>
        </w:rPr>
        <w:t xml:space="preserve">Gasolina </w:t>
      </w:r>
      <w:r w:rsidR="00093757">
        <w:rPr>
          <w:rFonts w:ascii="Poppins" w:hAnsi="Poppins" w:cs="Poppins"/>
          <w:sz w:val="18"/>
          <w:szCs w:val="18"/>
        </w:rPr>
        <w:t>Premium</w:t>
      </w:r>
      <w:r w:rsidR="00093757" w:rsidRPr="00A01E92">
        <w:rPr>
          <w:rFonts w:ascii="Poppins" w:hAnsi="Poppins" w:cs="Poppins"/>
          <w:sz w:val="18"/>
          <w:szCs w:val="18"/>
        </w:rPr>
        <w:t xml:space="preserve"> (</w:t>
      </w:r>
      <w:r w:rsidR="00845353">
        <w:rPr>
          <w:rFonts w:ascii="Poppins" w:hAnsi="Poppins" w:cs="Poppins"/>
          <w:sz w:val="18"/>
          <w:szCs w:val="18"/>
        </w:rPr>
        <w:t>+</w:t>
      </w:r>
      <w:r w:rsidR="00640D73">
        <w:rPr>
          <w:rFonts w:ascii="Poppins" w:hAnsi="Poppins" w:cs="Poppins"/>
          <w:sz w:val="18"/>
          <w:szCs w:val="18"/>
        </w:rPr>
        <w:t>1</w:t>
      </w:r>
      <w:r w:rsidR="00460518">
        <w:rPr>
          <w:rFonts w:ascii="Poppins" w:hAnsi="Poppins" w:cs="Poppins"/>
          <w:sz w:val="18"/>
          <w:szCs w:val="18"/>
        </w:rPr>
        <w:t>,</w:t>
      </w:r>
      <w:r w:rsidR="00C85B7F">
        <w:rPr>
          <w:rFonts w:ascii="Poppins" w:hAnsi="Poppins" w:cs="Poppins"/>
          <w:sz w:val="18"/>
          <w:szCs w:val="18"/>
        </w:rPr>
        <w:t>21</w:t>
      </w:r>
      <w:r w:rsidR="00093757" w:rsidRPr="00A01E92">
        <w:rPr>
          <w:rFonts w:ascii="Poppins" w:hAnsi="Poppins" w:cs="Poppins"/>
          <w:sz w:val="18"/>
          <w:szCs w:val="18"/>
        </w:rPr>
        <w:t xml:space="preserve"> S/Gln</w:t>
      </w:r>
      <w:r w:rsidR="00093757">
        <w:rPr>
          <w:rFonts w:ascii="Poppins" w:hAnsi="Poppins" w:cs="Poppins"/>
          <w:sz w:val="18"/>
          <w:szCs w:val="18"/>
        </w:rPr>
        <w:t xml:space="preserve">), </w:t>
      </w:r>
      <w:r w:rsidR="00465772" w:rsidRPr="00A01E92">
        <w:rPr>
          <w:rFonts w:ascii="Poppins" w:hAnsi="Poppins" w:cs="Poppins"/>
          <w:sz w:val="18"/>
          <w:szCs w:val="18"/>
        </w:rPr>
        <w:t>Gaso</w:t>
      </w:r>
      <w:r w:rsidR="00A01E92" w:rsidRPr="00A01E92">
        <w:rPr>
          <w:rFonts w:ascii="Poppins" w:hAnsi="Poppins" w:cs="Poppins"/>
          <w:sz w:val="18"/>
          <w:szCs w:val="18"/>
        </w:rPr>
        <w:t>lina</w:t>
      </w:r>
      <w:r w:rsidR="00465772" w:rsidRPr="00A01E92">
        <w:rPr>
          <w:rFonts w:ascii="Poppins" w:hAnsi="Poppins" w:cs="Poppins"/>
          <w:sz w:val="18"/>
          <w:szCs w:val="18"/>
        </w:rPr>
        <w:t xml:space="preserve"> </w:t>
      </w:r>
      <w:r w:rsidR="00093757">
        <w:rPr>
          <w:rFonts w:ascii="Poppins" w:hAnsi="Poppins" w:cs="Poppins"/>
          <w:sz w:val="18"/>
          <w:szCs w:val="18"/>
        </w:rPr>
        <w:t>Regular</w:t>
      </w:r>
      <w:r w:rsidR="00465772" w:rsidRPr="00A01E92">
        <w:rPr>
          <w:rFonts w:ascii="Poppins" w:hAnsi="Poppins" w:cs="Poppins"/>
          <w:sz w:val="18"/>
          <w:szCs w:val="18"/>
        </w:rPr>
        <w:t xml:space="preserve"> (</w:t>
      </w:r>
      <w:r w:rsidR="009C7995">
        <w:rPr>
          <w:rFonts w:ascii="Poppins" w:hAnsi="Poppins" w:cs="Poppins"/>
          <w:sz w:val="18"/>
          <w:szCs w:val="18"/>
        </w:rPr>
        <w:t>+</w:t>
      </w:r>
      <w:r w:rsidR="00804299">
        <w:rPr>
          <w:rFonts w:ascii="Poppins" w:hAnsi="Poppins" w:cs="Poppins"/>
          <w:sz w:val="18"/>
          <w:szCs w:val="18"/>
        </w:rPr>
        <w:t>1</w:t>
      </w:r>
      <w:r w:rsidR="00465772" w:rsidRPr="00A01E92">
        <w:rPr>
          <w:rFonts w:ascii="Poppins" w:hAnsi="Poppins" w:cs="Poppins"/>
          <w:sz w:val="18"/>
          <w:szCs w:val="18"/>
        </w:rPr>
        <w:t>,</w:t>
      </w:r>
      <w:r w:rsidR="00640D73">
        <w:rPr>
          <w:rFonts w:ascii="Poppins" w:hAnsi="Poppins" w:cs="Poppins"/>
          <w:sz w:val="18"/>
          <w:szCs w:val="18"/>
        </w:rPr>
        <w:t>1</w:t>
      </w:r>
      <w:r w:rsidR="00C85B7F">
        <w:rPr>
          <w:rFonts w:ascii="Poppins" w:hAnsi="Poppins" w:cs="Poppins"/>
          <w:sz w:val="18"/>
          <w:szCs w:val="18"/>
        </w:rPr>
        <w:t>4</w:t>
      </w:r>
      <w:r w:rsidR="00640D73">
        <w:rPr>
          <w:rFonts w:ascii="Poppins" w:hAnsi="Poppins" w:cs="Poppins"/>
          <w:sz w:val="18"/>
          <w:szCs w:val="18"/>
        </w:rPr>
        <w:t xml:space="preserve"> </w:t>
      </w:r>
      <w:r w:rsidR="00465772" w:rsidRPr="00A01E92">
        <w:rPr>
          <w:rFonts w:ascii="Poppins" w:hAnsi="Poppins" w:cs="Poppins"/>
          <w:sz w:val="18"/>
          <w:szCs w:val="18"/>
        </w:rPr>
        <w:t>S/Gln)</w:t>
      </w:r>
      <w:r w:rsidR="00BC45B5" w:rsidRPr="00A01E92">
        <w:rPr>
          <w:rFonts w:ascii="Poppins" w:hAnsi="Poppins" w:cs="Poppins"/>
          <w:sz w:val="18"/>
          <w:szCs w:val="18"/>
        </w:rPr>
        <w:t xml:space="preserve">, </w:t>
      </w:r>
      <w:r w:rsidR="00845353" w:rsidRPr="00A01E92">
        <w:rPr>
          <w:rFonts w:ascii="Poppins" w:hAnsi="Poppins" w:cs="Poppins"/>
          <w:sz w:val="18"/>
          <w:szCs w:val="18"/>
        </w:rPr>
        <w:t xml:space="preserve">Gasohol </w:t>
      </w:r>
      <w:r w:rsidR="00845353">
        <w:rPr>
          <w:rFonts w:ascii="Poppins" w:hAnsi="Poppins" w:cs="Poppins"/>
          <w:sz w:val="18"/>
          <w:szCs w:val="18"/>
        </w:rPr>
        <w:t>Premium</w:t>
      </w:r>
      <w:r w:rsidR="00845353" w:rsidRPr="00A01E92">
        <w:rPr>
          <w:rFonts w:ascii="Poppins" w:hAnsi="Poppins" w:cs="Poppins"/>
          <w:sz w:val="18"/>
          <w:szCs w:val="18"/>
        </w:rPr>
        <w:t xml:space="preserve"> (</w:t>
      </w:r>
      <w:r w:rsidR="00845353">
        <w:rPr>
          <w:rFonts w:ascii="Poppins" w:hAnsi="Poppins" w:cs="Poppins"/>
          <w:sz w:val="18"/>
          <w:szCs w:val="18"/>
        </w:rPr>
        <w:t>+</w:t>
      </w:r>
      <w:r w:rsidR="00804299">
        <w:rPr>
          <w:rFonts w:ascii="Poppins" w:hAnsi="Poppins" w:cs="Poppins"/>
          <w:sz w:val="18"/>
          <w:szCs w:val="18"/>
        </w:rPr>
        <w:t>1</w:t>
      </w:r>
      <w:r w:rsidR="00845353" w:rsidRPr="00A01E92">
        <w:rPr>
          <w:rFonts w:ascii="Poppins" w:hAnsi="Poppins" w:cs="Poppins"/>
          <w:sz w:val="18"/>
          <w:szCs w:val="18"/>
        </w:rPr>
        <w:t>,</w:t>
      </w:r>
      <w:r w:rsidR="00626502">
        <w:rPr>
          <w:rFonts w:ascii="Poppins" w:hAnsi="Poppins" w:cs="Poppins"/>
          <w:sz w:val="18"/>
          <w:szCs w:val="18"/>
        </w:rPr>
        <w:t>13</w:t>
      </w:r>
      <w:r w:rsidR="00845353" w:rsidRPr="00A01E92">
        <w:rPr>
          <w:rFonts w:ascii="Poppins" w:hAnsi="Poppins" w:cs="Poppins"/>
          <w:sz w:val="18"/>
          <w:szCs w:val="18"/>
        </w:rPr>
        <w:t xml:space="preserve"> S/Gln)</w:t>
      </w:r>
      <w:r w:rsidR="00845353">
        <w:rPr>
          <w:rFonts w:ascii="Poppins" w:hAnsi="Poppins" w:cs="Poppins"/>
          <w:sz w:val="18"/>
          <w:szCs w:val="18"/>
        </w:rPr>
        <w:t xml:space="preserve">, </w:t>
      </w:r>
      <w:r w:rsidR="00A01E92" w:rsidRPr="00A01E92">
        <w:rPr>
          <w:rFonts w:ascii="Poppins" w:hAnsi="Poppins" w:cs="Poppins"/>
          <w:sz w:val="18"/>
          <w:szCs w:val="18"/>
        </w:rPr>
        <w:t>Gasohol Regular (</w:t>
      </w:r>
      <w:r w:rsidR="00460518">
        <w:rPr>
          <w:rFonts w:ascii="Poppins" w:hAnsi="Poppins" w:cs="Poppins"/>
          <w:sz w:val="18"/>
          <w:szCs w:val="18"/>
        </w:rPr>
        <w:t>+</w:t>
      </w:r>
      <w:r w:rsidR="00804299">
        <w:rPr>
          <w:rFonts w:ascii="Poppins" w:hAnsi="Poppins" w:cs="Poppins"/>
          <w:sz w:val="18"/>
          <w:szCs w:val="18"/>
        </w:rPr>
        <w:t>1</w:t>
      </w:r>
      <w:r w:rsidR="00626502">
        <w:rPr>
          <w:rFonts w:ascii="Poppins" w:hAnsi="Poppins" w:cs="Poppins"/>
          <w:sz w:val="18"/>
          <w:szCs w:val="18"/>
        </w:rPr>
        <w:t>,0</w:t>
      </w:r>
      <w:r w:rsidR="00640D73">
        <w:rPr>
          <w:rFonts w:ascii="Poppins" w:hAnsi="Poppins" w:cs="Poppins"/>
          <w:sz w:val="18"/>
          <w:szCs w:val="18"/>
        </w:rPr>
        <w:t>7</w:t>
      </w:r>
      <w:r w:rsidR="00626502">
        <w:rPr>
          <w:rFonts w:ascii="Poppins" w:hAnsi="Poppins" w:cs="Poppins"/>
          <w:sz w:val="18"/>
          <w:szCs w:val="18"/>
        </w:rPr>
        <w:t> </w:t>
      </w:r>
      <w:r w:rsidR="00A01E92" w:rsidRPr="00A01E92">
        <w:rPr>
          <w:rFonts w:ascii="Poppins" w:hAnsi="Poppins" w:cs="Poppins"/>
          <w:sz w:val="18"/>
          <w:szCs w:val="18"/>
        </w:rPr>
        <w:t>S/Gln)</w:t>
      </w:r>
      <w:r w:rsidR="00B66A52">
        <w:rPr>
          <w:rFonts w:ascii="Poppins" w:hAnsi="Poppins" w:cs="Poppins"/>
          <w:sz w:val="18"/>
          <w:szCs w:val="18"/>
        </w:rPr>
        <w:t>, Diesel B5 UV S-50</w:t>
      </w:r>
      <w:r w:rsidR="00B66A52" w:rsidRPr="00A01E92">
        <w:rPr>
          <w:rFonts w:ascii="Poppins" w:hAnsi="Poppins" w:cs="Poppins"/>
          <w:sz w:val="18"/>
          <w:szCs w:val="18"/>
        </w:rPr>
        <w:t xml:space="preserve"> (</w:t>
      </w:r>
      <w:r w:rsidR="00A7646E">
        <w:rPr>
          <w:rFonts w:ascii="Poppins" w:hAnsi="Poppins" w:cs="Poppins"/>
          <w:sz w:val="18"/>
          <w:szCs w:val="18"/>
        </w:rPr>
        <w:t>+</w:t>
      </w:r>
      <w:r w:rsidR="00626502">
        <w:rPr>
          <w:rFonts w:ascii="Poppins" w:hAnsi="Poppins" w:cs="Poppins"/>
          <w:sz w:val="18"/>
          <w:szCs w:val="18"/>
        </w:rPr>
        <w:t>1</w:t>
      </w:r>
      <w:r w:rsidR="00B66A52" w:rsidRPr="00A01E92">
        <w:rPr>
          <w:rFonts w:ascii="Poppins" w:hAnsi="Poppins" w:cs="Poppins"/>
          <w:sz w:val="18"/>
          <w:szCs w:val="18"/>
        </w:rPr>
        <w:t>,</w:t>
      </w:r>
      <w:r w:rsidR="00626502">
        <w:rPr>
          <w:rFonts w:ascii="Poppins" w:hAnsi="Poppins" w:cs="Poppins"/>
          <w:sz w:val="18"/>
          <w:szCs w:val="18"/>
        </w:rPr>
        <w:t>42</w:t>
      </w:r>
      <w:r w:rsidR="00B66A52" w:rsidRPr="00A01E92">
        <w:rPr>
          <w:rFonts w:ascii="Poppins" w:hAnsi="Poppins" w:cs="Poppins"/>
          <w:sz w:val="18"/>
          <w:szCs w:val="18"/>
        </w:rPr>
        <w:t xml:space="preserve"> S/Gln)</w:t>
      </w:r>
      <w:r w:rsidR="00804299">
        <w:rPr>
          <w:rFonts w:ascii="Poppins" w:hAnsi="Poppins" w:cs="Poppins"/>
          <w:sz w:val="18"/>
          <w:szCs w:val="18"/>
        </w:rPr>
        <w:t>,</w:t>
      </w:r>
      <w:r w:rsidR="00B66A52">
        <w:rPr>
          <w:rFonts w:ascii="Poppins" w:hAnsi="Poppins" w:cs="Poppins"/>
          <w:sz w:val="18"/>
          <w:szCs w:val="18"/>
          <w:lang w:val="es-PE"/>
        </w:rPr>
        <w:t xml:space="preserve"> Diesel B5 S-50</w:t>
      </w:r>
      <w:r w:rsidR="00B66A52" w:rsidRPr="00A01E92">
        <w:rPr>
          <w:rFonts w:ascii="Poppins" w:hAnsi="Poppins" w:cs="Poppins"/>
          <w:sz w:val="18"/>
          <w:szCs w:val="18"/>
        </w:rPr>
        <w:t xml:space="preserve"> (</w:t>
      </w:r>
      <w:r w:rsidR="00B66A52">
        <w:rPr>
          <w:rFonts w:ascii="Poppins" w:hAnsi="Poppins" w:cs="Poppins"/>
          <w:sz w:val="18"/>
          <w:szCs w:val="18"/>
        </w:rPr>
        <w:t>+</w:t>
      </w:r>
      <w:r w:rsidR="00626502">
        <w:rPr>
          <w:rFonts w:ascii="Poppins" w:hAnsi="Poppins" w:cs="Poppins"/>
          <w:sz w:val="18"/>
          <w:szCs w:val="18"/>
        </w:rPr>
        <w:t>1</w:t>
      </w:r>
      <w:r w:rsidR="00B66A52" w:rsidRPr="00A01E92">
        <w:rPr>
          <w:rFonts w:ascii="Poppins" w:hAnsi="Poppins" w:cs="Poppins"/>
          <w:sz w:val="18"/>
          <w:szCs w:val="18"/>
        </w:rPr>
        <w:t>,</w:t>
      </w:r>
      <w:r w:rsidR="00626502">
        <w:rPr>
          <w:rFonts w:ascii="Poppins" w:hAnsi="Poppins" w:cs="Poppins"/>
          <w:sz w:val="18"/>
          <w:szCs w:val="18"/>
        </w:rPr>
        <w:t>42</w:t>
      </w:r>
      <w:r w:rsidR="00B66A52" w:rsidRPr="00A01E92">
        <w:rPr>
          <w:rFonts w:ascii="Poppins" w:hAnsi="Poppins" w:cs="Poppins"/>
          <w:sz w:val="18"/>
          <w:szCs w:val="18"/>
        </w:rPr>
        <w:t xml:space="preserve"> S/Gln)</w:t>
      </w:r>
      <w:r w:rsidR="00626502">
        <w:rPr>
          <w:rFonts w:ascii="Poppins" w:hAnsi="Poppins" w:cs="Poppins"/>
          <w:sz w:val="18"/>
          <w:szCs w:val="18"/>
        </w:rPr>
        <w:t>,</w:t>
      </w:r>
      <w:r w:rsidR="00804299" w:rsidRPr="00804299">
        <w:rPr>
          <w:rFonts w:ascii="Poppins" w:hAnsi="Poppins" w:cs="Poppins"/>
          <w:sz w:val="18"/>
          <w:szCs w:val="18"/>
        </w:rPr>
        <w:t xml:space="preserve"> </w:t>
      </w:r>
      <w:r w:rsidR="00804299">
        <w:rPr>
          <w:rFonts w:ascii="Poppins" w:hAnsi="Poppins" w:cs="Poppins"/>
          <w:sz w:val="18"/>
          <w:szCs w:val="18"/>
        </w:rPr>
        <w:t>PI N°6</w:t>
      </w:r>
      <w:r w:rsidR="00626502">
        <w:rPr>
          <w:rFonts w:ascii="Poppins" w:hAnsi="Poppins" w:cs="Poppins"/>
          <w:sz w:val="18"/>
          <w:szCs w:val="18"/>
        </w:rPr>
        <w:t xml:space="preserve"> </w:t>
      </w:r>
      <w:r w:rsidR="00804299" w:rsidRPr="00A01E92">
        <w:rPr>
          <w:rFonts w:ascii="Poppins" w:hAnsi="Poppins" w:cs="Poppins"/>
          <w:sz w:val="18"/>
          <w:szCs w:val="18"/>
        </w:rPr>
        <w:t>(</w:t>
      </w:r>
      <w:r w:rsidR="00804299">
        <w:rPr>
          <w:rFonts w:ascii="Poppins" w:hAnsi="Poppins" w:cs="Poppins"/>
          <w:sz w:val="18"/>
          <w:szCs w:val="18"/>
        </w:rPr>
        <w:t>+</w:t>
      </w:r>
      <w:r w:rsidR="00626502">
        <w:rPr>
          <w:rFonts w:ascii="Poppins" w:hAnsi="Poppins" w:cs="Poppins"/>
          <w:sz w:val="18"/>
          <w:szCs w:val="18"/>
        </w:rPr>
        <w:t>0</w:t>
      </w:r>
      <w:r w:rsidR="00804299" w:rsidRPr="00A01E92">
        <w:rPr>
          <w:rFonts w:ascii="Poppins" w:hAnsi="Poppins" w:cs="Poppins"/>
          <w:sz w:val="18"/>
          <w:szCs w:val="18"/>
        </w:rPr>
        <w:t>,</w:t>
      </w:r>
      <w:r w:rsidR="00640D73">
        <w:rPr>
          <w:rFonts w:ascii="Poppins" w:hAnsi="Poppins" w:cs="Poppins"/>
          <w:sz w:val="18"/>
          <w:szCs w:val="18"/>
        </w:rPr>
        <w:t>9</w:t>
      </w:r>
      <w:r w:rsidR="00626502">
        <w:rPr>
          <w:rFonts w:ascii="Poppins" w:hAnsi="Poppins" w:cs="Poppins"/>
          <w:sz w:val="18"/>
          <w:szCs w:val="18"/>
        </w:rPr>
        <w:t>6 </w:t>
      </w:r>
      <w:r w:rsidR="00804299" w:rsidRPr="00A01E92">
        <w:rPr>
          <w:rFonts w:ascii="Poppins" w:hAnsi="Poppins" w:cs="Poppins"/>
          <w:sz w:val="18"/>
          <w:szCs w:val="18"/>
        </w:rPr>
        <w:t>S/Gln)</w:t>
      </w:r>
      <w:r w:rsidR="00804299" w:rsidRPr="00B66A52">
        <w:rPr>
          <w:rFonts w:ascii="Poppins" w:hAnsi="Poppins" w:cs="Poppins"/>
          <w:sz w:val="18"/>
          <w:szCs w:val="18"/>
          <w:lang w:val="es-PE"/>
        </w:rPr>
        <w:t xml:space="preserve"> </w:t>
      </w:r>
      <w:r w:rsidR="00804299">
        <w:rPr>
          <w:rFonts w:ascii="Poppins" w:hAnsi="Poppins" w:cs="Poppins"/>
          <w:sz w:val="18"/>
          <w:szCs w:val="18"/>
          <w:lang w:val="es-PE"/>
        </w:rPr>
        <w:t>y PI N°500</w:t>
      </w:r>
      <w:r w:rsidR="00804299" w:rsidRPr="00A01E92">
        <w:rPr>
          <w:rFonts w:ascii="Poppins" w:hAnsi="Poppins" w:cs="Poppins"/>
          <w:sz w:val="18"/>
          <w:szCs w:val="18"/>
        </w:rPr>
        <w:t xml:space="preserve"> (</w:t>
      </w:r>
      <w:r w:rsidR="00804299">
        <w:rPr>
          <w:rFonts w:ascii="Poppins" w:hAnsi="Poppins" w:cs="Poppins"/>
          <w:sz w:val="18"/>
          <w:szCs w:val="18"/>
        </w:rPr>
        <w:t>+</w:t>
      </w:r>
      <w:r w:rsidR="00626502">
        <w:rPr>
          <w:rFonts w:ascii="Poppins" w:hAnsi="Poppins" w:cs="Poppins"/>
          <w:sz w:val="18"/>
          <w:szCs w:val="18"/>
        </w:rPr>
        <w:t>0</w:t>
      </w:r>
      <w:r w:rsidR="00804299" w:rsidRPr="00A01E92">
        <w:rPr>
          <w:rFonts w:ascii="Poppins" w:hAnsi="Poppins" w:cs="Poppins"/>
          <w:sz w:val="18"/>
          <w:szCs w:val="18"/>
        </w:rPr>
        <w:t>,</w:t>
      </w:r>
      <w:r w:rsidR="00626502">
        <w:rPr>
          <w:rFonts w:ascii="Poppins" w:hAnsi="Poppins" w:cs="Poppins"/>
          <w:sz w:val="18"/>
          <w:szCs w:val="18"/>
        </w:rPr>
        <w:t>94</w:t>
      </w:r>
      <w:r w:rsidR="00804299" w:rsidRPr="00A01E92">
        <w:rPr>
          <w:rFonts w:ascii="Poppins" w:hAnsi="Poppins" w:cs="Poppins"/>
          <w:sz w:val="18"/>
          <w:szCs w:val="18"/>
        </w:rPr>
        <w:t xml:space="preserve"> S/Gln)</w:t>
      </w:r>
      <w:r w:rsidR="00804299">
        <w:rPr>
          <w:rFonts w:ascii="Poppins" w:hAnsi="Poppins" w:cs="Poppins"/>
          <w:sz w:val="18"/>
          <w:szCs w:val="18"/>
        </w:rPr>
        <w:t xml:space="preserve"> </w:t>
      </w:r>
      <w:r w:rsidR="00432D6B" w:rsidRPr="00A01E92">
        <w:rPr>
          <w:rFonts w:ascii="Poppins" w:hAnsi="Poppins" w:cs="Poppins"/>
          <w:sz w:val="18"/>
          <w:szCs w:val="18"/>
          <w:lang w:val="es-PE"/>
        </w:rPr>
        <w:t>respecto de sus precios de la semana anterior.</w:t>
      </w:r>
    </w:p>
    <w:p w14:paraId="4F927923" w14:textId="2FB3ABD1" w:rsidR="00C87735" w:rsidRDefault="00C87735" w:rsidP="00C87735">
      <w:pPr>
        <w:pStyle w:val="Prrafodelista"/>
        <w:rPr>
          <w:rFonts w:ascii="Poppins" w:hAnsi="Poppins" w:cs="Poppins"/>
          <w:sz w:val="18"/>
          <w:szCs w:val="18"/>
        </w:rPr>
      </w:pPr>
    </w:p>
    <w:p w14:paraId="1AD33F9A" w14:textId="77777777" w:rsidR="00A7646E" w:rsidRDefault="00A7646E" w:rsidP="00C87735">
      <w:pPr>
        <w:pStyle w:val="Prrafodelista"/>
        <w:rPr>
          <w:rFonts w:ascii="Poppins" w:hAnsi="Poppins" w:cs="Poppins"/>
          <w:sz w:val="18"/>
          <w:szCs w:val="18"/>
        </w:rPr>
      </w:pPr>
    </w:p>
    <w:p w14:paraId="1B006990" w14:textId="2ADF35C8" w:rsidR="0082707D" w:rsidRDefault="0082707D"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4E02A366" w14:textId="1E2B92CB" w:rsidR="000A6914" w:rsidRDefault="000A6914" w:rsidP="0082707D">
      <w:pPr>
        <w:pStyle w:val="Sangradetextonormal"/>
        <w:rPr>
          <w:rFonts w:ascii="Poppins" w:hAnsi="Poppins" w:cs="Poppins"/>
          <w:sz w:val="18"/>
          <w:szCs w:val="18"/>
        </w:rPr>
      </w:pPr>
    </w:p>
    <w:p w14:paraId="7A306086" w14:textId="73343C9C" w:rsidR="00486D16" w:rsidRDefault="00486D16" w:rsidP="0082707D">
      <w:pPr>
        <w:pStyle w:val="Sangradetextonormal"/>
        <w:rPr>
          <w:rFonts w:ascii="Poppins" w:hAnsi="Poppins" w:cs="Poppins"/>
          <w:sz w:val="18"/>
          <w:szCs w:val="18"/>
        </w:rPr>
      </w:pPr>
    </w:p>
    <w:p w14:paraId="3606290E" w14:textId="77777777" w:rsidR="009C7995" w:rsidRDefault="009C7995" w:rsidP="0082707D">
      <w:pPr>
        <w:pStyle w:val="Sangradetextonormal"/>
        <w:rPr>
          <w:rFonts w:ascii="Poppins" w:hAnsi="Poppins" w:cs="Poppins"/>
          <w:sz w:val="18"/>
          <w:szCs w:val="18"/>
        </w:rPr>
      </w:pPr>
    </w:p>
    <w:p w14:paraId="2756A4A5" w14:textId="15CEE348" w:rsidR="00486D16" w:rsidRDefault="00486D16" w:rsidP="0082707D">
      <w:pPr>
        <w:pStyle w:val="Sangradetextonormal"/>
        <w:rPr>
          <w:rFonts w:ascii="Poppins" w:hAnsi="Poppins" w:cs="Poppins"/>
          <w:sz w:val="18"/>
          <w:szCs w:val="18"/>
        </w:rPr>
      </w:pPr>
    </w:p>
    <w:p w14:paraId="3CF209FD" w14:textId="77777777" w:rsidR="00D176B1" w:rsidRDefault="00D176B1" w:rsidP="0082707D">
      <w:pPr>
        <w:pStyle w:val="Sangradetextonormal"/>
        <w:rPr>
          <w:rFonts w:ascii="Poppins" w:hAnsi="Poppins" w:cs="Poppins"/>
          <w:sz w:val="18"/>
          <w:szCs w:val="18"/>
        </w:rPr>
      </w:pPr>
    </w:p>
    <w:p w14:paraId="3E683BBD" w14:textId="3FC89761" w:rsidR="00486D16" w:rsidRDefault="00486D16" w:rsidP="0082707D">
      <w:pPr>
        <w:pStyle w:val="Sangradetextonormal"/>
        <w:rPr>
          <w:rFonts w:ascii="Poppins" w:hAnsi="Poppins" w:cs="Poppins"/>
          <w:sz w:val="18"/>
          <w:szCs w:val="18"/>
        </w:rPr>
      </w:pPr>
    </w:p>
    <w:p w14:paraId="0D64364A" w14:textId="58836463" w:rsidR="00486D16" w:rsidRDefault="00486D16" w:rsidP="0082707D">
      <w:pPr>
        <w:pStyle w:val="Sangradetextonormal"/>
        <w:rPr>
          <w:rFonts w:ascii="Poppins" w:hAnsi="Poppins" w:cs="Poppins"/>
          <w:sz w:val="18"/>
          <w:szCs w:val="18"/>
        </w:rPr>
      </w:pPr>
    </w:p>
    <w:p w14:paraId="43AF09F3" w14:textId="2D1D7CE8" w:rsidR="00486D16" w:rsidRDefault="00486D16" w:rsidP="0082707D">
      <w:pPr>
        <w:pStyle w:val="Sangradetextonormal"/>
        <w:rPr>
          <w:rFonts w:ascii="Poppins" w:hAnsi="Poppins" w:cs="Poppins"/>
          <w:sz w:val="18"/>
          <w:szCs w:val="18"/>
        </w:rPr>
      </w:pPr>
    </w:p>
    <w:p w14:paraId="5F4D8AA6" w14:textId="3CCCEF40" w:rsidR="00486D16" w:rsidRDefault="00486D16" w:rsidP="0082707D">
      <w:pPr>
        <w:pStyle w:val="Sangradetextonormal"/>
        <w:rPr>
          <w:rFonts w:ascii="Poppins" w:hAnsi="Poppins" w:cs="Poppins"/>
          <w:sz w:val="18"/>
          <w:szCs w:val="18"/>
        </w:rPr>
      </w:pPr>
    </w:p>
    <w:p w14:paraId="5DB59B5B" w14:textId="5D4E8A3D" w:rsidR="000A6914" w:rsidRDefault="000A6914" w:rsidP="0082707D">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Con fecha 01.07.2021 se aprobó la Norma “Procedimiento para el Cálculo de los Precios de Referencia de los Combustibles derivados del Petróleo” mediante la Resolución del Consejo Directivo de OSINERGMIN N°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Los Precios de Referencia (PR) de Combustibles Líquidos determinados por el Osinergmin, cuya metodología de cálculo se grafica en el Anexo N°</w:t>
      </w:r>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5FB158F8" w14:textId="4E02237D" w:rsidR="00B877D1" w:rsidRDefault="00B877D1" w:rsidP="00313709">
      <w:pPr>
        <w:jc w:val="both"/>
        <w:rPr>
          <w:rFonts w:ascii="Poppins" w:hAnsi="Poppins" w:cs="Poppins"/>
          <w:sz w:val="18"/>
          <w:szCs w:val="18"/>
        </w:rPr>
      </w:pPr>
    </w:p>
    <w:p w14:paraId="43184548" w14:textId="158DE86F" w:rsidR="004844D8" w:rsidRDefault="004844D8" w:rsidP="00313709">
      <w:pPr>
        <w:jc w:val="both"/>
        <w:rPr>
          <w:rFonts w:ascii="Poppins" w:hAnsi="Poppins" w:cs="Poppins"/>
          <w:sz w:val="18"/>
          <w:szCs w:val="18"/>
        </w:rPr>
      </w:pPr>
    </w:p>
    <w:p w14:paraId="001AABE4" w14:textId="77777777" w:rsidR="00BC45B5" w:rsidRDefault="00BC45B5" w:rsidP="00313709">
      <w:pPr>
        <w:jc w:val="both"/>
        <w:rPr>
          <w:rFonts w:ascii="Poppins" w:hAnsi="Poppins" w:cs="Poppins"/>
          <w:sz w:val="18"/>
          <w:szCs w:val="18"/>
        </w:rPr>
      </w:pPr>
    </w:p>
    <w:p w14:paraId="085F334C" w14:textId="77777777" w:rsidR="004844D8" w:rsidRDefault="004844D8" w:rsidP="00313709">
      <w:pPr>
        <w:jc w:val="both"/>
        <w:rPr>
          <w:rFonts w:ascii="Poppins" w:hAnsi="Poppins" w:cs="Poppins"/>
          <w:sz w:val="18"/>
          <w:szCs w:val="18"/>
        </w:rPr>
      </w:pPr>
    </w:p>
    <w:p w14:paraId="10193FEA" w14:textId="6089BE4F" w:rsidR="00621B64" w:rsidRDefault="00621B64"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29F842DC" w:rsidR="00FE7A18" w:rsidRPr="0096213B" w:rsidRDefault="00AF3F44" w:rsidP="00CD537C">
      <w:pPr>
        <w:tabs>
          <w:tab w:val="left" w:pos="1560"/>
        </w:tabs>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640D73">
        <w:rPr>
          <w:rFonts w:ascii="Poppins" w:hAnsi="Poppins" w:cs="Poppins"/>
          <w:sz w:val="18"/>
          <w:szCs w:val="18"/>
        </w:rPr>
        <w:t>0</w:t>
      </w:r>
      <w:r w:rsidR="00C85B7F">
        <w:rPr>
          <w:rFonts w:ascii="Poppins" w:hAnsi="Poppins" w:cs="Poppins"/>
          <w:sz w:val="18"/>
          <w:szCs w:val="18"/>
        </w:rPr>
        <w:t>9</w:t>
      </w:r>
      <w:r w:rsidR="00E7305B">
        <w:rPr>
          <w:rFonts w:ascii="Poppins" w:hAnsi="Poppins" w:cs="Poppins"/>
          <w:sz w:val="18"/>
          <w:szCs w:val="18"/>
        </w:rPr>
        <w:t>/</w:t>
      </w:r>
      <w:r w:rsidR="006B489A">
        <w:rPr>
          <w:rFonts w:ascii="Poppins" w:hAnsi="Poppins" w:cs="Poppins"/>
          <w:sz w:val="18"/>
          <w:szCs w:val="18"/>
        </w:rPr>
        <w:t>0</w:t>
      </w:r>
      <w:r w:rsidR="00640D73">
        <w:rPr>
          <w:rFonts w:ascii="Poppins" w:hAnsi="Poppins" w:cs="Poppins"/>
          <w:sz w:val="18"/>
          <w:szCs w:val="18"/>
        </w:rPr>
        <w:t>3</w:t>
      </w:r>
      <w:r w:rsidR="00336251" w:rsidRPr="0096213B">
        <w:rPr>
          <w:rFonts w:ascii="Poppins" w:hAnsi="Poppins" w:cs="Poppins"/>
          <w:sz w:val="18"/>
          <w:szCs w:val="18"/>
        </w:rPr>
        <w:t>/202</w:t>
      </w:r>
      <w:r w:rsidR="006B489A">
        <w:rPr>
          <w:rFonts w:ascii="Poppins" w:hAnsi="Poppins" w:cs="Poppins"/>
          <w:sz w:val="18"/>
          <w:szCs w:val="18"/>
        </w:rPr>
        <w:t>6</w:t>
      </w:r>
      <w:r w:rsidR="00336251" w:rsidRPr="0096213B">
        <w:rPr>
          <w:rFonts w:ascii="Poppins" w:hAnsi="Poppins" w:cs="Poppins"/>
          <w:sz w:val="18"/>
          <w:szCs w:val="18"/>
        </w:rPr>
        <w:t xml:space="preserve"> y el </w:t>
      </w:r>
      <w:r w:rsidR="00C85B7F">
        <w:rPr>
          <w:rFonts w:ascii="Poppins" w:hAnsi="Poppins" w:cs="Poppins"/>
          <w:sz w:val="18"/>
          <w:szCs w:val="18"/>
        </w:rPr>
        <w:t>20</w:t>
      </w:r>
      <w:r w:rsidR="00336251" w:rsidRPr="0096213B">
        <w:rPr>
          <w:rFonts w:ascii="Poppins" w:hAnsi="Poppins" w:cs="Poppins"/>
          <w:sz w:val="18"/>
          <w:szCs w:val="18"/>
        </w:rPr>
        <w:t>/</w:t>
      </w:r>
      <w:r w:rsidR="005151B0">
        <w:rPr>
          <w:rFonts w:ascii="Poppins" w:hAnsi="Poppins" w:cs="Poppins"/>
          <w:sz w:val="18"/>
          <w:szCs w:val="18"/>
        </w:rPr>
        <w:t>0</w:t>
      </w:r>
      <w:r w:rsidR="00497CEA">
        <w:rPr>
          <w:rFonts w:ascii="Poppins" w:hAnsi="Poppins" w:cs="Poppins"/>
          <w:sz w:val="18"/>
          <w:szCs w:val="18"/>
        </w:rPr>
        <w:t>3</w:t>
      </w:r>
      <w:r w:rsidR="00336251" w:rsidRPr="0096213B">
        <w:rPr>
          <w:rFonts w:ascii="Poppins" w:hAnsi="Poppins" w:cs="Poppins"/>
          <w:sz w:val="18"/>
          <w:szCs w:val="18"/>
        </w:rPr>
        <w:t>/202</w:t>
      </w:r>
      <w:r w:rsidR="005151B0">
        <w:rPr>
          <w:rFonts w:ascii="Poppins" w:hAnsi="Poppins" w:cs="Poppins"/>
          <w:sz w:val="18"/>
          <w:szCs w:val="18"/>
        </w:rPr>
        <w:t>6</w:t>
      </w:r>
      <w:r w:rsidRPr="0096213B">
        <w:rPr>
          <w:rFonts w:ascii="Poppins" w:hAnsi="Poppins" w:cs="Poppins"/>
          <w:sz w:val="18"/>
          <w:szCs w:val="18"/>
        </w:rPr>
        <w:t>, se muestra en la Gráfica N°</w:t>
      </w:r>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3E91525A"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GRÁFICA N°</w:t>
      </w:r>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C85B7F">
        <w:rPr>
          <w:rFonts w:ascii="Poppins" w:hAnsi="Poppins" w:cs="Poppins"/>
          <w:b/>
          <w:bCs/>
          <w:i/>
          <w:sz w:val="18"/>
          <w:szCs w:val="18"/>
          <w:lang w:eastAsia="es-PE"/>
        </w:rPr>
        <w:t>23</w:t>
      </w:r>
      <w:r w:rsidR="00BD6D52">
        <w:rPr>
          <w:rFonts w:ascii="Poppins" w:hAnsi="Poppins" w:cs="Poppins"/>
          <w:b/>
          <w:bCs/>
          <w:i/>
          <w:sz w:val="18"/>
          <w:szCs w:val="18"/>
          <w:lang w:eastAsia="es-PE"/>
        </w:rPr>
        <w:t xml:space="preserve"> </w:t>
      </w:r>
      <w:r w:rsidRPr="0096213B">
        <w:rPr>
          <w:rFonts w:ascii="Poppins" w:hAnsi="Poppins" w:cs="Poppins"/>
          <w:b/>
          <w:bCs/>
          <w:i/>
          <w:sz w:val="18"/>
          <w:szCs w:val="18"/>
          <w:lang w:eastAsia="es-PE"/>
        </w:rPr>
        <w:t>-</w:t>
      </w:r>
      <w:r w:rsidR="005151B0">
        <w:rPr>
          <w:rFonts w:ascii="Poppins" w:hAnsi="Poppins" w:cs="Poppins"/>
          <w:b/>
          <w:bCs/>
          <w:i/>
          <w:sz w:val="18"/>
          <w:szCs w:val="18"/>
          <w:lang w:eastAsia="es-PE"/>
        </w:rPr>
        <w:t>0</w:t>
      </w:r>
      <w:r w:rsidR="008A0B48">
        <w:rPr>
          <w:rFonts w:ascii="Poppins" w:hAnsi="Poppins" w:cs="Poppins"/>
          <w:b/>
          <w:bCs/>
          <w:i/>
          <w:sz w:val="18"/>
          <w:szCs w:val="18"/>
          <w:lang w:eastAsia="es-PE"/>
        </w:rPr>
        <w:t>3</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C0234">
        <w:rPr>
          <w:rFonts w:ascii="Poppins" w:hAnsi="Poppins" w:cs="Poppins"/>
          <w:b/>
          <w:bCs/>
          <w:i/>
          <w:sz w:val="18"/>
          <w:szCs w:val="18"/>
          <w:lang w:eastAsia="es-PE"/>
        </w:rPr>
        <w:t>6</w:t>
      </w:r>
      <w:r w:rsidRPr="0096213B">
        <w:rPr>
          <w:rFonts w:ascii="Poppins" w:hAnsi="Poppins" w:cs="Poppins"/>
          <w:b/>
          <w:bCs/>
          <w:i/>
          <w:sz w:val="18"/>
          <w:szCs w:val="18"/>
          <w:lang w:eastAsia="es-PE"/>
        </w:rPr>
        <w:t>, en %</w:t>
      </w:r>
    </w:p>
    <w:p w14:paraId="6F543033" w14:textId="3681F816" w:rsidR="00A86191" w:rsidRPr="0096213B" w:rsidRDefault="000222E7"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57C43771" wp14:editId="0E30C567">
            <wp:extent cx="5433764" cy="3074351"/>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53576" cy="3085560"/>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745D91F5" w:rsidR="00E812D9" w:rsidRDefault="00336251" w:rsidP="00E812D9">
      <w:pPr>
        <w:jc w:val="both"/>
        <w:rPr>
          <w:rFonts w:ascii="Poppins" w:hAnsi="Poppins" w:cs="Poppins"/>
          <w:sz w:val="18"/>
          <w:szCs w:val="18"/>
        </w:rPr>
      </w:pPr>
      <w:r w:rsidRPr="0096213B">
        <w:rPr>
          <w:rFonts w:ascii="Poppins" w:hAnsi="Poppins" w:cs="Poppins"/>
          <w:sz w:val="18"/>
          <w:szCs w:val="18"/>
        </w:rPr>
        <w:t>En la Gráfica N°</w:t>
      </w:r>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0222E7">
        <w:rPr>
          <w:rFonts w:ascii="Poppins" w:hAnsi="Poppins" w:cs="Poppins"/>
          <w:sz w:val="18"/>
          <w:szCs w:val="18"/>
        </w:rPr>
        <w:t>9</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0222E7">
        <w:rPr>
          <w:rFonts w:ascii="Poppins" w:hAnsi="Poppins" w:cs="Poppins"/>
          <w:sz w:val="18"/>
          <w:szCs w:val="18"/>
        </w:rPr>
        <w:t>3</w:t>
      </w:r>
      <w:r w:rsidR="00893F38" w:rsidRPr="0096213B">
        <w:rPr>
          <w:rFonts w:ascii="Poppins" w:hAnsi="Poppins" w:cs="Poppins"/>
          <w:sz w:val="18"/>
          <w:szCs w:val="18"/>
        </w:rPr>
        <w:t xml:space="preserve">% y </w:t>
      </w:r>
      <w:r w:rsidRPr="0096213B">
        <w:rPr>
          <w:rFonts w:ascii="Poppins" w:hAnsi="Poppins" w:cs="Poppins"/>
          <w:sz w:val="18"/>
          <w:szCs w:val="18"/>
        </w:rPr>
        <w:t>9</w:t>
      </w:r>
      <w:r w:rsidR="000222E7">
        <w:rPr>
          <w:rFonts w:ascii="Poppins" w:hAnsi="Poppins" w:cs="Poppins"/>
          <w:sz w:val="18"/>
          <w:szCs w:val="18"/>
        </w:rPr>
        <w:t>2</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CC0234">
        <w:rPr>
          <w:rFonts w:ascii="Poppins" w:hAnsi="Poppins" w:cs="Poppins"/>
          <w:sz w:val="18"/>
          <w:szCs w:val="18"/>
        </w:rPr>
        <w:t>8</w:t>
      </w:r>
      <w:r w:rsidR="000222E7">
        <w:rPr>
          <w:rFonts w:ascii="Poppins" w:hAnsi="Poppins" w:cs="Poppins"/>
          <w:sz w:val="18"/>
          <w:szCs w:val="18"/>
        </w:rPr>
        <w:t>3</w:t>
      </w:r>
      <w:r w:rsidR="00282C40">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D0670D">
        <w:rPr>
          <w:rFonts w:ascii="Poppins" w:hAnsi="Poppins" w:cs="Poppins"/>
          <w:sz w:val="18"/>
          <w:szCs w:val="18"/>
        </w:rPr>
        <w:t>4</w:t>
      </w:r>
      <w:r w:rsidR="009B6181">
        <w:rPr>
          <w:rFonts w:ascii="Poppins" w:hAnsi="Poppins" w:cs="Poppins"/>
          <w:sz w:val="18"/>
          <w:szCs w:val="18"/>
        </w:rPr>
        <w:t>%</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61238699" w14:textId="77777777" w:rsidR="0019627F" w:rsidRPr="0096213B" w:rsidRDefault="0019627F" w:rsidP="00E812D9">
      <w:pPr>
        <w:jc w:val="both"/>
        <w:rPr>
          <w:rFonts w:ascii="Poppins" w:hAnsi="Poppins" w:cs="Poppins"/>
          <w:sz w:val="18"/>
          <w:szCs w:val="18"/>
        </w:rPr>
      </w:pPr>
    </w:p>
    <w:p w14:paraId="72C5BD24" w14:textId="5133D8E9"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3E521A">
        <w:rPr>
          <w:rFonts w:ascii="Poppins" w:hAnsi="Poppins" w:cs="Poppins"/>
          <w:sz w:val="18"/>
          <w:szCs w:val="18"/>
        </w:rPr>
        <w:t>23</w:t>
      </w:r>
      <w:r w:rsidR="00F07057">
        <w:rPr>
          <w:rFonts w:ascii="Poppins" w:hAnsi="Poppins" w:cs="Poppins"/>
          <w:sz w:val="18"/>
          <w:szCs w:val="18"/>
        </w:rPr>
        <w:t xml:space="preserve"> </w:t>
      </w:r>
      <w:r w:rsidRPr="0096213B">
        <w:rPr>
          <w:rFonts w:ascii="Poppins" w:hAnsi="Poppins" w:cs="Poppins"/>
          <w:sz w:val="18"/>
          <w:szCs w:val="18"/>
        </w:rPr>
        <w:t xml:space="preserve">de </w:t>
      </w:r>
      <w:r w:rsidR="008A0B48">
        <w:rPr>
          <w:rFonts w:ascii="Poppins" w:hAnsi="Poppins" w:cs="Poppins"/>
          <w:sz w:val="18"/>
          <w:szCs w:val="18"/>
        </w:rPr>
        <w:t>marz</w:t>
      </w:r>
      <w:r w:rsidR="00EF32FA">
        <w:rPr>
          <w:rFonts w:ascii="Poppins" w:hAnsi="Poppins" w:cs="Poppins"/>
          <w:sz w:val="18"/>
          <w:szCs w:val="18"/>
        </w:rPr>
        <w:t>o</w:t>
      </w:r>
      <w:r w:rsidR="00C0422E" w:rsidRPr="0096213B">
        <w:rPr>
          <w:rFonts w:ascii="Poppins" w:hAnsi="Poppins" w:cs="Poppins"/>
          <w:sz w:val="18"/>
          <w:szCs w:val="18"/>
        </w:rPr>
        <w:t xml:space="preserve"> de </w:t>
      </w:r>
      <w:r w:rsidRPr="0096213B">
        <w:rPr>
          <w:rFonts w:ascii="Poppins" w:hAnsi="Poppins" w:cs="Poppins"/>
          <w:sz w:val="18"/>
          <w:szCs w:val="18"/>
        </w:rPr>
        <w:t>202</w:t>
      </w:r>
      <w:r w:rsidR="00EF32FA">
        <w:rPr>
          <w:rFonts w:ascii="Poppins" w:hAnsi="Poppins" w:cs="Poppins"/>
          <w:sz w:val="18"/>
          <w:szCs w:val="18"/>
        </w:rPr>
        <w:t>6</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r w:rsidRPr="0096213B">
        <w:rPr>
          <w:rFonts w:ascii="Poppins" w:hAnsi="Poppins" w:cs="Poppins"/>
          <w:i/>
          <w:iCs/>
          <w:sz w:val="18"/>
          <w:szCs w:val="18"/>
        </w:rPr>
        <w:t>terminalling</w:t>
      </w:r>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221B7332"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r w:rsidRPr="0096213B">
        <w:rPr>
          <w:rFonts w:ascii="Poppins" w:hAnsi="Poppins" w:cs="Poppins"/>
          <w:i/>
          <w:iCs/>
          <w:sz w:val="18"/>
          <w:szCs w:val="18"/>
        </w:rPr>
        <w:t>terminalling</w:t>
      </w:r>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227FD3">
        <w:rPr>
          <w:rFonts w:ascii="Poppins" w:hAnsi="Poppins" w:cs="Poppins"/>
          <w:sz w:val="18"/>
          <w:szCs w:val="18"/>
        </w:rPr>
        <w:t>3</w:t>
      </w:r>
      <w:r w:rsidR="00937A88">
        <w:rPr>
          <w:rFonts w:ascii="Poppins" w:hAnsi="Poppins" w:cs="Poppins"/>
          <w:sz w:val="18"/>
          <w:szCs w:val="18"/>
        </w:rPr>
        <w:t>1</w:t>
      </w:r>
      <w:r w:rsidR="00A33C99" w:rsidRPr="0096213B">
        <w:rPr>
          <w:rFonts w:ascii="Poppins" w:hAnsi="Poppins" w:cs="Poppins"/>
          <w:sz w:val="18"/>
          <w:szCs w:val="18"/>
        </w:rPr>
        <w:t>,</w:t>
      </w:r>
      <w:r w:rsidR="00937A88">
        <w:rPr>
          <w:rFonts w:ascii="Poppins" w:hAnsi="Poppins" w:cs="Poppins"/>
          <w:sz w:val="18"/>
          <w:szCs w:val="18"/>
        </w:rPr>
        <w:t>35</w:t>
      </w:r>
      <w:r w:rsidR="00A33C99" w:rsidRPr="0096213B">
        <w:rPr>
          <w:rFonts w:ascii="Poppins" w:hAnsi="Poppins" w:cs="Poppins"/>
          <w:sz w:val="18"/>
          <w:szCs w:val="18"/>
        </w:rPr>
        <w:t xml:space="preserve"> cent$/galón equivalente a </w:t>
      </w:r>
      <w:r w:rsidR="00937A88">
        <w:rPr>
          <w:rFonts w:ascii="Poppins" w:hAnsi="Poppins" w:cs="Poppins"/>
          <w:sz w:val="18"/>
          <w:szCs w:val="18"/>
        </w:rPr>
        <w:t>13</w:t>
      </w:r>
      <w:r w:rsidR="00A33C99" w:rsidRPr="0096213B">
        <w:rPr>
          <w:rFonts w:ascii="Poppins" w:hAnsi="Poppins" w:cs="Poppins"/>
          <w:sz w:val="18"/>
          <w:szCs w:val="18"/>
        </w:rPr>
        <w:t>,</w:t>
      </w:r>
      <w:r w:rsidR="00937A88">
        <w:rPr>
          <w:rFonts w:ascii="Poppins" w:hAnsi="Poppins" w:cs="Poppins"/>
          <w:sz w:val="18"/>
          <w:szCs w:val="18"/>
        </w:rPr>
        <w:t>1</w:t>
      </w:r>
      <w:r w:rsidR="00227FD3">
        <w:rPr>
          <w:rFonts w:ascii="Poppins" w:hAnsi="Poppins" w:cs="Poppins"/>
          <w:sz w:val="18"/>
          <w:szCs w:val="18"/>
        </w:rPr>
        <w:t>7</w:t>
      </w:r>
      <w:r w:rsidR="00A33C99" w:rsidRPr="0096213B">
        <w:rPr>
          <w:rFonts w:ascii="Poppins" w:hAnsi="Poppins" w:cs="Poppins"/>
          <w:sz w:val="18"/>
          <w:szCs w:val="18"/>
        </w:rPr>
        <w:t xml:space="preserve"> US$/Bl.</w:t>
      </w:r>
    </w:p>
    <w:p w14:paraId="6ADD84E1" w14:textId="77777777" w:rsidR="00E60C43" w:rsidRPr="00EE493C" w:rsidRDefault="00E60C43" w:rsidP="00E812D9">
      <w:pPr>
        <w:pStyle w:val="Prrafodelista"/>
        <w:ind w:left="426" w:hanging="426"/>
        <w:jc w:val="center"/>
        <w:rPr>
          <w:rFonts w:ascii="Poppins" w:hAnsi="Poppins" w:cs="Poppins"/>
          <w:sz w:val="18"/>
          <w:szCs w:val="18"/>
          <w:lang w:val="es-PE"/>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waterborne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7 y CBOB 93; mientras que, para la Gasolina Regular y la Gasolina de 84 octanos, es el precio waterborne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1BA00F32"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3E21FC">
        <w:rPr>
          <w:rFonts w:ascii="Poppins" w:hAnsi="Poppins" w:cs="Poppins"/>
          <w:sz w:val="18"/>
          <w:szCs w:val="18"/>
        </w:rPr>
        <w:t>9</w:t>
      </w:r>
      <w:r w:rsidR="00E0028D">
        <w:rPr>
          <w:rFonts w:ascii="Poppins" w:hAnsi="Poppins" w:cs="Poppins"/>
          <w:sz w:val="18"/>
          <w:szCs w:val="18"/>
        </w:rPr>
        <w:t>,</w:t>
      </w:r>
      <w:r w:rsidR="00937A88">
        <w:rPr>
          <w:rFonts w:ascii="Poppins" w:hAnsi="Poppins" w:cs="Poppins"/>
          <w:sz w:val="18"/>
          <w:szCs w:val="18"/>
        </w:rPr>
        <w:t>27</w:t>
      </w:r>
      <w:r w:rsidRPr="00F07057">
        <w:rPr>
          <w:rFonts w:ascii="Poppins" w:hAnsi="Poppins" w:cs="Poppins"/>
          <w:sz w:val="18"/>
          <w:szCs w:val="18"/>
        </w:rPr>
        <w:t xml:space="preserve"> US$/Bl.</w:t>
      </w:r>
    </w:p>
    <w:p w14:paraId="35A56D11" w14:textId="77777777" w:rsidR="004B070A" w:rsidRPr="0096213B" w:rsidRDefault="004B070A" w:rsidP="004B070A">
      <w:pPr>
        <w:pStyle w:val="Prrafodelista"/>
        <w:rPr>
          <w:rFonts w:ascii="Poppins" w:hAnsi="Poppins" w:cs="Poppins"/>
          <w:sz w:val="18"/>
          <w:szCs w:val="18"/>
        </w:rPr>
      </w:pPr>
    </w:p>
    <w:p w14:paraId="0F56442C" w14:textId="2720F7E3"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227FD3">
        <w:rPr>
          <w:rFonts w:ascii="Poppins" w:hAnsi="Poppins" w:cs="Poppins"/>
          <w:sz w:val="18"/>
          <w:szCs w:val="18"/>
        </w:rPr>
        <w:t>0</w:t>
      </w:r>
      <w:r w:rsidR="00937A88">
        <w:rPr>
          <w:rFonts w:ascii="Poppins" w:hAnsi="Poppins" w:cs="Poppins"/>
          <w:sz w:val="18"/>
          <w:szCs w:val="18"/>
        </w:rPr>
        <w:t>,96</w:t>
      </w:r>
      <w:r w:rsidRPr="0096213B">
        <w:rPr>
          <w:rFonts w:ascii="Poppins" w:hAnsi="Poppins" w:cs="Poppins"/>
          <w:sz w:val="18"/>
          <w:szCs w:val="18"/>
        </w:rPr>
        <w:t xml:space="preserve"> US$/Bl para la Gasolina Premium y un ajuste de </w:t>
      </w:r>
      <w:r w:rsidR="00937A88">
        <w:rPr>
          <w:rFonts w:ascii="Poppins" w:hAnsi="Poppins" w:cs="Poppins"/>
          <w:sz w:val="18"/>
          <w:szCs w:val="18"/>
        </w:rPr>
        <w:t>-</w:t>
      </w:r>
      <w:r w:rsidR="00227FD3">
        <w:rPr>
          <w:rFonts w:ascii="Poppins" w:hAnsi="Poppins" w:cs="Poppins"/>
          <w:sz w:val="18"/>
          <w:szCs w:val="18"/>
        </w:rPr>
        <w:t>0</w:t>
      </w:r>
      <w:r w:rsidR="00513E2B" w:rsidRPr="0096213B">
        <w:rPr>
          <w:rFonts w:ascii="Poppins" w:hAnsi="Poppins" w:cs="Poppins"/>
          <w:sz w:val="18"/>
          <w:szCs w:val="18"/>
        </w:rPr>
        <w:t>,</w:t>
      </w:r>
      <w:r w:rsidR="00937A88">
        <w:rPr>
          <w:rFonts w:ascii="Poppins" w:hAnsi="Poppins" w:cs="Poppins"/>
          <w:sz w:val="18"/>
          <w:szCs w:val="18"/>
        </w:rPr>
        <w:t>81</w:t>
      </w:r>
      <w:r w:rsidR="00F91A25" w:rsidRPr="0096213B">
        <w:rPr>
          <w:rFonts w:ascii="Poppins" w:hAnsi="Poppins" w:cs="Poppins"/>
          <w:sz w:val="18"/>
          <w:szCs w:val="18"/>
        </w:rPr>
        <w:t xml:space="preserve"> </w:t>
      </w:r>
      <w:r w:rsidRPr="0096213B">
        <w:rPr>
          <w:rFonts w:ascii="Poppins" w:hAnsi="Poppins" w:cs="Poppins"/>
          <w:sz w:val="18"/>
          <w:szCs w:val="18"/>
        </w:rPr>
        <w:t>US$/Bl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1D5DEFA2"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937A88">
        <w:rPr>
          <w:rFonts w:ascii="Poppins" w:hAnsi="Poppins" w:cs="Poppins"/>
          <w:sz w:val="18"/>
          <w:szCs w:val="18"/>
        </w:rPr>
        <w:t>78</w:t>
      </w:r>
      <w:r w:rsidRPr="0096213B">
        <w:rPr>
          <w:rFonts w:ascii="Poppins" w:hAnsi="Poppins" w:cs="Poppins"/>
          <w:sz w:val="18"/>
          <w:szCs w:val="18"/>
        </w:rPr>
        <w:t xml:space="preserve"> US$/Bl para la Gasolina Regular y un ajuste de </w:t>
      </w:r>
      <w:r w:rsidR="00AE677A">
        <w:rPr>
          <w:rFonts w:ascii="Poppins" w:hAnsi="Poppins" w:cs="Poppins"/>
          <w:sz w:val="18"/>
          <w:szCs w:val="18"/>
        </w:rPr>
        <w:t>-</w:t>
      </w:r>
      <w:r w:rsidR="00937A88">
        <w:rPr>
          <w:rFonts w:ascii="Poppins" w:hAnsi="Poppins" w:cs="Poppins"/>
          <w:sz w:val="18"/>
          <w:szCs w:val="18"/>
        </w:rPr>
        <w:t>9</w:t>
      </w:r>
      <w:r w:rsidR="008508AE">
        <w:rPr>
          <w:rFonts w:ascii="Poppins" w:hAnsi="Poppins" w:cs="Poppins"/>
          <w:sz w:val="18"/>
          <w:szCs w:val="18"/>
        </w:rPr>
        <w:t>,</w:t>
      </w:r>
      <w:r w:rsidR="00937A88">
        <w:rPr>
          <w:rFonts w:ascii="Poppins" w:hAnsi="Poppins" w:cs="Poppins"/>
          <w:sz w:val="18"/>
          <w:szCs w:val="18"/>
        </w:rPr>
        <w:t>60</w:t>
      </w:r>
      <w:r w:rsidRPr="0096213B">
        <w:rPr>
          <w:rFonts w:ascii="Poppins" w:hAnsi="Poppins" w:cs="Poppins"/>
          <w:sz w:val="18"/>
          <w:szCs w:val="18"/>
        </w:rPr>
        <w:t xml:space="preserve"> US$/Bl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waterborne sin RVO del Ultra Sulfur Diésel. Para el Diésel con alto contenido de azufre, se considera </w:t>
      </w:r>
      <w:r w:rsidR="00A33C99" w:rsidRPr="0096213B">
        <w:rPr>
          <w:rFonts w:ascii="Poppins" w:hAnsi="Poppins" w:cs="Poppins"/>
          <w:sz w:val="18"/>
          <w:szCs w:val="18"/>
        </w:rPr>
        <w:t>el precio waterborne sin RVO del Ultra Sulfur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4FB944C8"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354C69">
        <w:rPr>
          <w:rFonts w:ascii="Poppins" w:hAnsi="Poppins" w:cs="Poppins"/>
          <w:sz w:val="18"/>
          <w:szCs w:val="18"/>
        </w:rPr>
        <w:t>9</w:t>
      </w:r>
      <w:r w:rsidR="00110925">
        <w:rPr>
          <w:rFonts w:ascii="Poppins" w:hAnsi="Poppins" w:cs="Poppins"/>
          <w:sz w:val="18"/>
          <w:szCs w:val="18"/>
        </w:rPr>
        <w:t>,</w:t>
      </w:r>
      <w:r w:rsidR="00227FD3">
        <w:rPr>
          <w:rFonts w:ascii="Poppins" w:hAnsi="Poppins" w:cs="Poppins"/>
          <w:sz w:val="18"/>
          <w:szCs w:val="18"/>
        </w:rPr>
        <w:t>39</w:t>
      </w:r>
      <w:r w:rsidRPr="0096213B">
        <w:rPr>
          <w:rFonts w:ascii="Poppins" w:hAnsi="Poppins" w:cs="Poppins"/>
          <w:sz w:val="18"/>
          <w:szCs w:val="18"/>
        </w:rPr>
        <w:t xml:space="preserve"> US$/Bl.</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Ajuste de Calidad por Cetano</w:t>
      </w:r>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r w:rsidR="00A33C99" w:rsidRPr="0096213B">
        <w:rPr>
          <w:rFonts w:ascii="Poppins" w:hAnsi="Poppins" w:cs="Poppins"/>
          <w:i/>
          <w:iCs/>
          <w:sz w:val="18"/>
          <w:szCs w:val="18"/>
        </w:rPr>
        <w:t>export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76DE4A2E"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lastRenderedPageBreak/>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227FD3">
        <w:rPr>
          <w:rFonts w:ascii="Poppins" w:hAnsi="Poppins" w:cs="Poppins"/>
          <w:bCs/>
          <w:sz w:val="18"/>
          <w:szCs w:val="18"/>
        </w:rPr>
        <w:t>3</w:t>
      </w:r>
      <w:r w:rsidRPr="004C5B09">
        <w:rPr>
          <w:rFonts w:ascii="Poppins" w:hAnsi="Poppins" w:cs="Poppins"/>
          <w:bCs/>
          <w:sz w:val="18"/>
          <w:szCs w:val="18"/>
        </w:rPr>
        <w:t>,</w:t>
      </w:r>
      <w:r w:rsidR="00B2357A">
        <w:rPr>
          <w:rFonts w:ascii="Poppins" w:hAnsi="Poppins" w:cs="Poppins"/>
          <w:bCs/>
          <w:sz w:val="18"/>
          <w:szCs w:val="18"/>
        </w:rPr>
        <w:t>71</w:t>
      </w:r>
      <w:r w:rsidRPr="004C5B09">
        <w:rPr>
          <w:rFonts w:ascii="Poppins" w:hAnsi="Poppins" w:cs="Poppins"/>
          <w:bCs/>
          <w:sz w:val="18"/>
          <w:szCs w:val="18"/>
        </w:rPr>
        <w:t xml:space="preserve"> </w:t>
      </w:r>
      <w:r w:rsidR="00B42047" w:rsidRPr="004C5B09">
        <w:rPr>
          <w:rFonts w:ascii="Poppins" w:hAnsi="Poppins" w:cs="Poppins"/>
          <w:bCs/>
          <w:sz w:val="18"/>
          <w:szCs w:val="18"/>
        </w:rPr>
        <w:t>US$/Bl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waterborne del Fuel Oil N°</w:t>
      </w:r>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5FA08A4F"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227FD3">
        <w:rPr>
          <w:rFonts w:ascii="Poppins" w:hAnsi="Poppins" w:cs="Poppins"/>
          <w:sz w:val="18"/>
          <w:szCs w:val="18"/>
        </w:rPr>
        <w:t>2</w:t>
      </w:r>
      <w:r w:rsidR="00F66E81" w:rsidRPr="0096213B">
        <w:rPr>
          <w:rFonts w:ascii="Poppins" w:hAnsi="Poppins" w:cs="Poppins"/>
          <w:sz w:val="18"/>
          <w:szCs w:val="18"/>
        </w:rPr>
        <w:t>,</w:t>
      </w:r>
      <w:r w:rsidR="00B2357A">
        <w:rPr>
          <w:rFonts w:ascii="Poppins" w:hAnsi="Poppins" w:cs="Poppins"/>
          <w:sz w:val="18"/>
          <w:szCs w:val="18"/>
        </w:rPr>
        <w:t>55</w:t>
      </w:r>
      <w:r w:rsidR="00BF1449">
        <w:rPr>
          <w:rFonts w:ascii="Poppins" w:hAnsi="Poppins" w:cs="Poppins"/>
          <w:sz w:val="18"/>
          <w:szCs w:val="18"/>
        </w:rPr>
        <w:t xml:space="preserve"> </w:t>
      </w:r>
      <w:r w:rsidRPr="0096213B">
        <w:rPr>
          <w:rFonts w:ascii="Poppins" w:hAnsi="Poppins" w:cs="Poppins"/>
          <w:sz w:val="18"/>
          <w:szCs w:val="18"/>
        </w:rPr>
        <w:t>US$/Bl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Los resultados del cálculo del Precio FOB y de los demás componentes que forman parte de los Precios de Referencia de Combustibles, se muestran en la Tabla N°</w:t>
      </w:r>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25AFD2C4"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Desde la vigencia de la Resolución Osinergmin N°</w:t>
      </w:r>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B11640">
        <w:rPr>
          <w:rFonts w:ascii="Poppins" w:hAnsi="Poppins" w:cs="Poppins"/>
          <w:sz w:val="18"/>
          <w:szCs w:val="18"/>
          <w:lang w:eastAsia="en-US"/>
        </w:rPr>
        <w:t>29</w:t>
      </w:r>
      <w:r w:rsidR="002C3713" w:rsidRPr="00881E39">
        <w:rPr>
          <w:rFonts w:ascii="Poppins" w:hAnsi="Poppins" w:cs="Poppins"/>
          <w:sz w:val="18"/>
          <w:szCs w:val="18"/>
          <w:lang w:eastAsia="en-US"/>
        </w:rPr>
        <w:t xml:space="preserve"> US$/Bl</w:t>
      </w:r>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B2357A">
        <w:rPr>
          <w:rFonts w:ascii="Poppins" w:hAnsi="Poppins" w:cs="Poppins"/>
          <w:sz w:val="18"/>
          <w:szCs w:val="18"/>
          <w:lang w:eastAsia="en-US"/>
        </w:rPr>
        <w:t>86</w:t>
      </w:r>
      <w:r w:rsidR="002C3713" w:rsidRPr="00881E39">
        <w:rPr>
          <w:rFonts w:ascii="Poppins" w:hAnsi="Poppins" w:cs="Poppins"/>
          <w:sz w:val="18"/>
          <w:szCs w:val="18"/>
          <w:lang w:eastAsia="en-US"/>
        </w:rPr>
        <w:t xml:space="preserve"> US$/Bl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B2357A">
        <w:rPr>
          <w:rFonts w:ascii="Poppins" w:hAnsi="Poppins" w:cs="Poppins"/>
          <w:sz w:val="18"/>
          <w:szCs w:val="18"/>
          <w:lang w:eastAsia="en-US"/>
        </w:rPr>
        <w:t>72</w:t>
      </w:r>
      <w:r w:rsidR="002C3713" w:rsidRPr="00881E39">
        <w:rPr>
          <w:rFonts w:ascii="Poppins" w:hAnsi="Poppins" w:cs="Poppins"/>
          <w:sz w:val="18"/>
          <w:szCs w:val="18"/>
          <w:lang w:eastAsia="en-US"/>
        </w:rPr>
        <w:t xml:space="preserve"> US$/</w:t>
      </w:r>
      <w:r w:rsidR="002C3713" w:rsidRPr="00A3027B">
        <w:rPr>
          <w:rFonts w:ascii="Poppins" w:hAnsi="Poppins" w:cs="Poppins"/>
          <w:sz w:val="18"/>
          <w:szCs w:val="18"/>
          <w:lang w:eastAsia="en-US"/>
        </w:rPr>
        <w:t>Bl</w:t>
      </w:r>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597E8399"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454D61">
        <w:rPr>
          <w:rFonts w:ascii="Poppins" w:hAnsi="Poppins" w:cs="Poppins"/>
          <w:sz w:val="18"/>
          <w:szCs w:val="18"/>
          <w:lang w:eastAsia="en-US"/>
        </w:rPr>
        <w:t>4</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l artículo 2 de la Resolución Directoral N°</w:t>
      </w:r>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49ED1414"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145613">
        <w:rPr>
          <w:rFonts w:ascii="Poppins" w:hAnsi="Poppins" w:cs="Poppins"/>
          <w:sz w:val="18"/>
          <w:szCs w:val="18"/>
          <w:lang w:eastAsia="en-US"/>
        </w:rPr>
        <w:t>2</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196BA4DD"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145613">
        <w:rPr>
          <w:rFonts w:ascii="Poppins" w:hAnsi="Poppins" w:cs="Poppins"/>
          <w:sz w:val="18"/>
          <w:szCs w:val="18"/>
          <w:lang w:eastAsia="en-US"/>
        </w:rPr>
        <w:t>1</w:t>
      </w:r>
      <w:r w:rsidRPr="0096213B">
        <w:rPr>
          <w:rFonts w:ascii="Poppins" w:hAnsi="Poppins" w:cs="Poppins"/>
          <w:sz w:val="18"/>
          <w:szCs w:val="18"/>
          <w:lang w:eastAsia="en-US"/>
        </w:rPr>
        <w:t>%), Etanol (0,</w:t>
      </w:r>
      <w:r w:rsidR="00CD3200" w:rsidRPr="0096213B">
        <w:rPr>
          <w:rFonts w:ascii="Poppins" w:hAnsi="Poppins" w:cs="Poppins"/>
          <w:sz w:val="18"/>
          <w:szCs w:val="18"/>
          <w:lang w:eastAsia="en-US"/>
        </w:rPr>
        <w:t>1</w:t>
      </w:r>
      <w:r w:rsidR="00145613">
        <w:rPr>
          <w:rFonts w:ascii="Poppins" w:hAnsi="Poppins" w:cs="Poppins"/>
          <w:sz w:val="18"/>
          <w:szCs w:val="18"/>
          <w:lang w:eastAsia="en-US"/>
        </w:rPr>
        <w:t>1</w:t>
      </w:r>
      <w:r w:rsidRPr="0096213B">
        <w:rPr>
          <w:rFonts w:ascii="Poppins" w:hAnsi="Poppins" w:cs="Poppins"/>
          <w:sz w:val="18"/>
          <w:szCs w:val="18"/>
          <w:lang w:eastAsia="en-US"/>
        </w:rPr>
        <w:t>%), Gasolinas (0,0</w:t>
      </w:r>
      <w:r w:rsidR="00145613">
        <w:rPr>
          <w:rFonts w:ascii="Poppins" w:hAnsi="Poppins" w:cs="Poppins"/>
          <w:sz w:val="18"/>
          <w:szCs w:val="18"/>
          <w:lang w:eastAsia="en-US"/>
        </w:rPr>
        <w:t>2</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145613">
        <w:rPr>
          <w:rFonts w:ascii="Poppins" w:hAnsi="Poppins" w:cs="Poppins"/>
          <w:sz w:val="18"/>
          <w:szCs w:val="18"/>
          <w:lang w:eastAsia="en-US"/>
        </w:rPr>
        <w:t>7</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15E81756"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Terminals Callao </w:t>
      </w:r>
      <w:r w:rsidR="009E085E" w:rsidRPr="0096213B">
        <w:rPr>
          <w:rFonts w:ascii="Poppins" w:hAnsi="Poppins" w:cs="Poppins"/>
          <w:sz w:val="18"/>
          <w:szCs w:val="18"/>
          <w:lang w:eastAsia="en-US"/>
        </w:rPr>
        <w:t>(</w:t>
      </w:r>
      <w:r w:rsidR="00634875">
        <w:rPr>
          <w:rFonts w:ascii="Poppins" w:hAnsi="Poppins" w:cs="Poppins"/>
          <w:sz w:val="18"/>
          <w:szCs w:val="18"/>
          <w:lang w:eastAsia="en-US"/>
        </w:rPr>
        <w:t>6</w:t>
      </w:r>
      <w:r w:rsidR="009E085E" w:rsidRPr="0096213B">
        <w:rPr>
          <w:rFonts w:ascii="Poppins" w:hAnsi="Poppins" w:cs="Poppins"/>
          <w:sz w:val="18"/>
          <w:szCs w:val="18"/>
          <w:lang w:eastAsia="en-US"/>
        </w:rPr>
        <w:t>,</w:t>
      </w:r>
      <w:r w:rsidR="00634875">
        <w:rPr>
          <w:rFonts w:ascii="Poppins" w:hAnsi="Poppins" w:cs="Poppins"/>
          <w:sz w:val="18"/>
          <w:szCs w:val="18"/>
          <w:lang w:eastAsia="en-US"/>
        </w:rPr>
        <w:t>95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 xml:space="preserve">vigente desde el </w:t>
      </w:r>
      <w:r w:rsidR="00634875">
        <w:rPr>
          <w:rFonts w:ascii="Poppins" w:hAnsi="Poppins" w:cs="Poppins"/>
          <w:sz w:val="18"/>
          <w:szCs w:val="18"/>
          <w:lang w:eastAsia="en-US"/>
        </w:rPr>
        <w:t>25</w:t>
      </w:r>
      <w:r w:rsidRPr="0096213B">
        <w:rPr>
          <w:rFonts w:ascii="Poppins" w:hAnsi="Poppins" w:cs="Poppins"/>
          <w:sz w:val="18"/>
          <w:szCs w:val="18"/>
          <w:lang w:eastAsia="en-US"/>
        </w:rPr>
        <w:t>.0</w:t>
      </w:r>
      <w:r w:rsidR="00634875">
        <w:rPr>
          <w:rFonts w:ascii="Poppins" w:hAnsi="Poppins" w:cs="Poppins"/>
          <w:sz w:val="18"/>
          <w:szCs w:val="18"/>
          <w:lang w:eastAsia="en-US"/>
        </w:rPr>
        <w:t>2</w:t>
      </w:r>
      <w:r w:rsidRPr="0096213B">
        <w:rPr>
          <w:rFonts w:ascii="Poppins" w:hAnsi="Poppins" w:cs="Poppins"/>
          <w:sz w:val="18"/>
          <w:szCs w:val="18"/>
          <w:lang w:eastAsia="en-US"/>
        </w:rPr>
        <w:t>.2</w:t>
      </w:r>
      <w:r w:rsidR="00634875">
        <w:rPr>
          <w:rFonts w:ascii="Poppins" w:hAnsi="Poppins" w:cs="Poppins"/>
          <w:sz w:val="18"/>
          <w:szCs w:val="18"/>
          <w:lang w:eastAsia="en-US"/>
        </w:rPr>
        <w:t>5</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50AA8CCD"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7"/>
          <w:footerReference w:type="default" r:id="rId18"/>
          <w:headerReference w:type="first" r:id="rId19"/>
          <w:footerReference w:type="first" r:id="rId20"/>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w:t>
      </w:r>
      <w:r w:rsidR="00145613">
        <w:rPr>
          <w:rFonts w:ascii="Poppins" w:hAnsi="Poppins" w:cs="Poppins"/>
          <w:sz w:val="18"/>
          <w:szCs w:val="18"/>
          <w:lang w:eastAsia="en-US"/>
        </w:rPr>
        <w:t>0</w:t>
      </w:r>
      <w:r w:rsidRPr="0096213B">
        <w:rPr>
          <w:rFonts w:ascii="Poppins" w:hAnsi="Poppins" w:cs="Poppins"/>
          <w:sz w:val="18"/>
          <w:szCs w:val="18"/>
          <w:lang w:eastAsia="en-US"/>
        </w:rPr>
        <w:t xml:space="preserve"> US$/Bl), GLP (0,</w:t>
      </w:r>
      <w:r w:rsidR="00145613">
        <w:rPr>
          <w:rFonts w:ascii="Poppins" w:hAnsi="Poppins" w:cs="Poppins"/>
          <w:sz w:val="18"/>
          <w:szCs w:val="18"/>
          <w:lang w:eastAsia="en-US"/>
        </w:rPr>
        <w:t>65</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US$/Bl)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$/Bl)</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TABLA N° 1: Composición de los Precios de Referencia de Importación de Combustibles</w:t>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049DAEF4" w14:textId="672CEA31" w:rsidR="004C3679" w:rsidRDefault="006038F6" w:rsidP="00352553">
            <w:pPr>
              <w:rPr>
                <w:rFonts w:ascii="Poppins" w:hAnsi="Poppins" w:cs="Poppins"/>
                <w:i/>
                <w:iCs/>
                <w:sz w:val="14"/>
                <w:szCs w:val="14"/>
                <w:lang w:val="es-MX" w:eastAsia="en-US"/>
              </w:rPr>
            </w:pPr>
            <w:r w:rsidRPr="006038F6">
              <w:rPr>
                <w:rFonts w:ascii="Poppins" w:hAnsi="Poppins" w:cs="Poppins"/>
                <w:i/>
                <w:iCs/>
                <w:sz w:val="14"/>
                <w:szCs w:val="14"/>
                <w:lang w:val="es-MX" w:eastAsia="en-US"/>
              </w:rPr>
              <w:t xml:space="preserve"> </w:t>
            </w:r>
          </w:p>
          <w:p w14:paraId="110F5F49" w14:textId="78988049" w:rsidR="006B489A" w:rsidRDefault="0076591B" w:rsidP="00352553">
            <w:pPr>
              <w:rPr>
                <w:rFonts w:ascii="Poppins" w:hAnsi="Poppins" w:cs="Poppins"/>
                <w:i/>
                <w:iCs/>
                <w:sz w:val="14"/>
                <w:szCs w:val="14"/>
                <w:lang w:val="es-MX" w:eastAsia="en-US"/>
              </w:rPr>
            </w:pPr>
            <w:r w:rsidRPr="0076591B">
              <w:rPr>
                <w:rFonts w:ascii="Poppins" w:hAnsi="Poppins" w:cs="Poppins"/>
                <w:i/>
                <w:iCs/>
                <w:sz w:val="14"/>
                <w:szCs w:val="14"/>
                <w:lang w:val="es-MX" w:eastAsia="en-US"/>
              </w:rPr>
              <w:t xml:space="preserve"> </w:t>
            </w:r>
            <w:r w:rsidR="003E521A" w:rsidRPr="003E521A">
              <w:rPr>
                <w:rFonts w:ascii="Poppins" w:hAnsi="Poppins" w:cs="Poppins"/>
                <w:i/>
                <w:iCs/>
                <w:noProof/>
                <w:sz w:val="14"/>
                <w:szCs w:val="14"/>
                <w:lang w:val="es-MX" w:eastAsia="en-US"/>
              </w:rPr>
              <w:drawing>
                <wp:inline distT="0" distB="0" distL="0" distR="0" wp14:anchorId="06C16B23" wp14:editId="5924ECAD">
                  <wp:extent cx="8169275" cy="2999740"/>
                  <wp:effectExtent l="0" t="0" r="3175"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169275" cy="2999740"/>
                          </a:xfrm>
                          <a:prstGeom prst="rect">
                            <a:avLst/>
                          </a:prstGeom>
                          <a:noFill/>
                          <a:ln>
                            <a:noFill/>
                          </a:ln>
                        </pic:spPr>
                      </pic:pic>
                    </a:graphicData>
                  </a:graphic>
                </wp:inline>
              </w:drawing>
            </w:r>
          </w:p>
          <w:p w14:paraId="190501AE" w14:textId="7BD0B727"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(1) Los cálculos se han efectuado conforme a la Resolución Directoral N°</w:t>
            </w:r>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244-2020-MEM/DGH y Resolución de Consejo Directivo N°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2B7C131B" w:rsidR="00352553" w:rsidRPr="0096213B" w:rsidRDefault="00352553" w:rsidP="00C573B5">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w:t>
            </w:r>
            <w:r w:rsidR="00C573B5">
              <w:rPr>
                <w:rFonts w:ascii="Poppins" w:hAnsi="Poppins" w:cs="Poppins"/>
                <w:i/>
                <w:iCs/>
                <w:sz w:val="14"/>
                <w:szCs w:val="14"/>
                <w:lang w:val="es-MX" w:eastAsia="en-US"/>
              </w:rPr>
              <w:t>se aplica un</w:t>
            </w:r>
            <w:r w:rsidR="00E33273" w:rsidRPr="0096213B">
              <w:rPr>
                <w:rFonts w:ascii="Poppins" w:hAnsi="Poppins" w:cs="Poppins"/>
                <w:i/>
                <w:iCs/>
                <w:sz w:val="14"/>
                <w:szCs w:val="14"/>
                <w:lang w:val="es-MX" w:eastAsia="en-US"/>
              </w:rPr>
              <w:t xml:space="preserve"> ajuste de calidad por </w:t>
            </w:r>
            <w:r w:rsidR="00C573B5">
              <w:rPr>
                <w:rFonts w:ascii="Poppins" w:hAnsi="Poppins" w:cs="Poppins"/>
                <w:i/>
                <w:iCs/>
                <w:sz w:val="14"/>
                <w:szCs w:val="14"/>
                <w:lang w:val="es-MX" w:eastAsia="en-US"/>
              </w:rPr>
              <w:t>contenido de azufre</w:t>
            </w:r>
            <w:r w:rsidR="00AA45DA" w:rsidRPr="0096213B">
              <w:rPr>
                <w:rFonts w:ascii="Poppins" w:hAnsi="Poppins" w:cs="Poppins"/>
                <w:i/>
                <w:iCs/>
                <w:sz w:val="14"/>
                <w:szCs w:val="14"/>
                <w:lang w:val="es-MX" w:eastAsia="en-US"/>
              </w:rPr>
              <w:t>.</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(4) El advalorem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4FD36833"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(10) El Precio de Referencia de los Gasoholes,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2"/>
          <w:headerReference w:type="first" r:id="rId23"/>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TABLA N°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457D9">
        <w:trPr>
          <w:trHeight w:val="4509"/>
        </w:trPr>
        <w:tc>
          <w:tcPr>
            <w:tcW w:w="5758" w:type="dxa"/>
            <w:tcBorders>
              <w:top w:val="single" w:sz="4" w:space="0" w:color="auto"/>
              <w:bottom w:val="single" w:sz="4" w:space="0" w:color="auto"/>
            </w:tcBorders>
            <w:shd w:val="clear" w:color="auto" w:fill="auto"/>
          </w:tcPr>
          <w:p w14:paraId="5FE1CE67" w14:textId="77588FE1" w:rsidR="000F7442" w:rsidRPr="0096213B" w:rsidRDefault="00FB31B0" w:rsidP="000F7442">
            <w:pPr>
              <w:jc w:val="center"/>
              <w:rPr>
                <w:rFonts w:ascii="Poppins" w:hAnsi="Poppins" w:cs="Poppins"/>
                <w:sz w:val="8"/>
                <w:szCs w:val="20"/>
              </w:rPr>
            </w:pPr>
            <w:r w:rsidRPr="00FB31B0">
              <w:rPr>
                <w:rFonts w:ascii="Poppins" w:hAnsi="Poppins" w:cs="Poppins"/>
                <w:noProof/>
                <w:sz w:val="8"/>
                <w:szCs w:val="20"/>
              </w:rPr>
              <w:drawing>
                <wp:inline distT="0" distB="0" distL="0" distR="0" wp14:anchorId="7A41FB9E" wp14:editId="20BC6AC3">
                  <wp:extent cx="3562350" cy="283845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62350" cy="2838450"/>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GRÁFICA N°</w:t>
      </w:r>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9214" w:type="dxa"/>
        <w:tblLayout w:type="fixed"/>
        <w:tblCellMar>
          <w:left w:w="70" w:type="dxa"/>
          <w:right w:w="70" w:type="dxa"/>
        </w:tblCellMar>
        <w:tblLook w:val="04A0" w:firstRow="1" w:lastRow="0" w:firstColumn="1" w:lastColumn="0" w:noHBand="0" w:noVBand="1"/>
      </w:tblPr>
      <w:tblGrid>
        <w:gridCol w:w="8347"/>
        <w:gridCol w:w="273"/>
        <w:gridCol w:w="594"/>
      </w:tblGrid>
      <w:tr w:rsidR="00EF5671" w:rsidRPr="0096213B" w14:paraId="18733CE8" w14:textId="77777777" w:rsidTr="004C3679">
        <w:trPr>
          <w:trHeight w:val="4418"/>
        </w:trPr>
        <w:tc>
          <w:tcPr>
            <w:tcW w:w="8347" w:type="dxa"/>
            <w:tcBorders>
              <w:top w:val="single" w:sz="4" w:space="0" w:color="auto"/>
              <w:bottom w:val="single" w:sz="4" w:space="0" w:color="auto"/>
            </w:tcBorders>
            <w:shd w:val="clear" w:color="auto" w:fill="auto"/>
          </w:tcPr>
          <w:p w14:paraId="5F438E49" w14:textId="2A049748" w:rsidR="00EF3BE9" w:rsidRPr="0096213B" w:rsidRDefault="00B2357A" w:rsidP="004C3679">
            <w:pPr>
              <w:ind w:left="-618" w:right="-798"/>
              <w:jc w:val="center"/>
              <w:rPr>
                <w:rFonts w:ascii="Poppins" w:hAnsi="Poppins" w:cs="Poppins"/>
                <w:noProof/>
                <w:sz w:val="20"/>
                <w:szCs w:val="20"/>
              </w:rPr>
            </w:pPr>
            <w:r>
              <w:rPr>
                <w:rFonts w:ascii="Poppins" w:hAnsi="Poppins" w:cs="Poppins"/>
                <w:noProof/>
                <w:sz w:val="20"/>
                <w:szCs w:val="20"/>
              </w:rPr>
              <w:drawing>
                <wp:inline distT="0" distB="0" distL="0" distR="0" wp14:anchorId="02E3D31D" wp14:editId="6BAD5B10">
                  <wp:extent cx="5320602" cy="2750820"/>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349906" cy="2765971"/>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594"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711B5211" w:rsidR="00D968D2" w:rsidRDefault="00D968D2" w:rsidP="00F85D23">
      <w:pPr>
        <w:jc w:val="both"/>
        <w:rPr>
          <w:rFonts w:ascii="Poppins" w:hAnsi="Poppins" w:cs="Poppins"/>
          <w:sz w:val="18"/>
          <w:szCs w:val="18"/>
          <w:u w:val="single"/>
          <w:lang w:val="es-PE" w:eastAsia="en-US"/>
        </w:rPr>
      </w:pPr>
    </w:p>
    <w:p w14:paraId="40285C26" w14:textId="77777777" w:rsidR="00FE5AE8" w:rsidRDefault="00FE5AE8"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2924862" w:rsidR="00AF270F" w:rsidRPr="0096213B" w:rsidRDefault="00AF270F" w:rsidP="000D22F8">
      <w:pPr>
        <w:pStyle w:val="Ttulo3"/>
        <w:tabs>
          <w:tab w:val="left" w:pos="284"/>
          <w:tab w:val="left" w:pos="7020"/>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r w:rsidR="000D22F8">
        <w:rPr>
          <w:rFonts w:ascii="Poppins" w:hAnsi="Poppins" w:cs="Poppins"/>
          <w:sz w:val="20"/>
          <w:szCs w:val="20"/>
        </w:rPr>
        <w:tab/>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TABLA N° 3</w:t>
      </w:r>
      <w:r w:rsidR="00354689" w:rsidRPr="000345D7">
        <w:rPr>
          <w:rFonts w:ascii="Poppins" w:hAnsi="Poppins" w:cs="Poppins"/>
          <w:i/>
          <w:sz w:val="16"/>
          <w:szCs w:val="16"/>
        </w:rPr>
        <w:t>: Diferencia entre Precios de Referencia de Combustibles vs Precios de Venta PETROPERU</w:t>
      </w:r>
    </w:p>
    <w:p w14:paraId="7BD435A3" w14:textId="13B8CFC7" w:rsidR="00551F16" w:rsidRPr="0096213B" w:rsidRDefault="003A3523"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3A3523">
        <w:drawing>
          <wp:inline distT="0" distB="0" distL="0" distR="0" wp14:anchorId="20D806C8" wp14:editId="48525D63">
            <wp:extent cx="5669385" cy="2347595"/>
            <wp:effectExtent l="0" t="0" r="762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72641" cy="2348943"/>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GRAFICA Nº</w:t>
      </w:r>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54F83079" w:rsidR="00F70B88" w:rsidRDefault="006A6F40" w:rsidP="00604758">
      <w:pPr>
        <w:spacing w:line="0" w:lineRule="atLeast"/>
        <w:ind w:right="-567"/>
        <w:jc w:val="both"/>
        <w:rPr>
          <w:rFonts w:ascii="Poppins" w:hAnsi="Poppins" w:cs="Poppins"/>
          <w:noProof/>
          <w:sz w:val="20"/>
          <w:szCs w:val="20"/>
        </w:rPr>
      </w:pPr>
      <w:r w:rsidRPr="006A6F40">
        <w:drawing>
          <wp:inline distT="0" distB="0" distL="0" distR="0" wp14:anchorId="259BD33F" wp14:editId="25714F7B">
            <wp:extent cx="5850255" cy="1821815"/>
            <wp:effectExtent l="0" t="0" r="0" b="698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50255" cy="1821815"/>
                    </a:xfrm>
                    <a:prstGeom prst="rect">
                      <a:avLst/>
                    </a:prstGeom>
                    <a:noFill/>
                    <a:ln>
                      <a:noFill/>
                    </a:ln>
                  </pic:spPr>
                </pic:pic>
              </a:graphicData>
            </a:graphic>
          </wp:inline>
        </w:drawing>
      </w:r>
    </w:p>
    <w:p w14:paraId="6C3D2D4D" w14:textId="513819D3" w:rsidR="00475D7F" w:rsidRDefault="00946505" w:rsidP="006220EA">
      <w:pPr>
        <w:jc w:val="both"/>
        <w:rPr>
          <w:rFonts w:ascii="Poppins" w:hAnsi="Poppins" w:cs="Poppins"/>
          <w:i/>
          <w:iCs/>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r w:rsidR="00EE3E05">
        <w:rPr>
          <w:rFonts w:ascii="Poppins" w:hAnsi="Poppins" w:cs="Poppins"/>
          <w:i/>
          <w:iCs/>
          <w:sz w:val="12"/>
          <w:szCs w:val="12"/>
        </w:rPr>
        <w:t>*</w:t>
      </w:r>
    </w:p>
    <w:p w14:paraId="2CBAE149" w14:textId="6EAFBBD1" w:rsidR="00BD1E57" w:rsidRDefault="00EE3E05" w:rsidP="00BD1E57">
      <w:pPr>
        <w:jc w:val="both"/>
        <w:rPr>
          <w:rFonts w:ascii="Poppins" w:hAnsi="Poppins" w:cs="Poppins"/>
          <w:i/>
          <w:iCs/>
          <w:sz w:val="10"/>
          <w:szCs w:val="10"/>
          <w:lang w:val="es-MX"/>
        </w:rPr>
      </w:pPr>
      <w:r w:rsidRPr="00BD1E57">
        <w:rPr>
          <w:rFonts w:ascii="Poppins" w:hAnsi="Poppins" w:cs="Poppins"/>
          <w:i/>
          <w:iCs/>
          <w:sz w:val="10"/>
          <w:szCs w:val="10"/>
        </w:rPr>
        <w:t xml:space="preserve">* </w:t>
      </w:r>
      <w:r w:rsidR="00BD1E57" w:rsidRPr="00BD1E57">
        <w:rPr>
          <w:rFonts w:ascii="Poppins" w:hAnsi="Poppins" w:cs="Poppins"/>
          <w:i/>
          <w:iCs/>
          <w:sz w:val="10"/>
          <w:szCs w:val="10"/>
          <w:lang w:val="es-MX"/>
        </w:rPr>
        <w:t>Del 06 de enero al 16 de febrero y del 10 de marzo a la fecha Petroperú no publicó</w:t>
      </w:r>
    </w:p>
    <w:p w14:paraId="2BCE367C" w14:textId="77777777" w:rsidR="00BD1E57" w:rsidRDefault="00BD1E57" w:rsidP="00BD1E57">
      <w:pPr>
        <w:jc w:val="both"/>
        <w:rPr>
          <w:rFonts w:ascii="Poppins" w:hAnsi="Poppins" w:cs="Poppins"/>
          <w:i/>
          <w:iCs/>
          <w:sz w:val="10"/>
          <w:szCs w:val="10"/>
          <w:lang w:val="es-MX"/>
        </w:rPr>
      </w:pPr>
      <w:r>
        <w:rPr>
          <w:rFonts w:ascii="Poppins" w:hAnsi="Poppins" w:cs="Poppins"/>
          <w:i/>
          <w:iCs/>
          <w:sz w:val="10"/>
          <w:szCs w:val="10"/>
          <w:lang w:val="es-MX"/>
        </w:rPr>
        <w:t xml:space="preserve"> </w:t>
      </w:r>
      <w:r w:rsidRPr="00BD1E57">
        <w:rPr>
          <w:rFonts w:ascii="Poppins" w:hAnsi="Poppins" w:cs="Poppins"/>
          <w:i/>
          <w:iCs/>
          <w:sz w:val="10"/>
          <w:szCs w:val="10"/>
          <w:lang w:val="es-MX"/>
        </w:rPr>
        <w:t xml:space="preserve"> precios del GLP para el Callao. En dicho periodo se ha tomado los precios publicados</w:t>
      </w:r>
    </w:p>
    <w:p w14:paraId="29162DFD" w14:textId="42E69CE2" w:rsidR="00BD1E57" w:rsidRPr="00BD1E57" w:rsidRDefault="00BD1E57" w:rsidP="00BD1E57">
      <w:pPr>
        <w:jc w:val="both"/>
        <w:rPr>
          <w:rFonts w:ascii="Poppins" w:hAnsi="Poppins" w:cs="Poppins"/>
          <w:i/>
          <w:iCs/>
          <w:sz w:val="10"/>
          <w:szCs w:val="10"/>
          <w:lang w:val="es-PE"/>
        </w:rPr>
      </w:pPr>
      <w:r>
        <w:rPr>
          <w:rFonts w:ascii="Poppins" w:hAnsi="Poppins" w:cs="Poppins"/>
          <w:i/>
          <w:iCs/>
          <w:sz w:val="10"/>
          <w:szCs w:val="10"/>
          <w:lang w:val="es-MX"/>
        </w:rPr>
        <w:t xml:space="preserve"> </w:t>
      </w:r>
      <w:r w:rsidRPr="00BD1E57">
        <w:rPr>
          <w:rFonts w:ascii="Poppins" w:hAnsi="Poppins" w:cs="Poppins"/>
          <w:i/>
          <w:iCs/>
          <w:sz w:val="10"/>
          <w:szCs w:val="10"/>
          <w:lang w:val="es-MX"/>
        </w:rPr>
        <w:t xml:space="preserve"> para la Planta de Talara</w:t>
      </w:r>
      <w:r w:rsidRPr="00BD1E57">
        <w:rPr>
          <w:rFonts w:ascii="Poppins" w:hAnsi="Poppins" w:cs="Poppins"/>
          <w:i/>
          <w:iCs/>
          <w:sz w:val="10"/>
          <w:szCs w:val="10"/>
          <w:lang w:val="es-MX"/>
        </w:rPr>
        <w:t>.</w:t>
      </w:r>
    </w:p>
    <w:p w14:paraId="7043A072" w14:textId="52EF158E" w:rsidR="00EE3E05" w:rsidRPr="0096213B" w:rsidRDefault="00EE3E05" w:rsidP="006220EA">
      <w:pPr>
        <w:jc w:val="both"/>
        <w:rPr>
          <w:rFonts w:ascii="Poppins" w:hAnsi="Poppins" w:cs="Poppins"/>
          <w:i/>
          <w:sz w:val="12"/>
          <w:szCs w:val="12"/>
        </w:rPr>
      </w:pPr>
    </w:p>
    <w:p w14:paraId="576B7A1A" w14:textId="77777777" w:rsidR="00EE3E05" w:rsidRDefault="00EE3E05" w:rsidP="006220EA">
      <w:pPr>
        <w:rPr>
          <w:rFonts w:ascii="Poppins" w:hAnsi="Poppins" w:cs="Poppins"/>
          <w:b/>
          <w:i/>
          <w:sz w:val="14"/>
          <w:szCs w:val="14"/>
        </w:rPr>
      </w:pPr>
    </w:p>
    <w:p w14:paraId="682CFCD7" w14:textId="77777777" w:rsidR="00BF1449" w:rsidRDefault="00BF1449" w:rsidP="006220EA">
      <w:pPr>
        <w:rPr>
          <w:rFonts w:ascii="Poppins" w:hAnsi="Poppins" w:cs="Poppins"/>
          <w:b/>
          <w:i/>
          <w:sz w:val="14"/>
          <w:szCs w:val="14"/>
        </w:rPr>
      </w:pPr>
    </w:p>
    <w:p w14:paraId="334E3DBD" w14:textId="77777777" w:rsidR="00BF1449" w:rsidRPr="00BF1449" w:rsidRDefault="00BF1449" w:rsidP="00BF1449">
      <w:pPr>
        <w:rPr>
          <w:rFonts w:ascii="Poppins" w:hAnsi="Poppins" w:cs="Poppins"/>
          <w:sz w:val="14"/>
          <w:szCs w:val="14"/>
        </w:rPr>
      </w:pPr>
    </w:p>
    <w:p w14:paraId="225EF4D5" w14:textId="77777777" w:rsidR="00BF1449" w:rsidRPr="00BF1449" w:rsidRDefault="00BF1449" w:rsidP="00BF1449">
      <w:pPr>
        <w:rPr>
          <w:rFonts w:ascii="Poppins" w:hAnsi="Poppins" w:cs="Poppins"/>
          <w:sz w:val="14"/>
          <w:szCs w:val="14"/>
        </w:rPr>
      </w:pPr>
    </w:p>
    <w:p w14:paraId="3E5A4848" w14:textId="77777777" w:rsidR="00BF1449" w:rsidRDefault="00BF1449" w:rsidP="006220EA">
      <w:pPr>
        <w:rPr>
          <w:rFonts w:ascii="Poppins" w:hAnsi="Poppins" w:cs="Poppins"/>
          <w:b/>
          <w:i/>
          <w:sz w:val="14"/>
          <w:szCs w:val="14"/>
        </w:rPr>
      </w:pPr>
    </w:p>
    <w:p w14:paraId="46A462BA" w14:textId="2B6C4A45" w:rsidR="00BF1449" w:rsidRDefault="00BF1449" w:rsidP="00BF1449">
      <w:pPr>
        <w:tabs>
          <w:tab w:val="left" w:pos="6800"/>
        </w:tabs>
        <w:rPr>
          <w:rFonts w:ascii="Poppins" w:hAnsi="Poppins" w:cs="Poppins"/>
          <w:b/>
          <w:i/>
          <w:sz w:val="14"/>
          <w:szCs w:val="14"/>
        </w:rPr>
      </w:pPr>
      <w:r>
        <w:rPr>
          <w:rFonts w:ascii="Poppins" w:hAnsi="Poppins" w:cs="Poppins"/>
          <w:b/>
          <w:i/>
          <w:sz w:val="14"/>
          <w:szCs w:val="14"/>
        </w:rPr>
        <w:tab/>
      </w:r>
    </w:p>
    <w:p w14:paraId="01FFC1C3" w14:textId="2893BC1D" w:rsidR="008D40C4" w:rsidRPr="0096213B" w:rsidRDefault="00DC168B" w:rsidP="006220EA">
      <w:pPr>
        <w:rPr>
          <w:rFonts w:ascii="Poppins" w:hAnsi="Poppins" w:cs="Poppins"/>
          <w:i/>
          <w:sz w:val="14"/>
          <w:szCs w:val="14"/>
        </w:rPr>
      </w:pPr>
      <w:r w:rsidRPr="00BF1449">
        <w:rPr>
          <w:rFonts w:ascii="Poppins" w:hAnsi="Poppins" w:cs="Poppins"/>
          <w:sz w:val="14"/>
          <w:szCs w:val="14"/>
        </w:rPr>
        <w:br w:type="page"/>
      </w:r>
      <w:r w:rsidR="00F27BD1" w:rsidRPr="00076E0E">
        <w:rPr>
          <w:rFonts w:ascii="Poppins" w:hAnsi="Poppins" w:cs="Poppins"/>
          <w:b/>
          <w:i/>
          <w:sz w:val="16"/>
          <w:szCs w:val="16"/>
        </w:rPr>
        <w:lastRenderedPageBreak/>
        <w:t>GRAFICA Nº</w:t>
      </w:r>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0D3BCF6C" w:rsidR="00127A54" w:rsidRPr="0096213B" w:rsidRDefault="003C67C3" w:rsidP="006220EA">
      <w:pPr>
        <w:rPr>
          <w:rFonts w:ascii="Poppins" w:hAnsi="Poppins" w:cs="Poppins"/>
          <w:i/>
          <w:sz w:val="14"/>
          <w:szCs w:val="14"/>
        </w:rPr>
      </w:pPr>
      <w:r w:rsidRPr="003C67C3">
        <w:drawing>
          <wp:inline distT="0" distB="0" distL="0" distR="0" wp14:anchorId="358BDAEE" wp14:editId="76E1D760">
            <wp:extent cx="5850255" cy="7061835"/>
            <wp:effectExtent l="0" t="0" r="0" b="571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50255" cy="7061835"/>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GRAFICA Nº</w:t>
      </w:r>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3BDB5529" w:rsidR="005048C1" w:rsidRPr="0096213B" w:rsidRDefault="00F91202" w:rsidP="005048C1">
      <w:pPr>
        <w:jc w:val="both"/>
        <w:rPr>
          <w:rFonts w:ascii="Poppins" w:hAnsi="Poppins" w:cs="Poppins"/>
          <w:i/>
          <w:iCs/>
          <w:sz w:val="12"/>
          <w:szCs w:val="12"/>
        </w:rPr>
      </w:pPr>
      <w:r>
        <w:t xml:space="preserve">                       </w:t>
      </w:r>
      <w:r w:rsidR="00107FB7" w:rsidRPr="00107FB7">
        <w:drawing>
          <wp:inline distT="0" distB="0" distL="0" distR="0" wp14:anchorId="7FD82A1E" wp14:editId="06F58E5D">
            <wp:extent cx="5850255" cy="6729984"/>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781" cy="6730589"/>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ANEXO N°</w:t>
      </w:r>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A1DCDC6" w14:textId="2EB54430" w:rsidR="00812956" w:rsidRDefault="007E5402" w:rsidP="00842A58">
      <w:pPr>
        <w:pStyle w:val="xl37"/>
        <w:tabs>
          <w:tab w:val="left" w:pos="180"/>
        </w:tabs>
        <w:spacing w:before="0" w:beforeAutospacing="0" w:after="0" w:afterAutospacing="0"/>
        <w:jc w:val="center"/>
        <w:rPr>
          <w:noProof/>
        </w:rPr>
      </w:pPr>
      <w:r>
        <w:rPr>
          <w:noProof/>
        </w:rPr>
        <w:drawing>
          <wp:inline distT="0" distB="0" distL="0" distR="0" wp14:anchorId="0BED00F5" wp14:editId="1939BDDB">
            <wp:extent cx="4745386" cy="3305329"/>
            <wp:effectExtent l="0" t="0" r="0" b="952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72869" cy="3324472"/>
                    </a:xfrm>
                    <a:prstGeom prst="rect">
                      <a:avLst/>
                    </a:prstGeom>
                    <a:noFill/>
                  </pic:spPr>
                </pic:pic>
              </a:graphicData>
            </a:graphic>
          </wp:inline>
        </w:drawing>
      </w:r>
    </w:p>
    <w:p w14:paraId="73EFE203" w14:textId="06E47B2E" w:rsidR="006869F8" w:rsidRDefault="006869F8" w:rsidP="00842A58">
      <w:pPr>
        <w:pStyle w:val="xl37"/>
        <w:tabs>
          <w:tab w:val="left" w:pos="180"/>
        </w:tabs>
        <w:spacing w:before="0" w:beforeAutospacing="0" w:after="0" w:afterAutospacing="0"/>
        <w:jc w:val="center"/>
        <w:rPr>
          <w:noProof/>
        </w:rPr>
      </w:pPr>
    </w:p>
    <w:p w14:paraId="065650A2" w14:textId="77777777" w:rsidR="00356BB0" w:rsidRDefault="00356BB0" w:rsidP="00842A58">
      <w:pPr>
        <w:pStyle w:val="xl37"/>
        <w:tabs>
          <w:tab w:val="left" w:pos="180"/>
        </w:tabs>
        <w:spacing w:before="0" w:beforeAutospacing="0" w:after="0" w:afterAutospacing="0"/>
        <w:jc w:val="center"/>
        <w:rPr>
          <w:noProof/>
        </w:rPr>
      </w:pPr>
    </w:p>
    <w:p w14:paraId="0E3A9EC6" w14:textId="48D395D8" w:rsidR="001307B8" w:rsidRPr="00A149FB" w:rsidRDefault="007E5402" w:rsidP="00842A58">
      <w:pPr>
        <w:pStyle w:val="xl37"/>
        <w:tabs>
          <w:tab w:val="left" w:pos="180"/>
        </w:tabs>
        <w:spacing w:before="0" w:beforeAutospacing="0" w:after="0" w:afterAutospacing="0"/>
        <w:jc w:val="center"/>
        <w:rPr>
          <w:rFonts w:asciiTheme="minorHAnsi" w:eastAsia="Times New Roman" w:hAnsiTheme="minorHAnsi" w:cstheme="minorHAnsi"/>
          <w:bCs w:val="0"/>
          <w:iCs/>
          <w:noProof/>
          <w:sz w:val="24"/>
          <w:szCs w:val="24"/>
        </w:rPr>
      </w:pPr>
      <w:r w:rsidRPr="007E5402">
        <w:rPr>
          <w:noProof/>
        </w:rPr>
        <w:drawing>
          <wp:inline distT="0" distB="0" distL="0" distR="0" wp14:anchorId="78286E6F" wp14:editId="76A26168">
            <wp:extent cx="4553394" cy="3245151"/>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569255" cy="3256455"/>
                    </a:xfrm>
                    <a:prstGeom prst="rect">
                      <a:avLst/>
                    </a:prstGeom>
                  </pic:spPr>
                </pic:pic>
              </a:graphicData>
            </a:graphic>
          </wp:inline>
        </w:drawing>
      </w:r>
    </w:p>
    <w:p w14:paraId="60F31643" w14:textId="762E4267" w:rsidR="002035C4" w:rsidRDefault="002035C4" w:rsidP="00373E46">
      <w:pPr>
        <w:pStyle w:val="xl37"/>
        <w:tabs>
          <w:tab w:val="left" w:pos="180"/>
        </w:tabs>
        <w:spacing w:before="0" w:beforeAutospacing="0" w:after="0" w:afterAutospacing="0"/>
        <w:jc w:val="center"/>
        <w:rPr>
          <w:noProof/>
        </w:rPr>
      </w:pPr>
    </w:p>
    <w:p w14:paraId="667EC1D6" w14:textId="6797ED5E" w:rsidR="006C0944" w:rsidRDefault="006C0944" w:rsidP="00373E46">
      <w:pPr>
        <w:pStyle w:val="xl37"/>
        <w:tabs>
          <w:tab w:val="left" w:pos="180"/>
        </w:tabs>
        <w:spacing w:before="0" w:beforeAutospacing="0" w:after="0" w:afterAutospacing="0"/>
        <w:jc w:val="center"/>
        <w:rPr>
          <w:noProof/>
        </w:rPr>
      </w:pPr>
    </w:p>
    <w:p w14:paraId="79AE2D28" w14:textId="4A7A0D09" w:rsidR="006C0944" w:rsidRDefault="006C0944" w:rsidP="00373E46">
      <w:pPr>
        <w:pStyle w:val="xl37"/>
        <w:tabs>
          <w:tab w:val="left" w:pos="180"/>
        </w:tabs>
        <w:spacing w:before="0" w:beforeAutospacing="0" w:after="0" w:afterAutospacing="0"/>
        <w:jc w:val="center"/>
        <w:rPr>
          <w:noProof/>
        </w:rPr>
      </w:pPr>
    </w:p>
    <w:p w14:paraId="7C578A4A" w14:textId="2B383E03" w:rsidR="006C0944" w:rsidRDefault="006C0944" w:rsidP="00373E46">
      <w:pPr>
        <w:pStyle w:val="xl37"/>
        <w:tabs>
          <w:tab w:val="left" w:pos="180"/>
        </w:tabs>
        <w:spacing w:before="0" w:beforeAutospacing="0" w:after="0" w:afterAutospacing="0"/>
        <w:jc w:val="center"/>
        <w:rPr>
          <w:noProof/>
        </w:rPr>
      </w:pPr>
    </w:p>
    <w:p w14:paraId="6BF5C847" w14:textId="03AEA140" w:rsidR="00300FA6" w:rsidRDefault="00300FA6" w:rsidP="00373E46">
      <w:pPr>
        <w:pStyle w:val="xl37"/>
        <w:tabs>
          <w:tab w:val="left" w:pos="180"/>
        </w:tabs>
        <w:spacing w:before="0" w:beforeAutospacing="0" w:after="0" w:afterAutospacing="0"/>
        <w:jc w:val="center"/>
        <w:rPr>
          <w:noProof/>
        </w:rPr>
      </w:pPr>
    </w:p>
    <w:p w14:paraId="5D6CC208" w14:textId="4492BD61" w:rsidR="00881591" w:rsidRDefault="00881591" w:rsidP="00373E46">
      <w:pPr>
        <w:pStyle w:val="xl37"/>
        <w:tabs>
          <w:tab w:val="left" w:pos="180"/>
        </w:tabs>
        <w:spacing w:before="0" w:beforeAutospacing="0" w:after="0" w:afterAutospacing="0"/>
        <w:jc w:val="center"/>
        <w:rPr>
          <w:noProof/>
        </w:rPr>
      </w:pPr>
    </w:p>
    <w:p w14:paraId="4C780AA7" w14:textId="77777777" w:rsidR="00356BB0" w:rsidRDefault="00356BB0" w:rsidP="00373E46">
      <w:pPr>
        <w:pStyle w:val="xl37"/>
        <w:tabs>
          <w:tab w:val="left" w:pos="180"/>
        </w:tabs>
        <w:spacing w:before="0" w:beforeAutospacing="0" w:after="0" w:afterAutospacing="0"/>
        <w:jc w:val="center"/>
        <w:rPr>
          <w:noProof/>
        </w:rPr>
      </w:pPr>
    </w:p>
    <w:p w14:paraId="71F4FA4D" w14:textId="2D0EC78E" w:rsidR="006C0944" w:rsidRDefault="007E5402" w:rsidP="00373E46">
      <w:pPr>
        <w:pStyle w:val="xl37"/>
        <w:tabs>
          <w:tab w:val="left" w:pos="180"/>
        </w:tabs>
        <w:spacing w:before="0" w:beforeAutospacing="0" w:after="0" w:afterAutospacing="0"/>
        <w:jc w:val="center"/>
        <w:rPr>
          <w:noProof/>
        </w:rPr>
      </w:pPr>
      <w:r w:rsidRPr="007E5402">
        <w:rPr>
          <w:noProof/>
        </w:rPr>
        <w:drawing>
          <wp:inline distT="0" distB="0" distL="0" distR="0" wp14:anchorId="2B0A5B0B" wp14:editId="4FCA7B2F">
            <wp:extent cx="4570850" cy="3203515"/>
            <wp:effectExtent l="0" t="0" r="127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585503" cy="3213785"/>
                    </a:xfrm>
                    <a:prstGeom prst="rect">
                      <a:avLst/>
                    </a:prstGeom>
                  </pic:spPr>
                </pic:pic>
              </a:graphicData>
            </a:graphic>
          </wp:inline>
        </w:drawing>
      </w:r>
    </w:p>
    <w:p w14:paraId="58EACC4C" w14:textId="74BB3240" w:rsidR="002035C4" w:rsidRDefault="002035C4" w:rsidP="00BF0E9E">
      <w:pPr>
        <w:pStyle w:val="xl37"/>
        <w:tabs>
          <w:tab w:val="left" w:pos="180"/>
          <w:tab w:val="left" w:pos="1560"/>
          <w:tab w:val="left" w:pos="8222"/>
        </w:tabs>
        <w:spacing w:before="0" w:beforeAutospacing="0" w:after="0" w:afterAutospacing="0"/>
        <w:jc w:val="center"/>
        <w:rPr>
          <w:noProof/>
        </w:rPr>
      </w:pPr>
    </w:p>
    <w:p w14:paraId="4C83B6D0" w14:textId="343D8F65" w:rsidR="00A62725" w:rsidRDefault="00A62725" w:rsidP="00BF0E9E">
      <w:pPr>
        <w:pStyle w:val="xl37"/>
        <w:tabs>
          <w:tab w:val="left" w:pos="180"/>
          <w:tab w:val="left" w:pos="1560"/>
          <w:tab w:val="left" w:pos="8222"/>
        </w:tabs>
        <w:spacing w:before="0" w:beforeAutospacing="0" w:after="0" w:afterAutospacing="0"/>
        <w:jc w:val="center"/>
        <w:rPr>
          <w:noProof/>
        </w:rPr>
      </w:pPr>
    </w:p>
    <w:p w14:paraId="38B2F0A8" w14:textId="215453FA" w:rsidR="00356BB0" w:rsidRDefault="007E5402" w:rsidP="00BF0E9E">
      <w:pPr>
        <w:pStyle w:val="xl37"/>
        <w:tabs>
          <w:tab w:val="left" w:pos="180"/>
          <w:tab w:val="left" w:pos="1560"/>
          <w:tab w:val="left" w:pos="8222"/>
        </w:tabs>
        <w:spacing w:before="0" w:beforeAutospacing="0" w:after="0" w:afterAutospacing="0"/>
        <w:jc w:val="center"/>
        <w:rPr>
          <w:noProof/>
        </w:rPr>
      </w:pPr>
      <w:r w:rsidRPr="007E5402">
        <w:rPr>
          <w:noProof/>
        </w:rPr>
        <w:drawing>
          <wp:inline distT="0" distB="0" distL="0" distR="0" wp14:anchorId="3B265BB6" wp14:editId="42DC7F9B">
            <wp:extent cx="4545948" cy="3227510"/>
            <wp:effectExtent l="0" t="0" r="762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565663" cy="3241507"/>
                    </a:xfrm>
                    <a:prstGeom prst="rect">
                      <a:avLst/>
                    </a:prstGeom>
                  </pic:spPr>
                </pic:pic>
              </a:graphicData>
            </a:graphic>
          </wp:inline>
        </w:drawing>
      </w:r>
    </w:p>
    <w:p w14:paraId="49C23B04" w14:textId="77777777" w:rsidR="00356BB0" w:rsidRDefault="00356BB0" w:rsidP="00BF0E9E">
      <w:pPr>
        <w:pStyle w:val="xl37"/>
        <w:tabs>
          <w:tab w:val="left" w:pos="180"/>
          <w:tab w:val="left" w:pos="1560"/>
          <w:tab w:val="left" w:pos="8222"/>
        </w:tabs>
        <w:spacing w:before="0" w:beforeAutospacing="0" w:after="0" w:afterAutospacing="0"/>
        <w:jc w:val="center"/>
        <w:rPr>
          <w:noProof/>
        </w:rPr>
      </w:pPr>
    </w:p>
    <w:p w14:paraId="4426F80D" w14:textId="27825B06" w:rsidR="00A62725" w:rsidRDefault="00A62725" w:rsidP="00BF0E9E">
      <w:pPr>
        <w:pStyle w:val="xl37"/>
        <w:tabs>
          <w:tab w:val="left" w:pos="180"/>
          <w:tab w:val="left" w:pos="1560"/>
          <w:tab w:val="left" w:pos="8222"/>
        </w:tabs>
        <w:spacing w:before="0" w:beforeAutospacing="0" w:after="0" w:afterAutospacing="0"/>
        <w:jc w:val="center"/>
        <w:rPr>
          <w:noProof/>
        </w:rPr>
      </w:pPr>
    </w:p>
    <w:p w14:paraId="17B8ADA8" w14:textId="2FB4BFBC" w:rsidR="00105E3C" w:rsidRDefault="00105E3C" w:rsidP="00373E46">
      <w:pPr>
        <w:pStyle w:val="xl37"/>
        <w:tabs>
          <w:tab w:val="left" w:pos="180"/>
        </w:tabs>
        <w:spacing w:before="0" w:beforeAutospacing="0" w:after="0" w:afterAutospacing="0"/>
        <w:jc w:val="center"/>
        <w:rPr>
          <w:noProof/>
        </w:rPr>
      </w:pPr>
    </w:p>
    <w:p w14:paraId="442C6311" w14:textId="75E15FDC" w:rsidR="00300FA6" w:rsidRDefault="00300FA6" w:rsidP="00373E46">
      <w:pPr>
        <w:pStyle w:val="xl37"/>
        <w:tabs>
          <w:tab w:val="left" w:pos="180"/>
        </w:tabs>
        <w:spacing w:before="0" w:beforeAutospacing="0" w:after="0" w:afterAutospacing="0"/>
        <w:jc w:val="center"/>
        <w:rPr>
          <w:noProof/>
        </w:rPr>
      </w:pPr>
    </w:p>
    <w:p w14:paraId="62276F35" w14:textId="01BC6A79" w:rsidR="00300FA6" w:rsidRDefault="00300FA6" w:rsidP="00373E46">
      <w:pPr>
        <w:pStyle w:val="xl37"/>
        <w:tabs>
          <w:tab w:val="left" w:pos="180"/>
        </w:tabs>
        <w:spacing w:before="0" w:beforeAutospacing="0" w:after="0" w:afterAutospacing="0"/>
        <w:jc w:val="center"/>
        <w:rPr>
          <w:noProof/>
        </w:rPr>
      </w:pPr>
    </w:p>
    <w:p w14:paraId="344D4A52" w14:textId="4EC34D95" w:rsidR="00881591" w:rsidRDefault="00881591" w:rsidP="00373E46">
      <w:pPr>
        <w:pStyle w:val="xl37"/>
        <w:tabs>
          <w:tab w:val="left" w:pos="180"/>
        </w:tabs>
        <w:spacing w:before="0" w:beforeAutospacing="0" w:after="0" w:afterAutospacing="0"/>
        <w:jc w:val="center"/>
        <w:rPr>
          <w:noProof/>
        </w:rPr>
      </w:pPr>
    </w:p>
    <w:p w14:paraId="35841C2E" w14:textId="2839DC64" w:rsidR="00881591" w:rsidRDefault="00881591" w:rsidP="00373E46">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ANEXO N°</w:t>
      </w:r>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225A46" w:rsidP="00CA3C87">
      <w:pPr>
        <w:rPr>
          <w:rFonts w:ascii="Poppins" w:hAnsi="Poppins" w:cs="Poppins"/>
          <w:b/>
          <w:bCs/>
          <w:i/>
          <w:iCs/>
          <w:sz w:val="12"/>
          <w:szCs w:val="12"/>
        </w:rPr>
      </w:pPr>
      <w:hyperlink r:id="rId36"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7"/>
      <w:footerReference w:type="default" r:id="rId38"/>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AFBE37" w14:textId="77777777" w:rsidR="009B2001" w:rsidRDefault="009B2001" w:rsidP="006502B5">
      <w:r>
        <w:separator/>
      </w:r>
    </w:p>
  </w:endnote>
  <w:endnote w:type="continuationSeparator" w:id="0">
    <w:p w14:paraId="702C7063" w14:textId="77777777" w:rsidR="009B2001" w:rsidRDefault="009B200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123F587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74811803" w:rsidR="00287F9F" w:rsidRPr="00287F9F" w:rsidRDefault="00287F9F" w:rsidP="00E144AC">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21CA460A"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E5968" w14:textId="77777777" w:rsidR="009B2001" w:rsidRDefault="009B2001" w:rsidP="006502B5">
      <w:r>
        <w:separator/>
      </w:r>
    </w:p>
  </w:footnote>
  <w:footnote w:type="continuationSeparator" w:id="0">
    <w:p w14:paraId="217BB254" w14:textId="77777777" w:rsidR="009B2001" w:rsidRDefault="009B200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Energy Information Administration)</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6E912849"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497CEA">
            <w:rPr>
              <w:rFonts w:ascii="Poppins" w:hAnsi="Poppins" w:cs="Poppins"/>
              <w:b/>
              <w:sz w:val="22"/>
              <w:szCs w:val="22"/>
              <w:lang w:val="it-IT"/>
            </w:rPr>
            <w:t>1</w:t>
          </w:r>
          <w:r w:rsidR="00E66F6B">
            <w:rPr>
              <w:rFonts w:ascii="Poppins" w:hAnsi="Poppins" w:cs="Poppins"/>
              <w:b/>
              <w:sz w:val="22"/>
              <w:szCs w:val="22"/>
              <w:lang w:val="it-IT"/>
            </w:rPr>
            <w:t>2</w:t>
          </w:r>
          <w:r w:rsidR="008E318F">
            <w:rPr>
              <w:rFonts w:ascii="Poppins" w:hAnsi="Poppins" w:cs="Poppins"/>
              <w:b/>
              <w:sz w:val="22"/>
              <w:szCs w:val="22"/>
              <w:lang w:val="it-IT"/>
            </w:rPr>
            <w:t>-</w:t>
          </w:r>
          <w:r w:rsidRPr="00083ED5">
            <w:rPr>
              <w:rFonts w:ascii="Poppins" w:hAnsi="Poppins" w:cs="Poppins"/>
              <w:b/>
              <w:sz w:val="22"/>
              <w:szCs w:val="22"/>
              <w:lang w:val="it-IT"/>
            </w:rPr>
            <w:t>202</w:t>
          </w:r>
          <w:r w:rsidR="005151B0">
            <w:rPr>
              <w:rFonts w:ascii="Poppins" w:hAnsi="Poppins" w:cs="Poppins"/>
              <w:b/>
              <w:sz w:val="22"/>
              <w:szCs w:val="22"/>
              <w:lang w:val="it-IT"/>
            </w:rPr>
            <w:t>6</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7C98BDDB"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8E2585">
            <w:rPr>
              <w:rFonts w:ascii="Poppins" w:hAnsi="Poppins" w:cs="Poppins"/>
              <w:b/>
              <w:sz w:val="22"/>
              <w:szCs w:val="22"/>
              <w:lang w:val="it-IT"/>
            </w:rPr>
            <w:t>1</w:t>
          </w:r>
          <w:r w:rsidR="004E4974">
            <w:rPr>
              <w:rFonts w:ascii="Poppins" w:hAnsi="Poppins" w:cs="Poppins"/>
              <w:b/>
              <w:sz w:val="22"/>
              <w:szCs w:val="22"/>
              <w:lang w:val="it-IT"/>
            </w:rPr>
            <w:t>2</w:t>
          </w:r>
          <w:r w:rsidR="00352B3A" w:rsidRPr="0096213B">
            <w:rPr>
              <w:rFonts w:ascii="Poppins" w:hAnsi="Poppins" w:cs="Poppins"/>
              <w:b/>
              <w:sz w:val="22"/>
              <w:szCs w:val="22"/>
              <w:lang w:val="it-IT"/>
            </w:rPr>
            <w:t>-202</w:t>
          </w:r>
          <w:r w:rsidR="005151B0">
            <w:rPr>
              <w:rFonts w:ascii="Poppins" w:hAnsi="Poppins" w:cs="Poppins"/>
              <w:b/>
              <w:sz w:val="22"/>
              <w:szCs w:val="22"/>
              <w:lang w:val="it-IT"/>
            </w:rPr>
            <w:t>6</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sidRPr="00EE493C">
      <w:rPr>
        <w:noProof/>
        <w:lang w:val="it-IT"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EE493C"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6D18097F" w:rsidR="00352B3A" w:rsidRPr="0060484A" w:rsidRDefault="00CE3B76" w:rsidP="00E812D9">
          <w:pPr>
            <w:jc w:val="center"/>
            <w:rPr>
              <w:rFonts w:ascii="Poppins" w:hAnsi="Poppins" w:cs="Poppins"/>
              <w:sz w:val="22"/>
              <w:szCs w:val="22"/>
              <w:lang w:val="it-IT"/>
            </w:rPr>
          </w:pPr>
          <w:r w:rsidRPr="00EE493C">
            <w:rPr>
              <w:rFonts w:ascii="Poppins" w:hAnsi="Poppins" w:cs="Poppins"/>
              <w:b/>
              <w:sz w:val="22"/>
              <w:szCs w:val="22"/>
              <w:lang w:val="es-PE"/>
            </w:rPr>
            <w:t xml:space="preserve">                                                 </w:t>
          </w:r>
          <w:r w:rsidR="00C823A9" w:rsidRPr="0060484A">
            <w:rPr>
              <w:rFonts w:ascii="Poppins" w:hAnsi="Poppins" w:cs="Poppins"/>
              <w:b/>
              <w:sz w:val="22"/>
              <w:szCs w:val="22"/>
              <w:lang w:val="it-IT"/>
            </w:rPr>
            <w:t>Informe N° PR-</w:t>
          </w:r>
          <w:r w:rsidR="00497CEA">
            <w:rPr>
              <w:rFonts w:ascii="Poppins" w:hAnsi="Poppins" w:cs="Poppins"/>
              <w:b/>
              <w:sz w:val="22"/>
              <w:szCs w:val="22"/>
              <w:lang w:val="it-IT"/>
            </w:rPr>
            <w:t>1</w:t>
          </w:r>
          <w:r w:rsidR="003E521A">
            <w:rPr>
              <w:rFonts w:ascii="Poppins" w:hAnsi="Poppins" w:cs="Poppins"/>
              <w:b/>
              <w:sz w:val="22"/>
              <w:szCs w:val="22"/>
              <w:lang w:val="it-IT"/>
            </w:rPr>
            <w:t>2</w:t>
          </w:r>
          <w:r w:rsidR="00352B3A" w:rsidRPr="0060484A">
            <w:rPr>
              <w:rFonts w:ascii="Poppins" w:hAnsi="Poppins" w:cs="Poppins"/>
              <w:b/>
              <w:sz w:val="22"/>
              <w:szCs w:val="22"/>
              <w:lang w:val="it-IT"/>
            </w:rPr>
            <w:t>-202</w:t>
          </w:r>
          <w:r w:rsidR="00AA1E5F">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EE493C"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7BDE7497"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497CEA">
            <w:rPr>
              <w:rFonts w:ascii="Poppins" w:hAnsi="Poppins" w:cs="Poppins"/>
              <w:b/>
              <w:sz w:val="22"/>
              <w:szCs w:val="22"/>
              <w:lang w:val="it-IT"/>
            </w:rPr>
            <w:t>1</w:t>
          </w:r>
          <w:r w:rsidR="003C67C3">
            <w:rPr>
              <w:rFonts w:ascii="Poppins" w:hAnsi="Poppins" w:cs="Poppins"/>
              <w:b/>
              <w:sz w:val="22"/>
              <w:szCs w:val="22"/>
              <w:lang w:val="it-IT"/>
            </w:rPr>
            <w:t>2</w:t>
          </w:r>
          <w:r w:rsidR="00352B3A" w:rsidRPr="0060484A">
            <w:rPr>
              <w:rFonts w:ascii="Poppins" w:hAnsi="Poppins" w:cs="Poppins"/>
              <w:b/>
              <w:sz w:val="22"/>
              <w:szCs w:val="22"/>
              <w:lang w:val="it-IT"/>
            </w:rPr>
            <w:t>-202</w:t>
          </w:r>
          <w:r w:rsidR="00E55006">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defaultTabStop w:val="567"/>
  <w:hyphenationZone w:val="425"/>
  <w:drawingGridHorizontalSpacing w:val="110"/>
  <w:displayHorizontalDrawingGridEvery w:val="2"/>
  <w:characterSpacingControl w:val="doNotCompress"/>
  <w:hdrShapeDefaults>
    <o:shapedefaults v:ext="edit" spidmax="1976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40AB"/>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1F66"/>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C0"/>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4F5"/>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2E7"/>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31C"/>
    <w:rsid w:val="000434BD"/>
    <w:rsid w:val="000435C8"/>
    <w:rsid w:val="00043688"/>
    <w:rsid w:val="0004375E"/>
    <w:rsid w:val="00043BAC"/>
    <w:rsid w:val="00044536"/>
    <w:rsid w:val="000445FB"/>
    <w:rsid w:val="000447BA"/>
    <w:rsid w:val="000448BE"/>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B3A"/>
    <w:rsid w:val="00051EA4"/>
    <w:rsid w:val="0005213B"/>
    <w:rsid w:val="0005233A"/>
    <w:rsid w:val="00052508"/>
    <w:rsid w:val="0005252C"/>
    <w:rsid w:val="0005257A"/>
    <w:rsid w:val="00052786"/>
    <w:rsid w:val="00052862"/>
    <w:rsid w:val="00052927"/>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81"/>
    <w:rsid w:val="00055C29"/>
    <w:rsid w:val="00055CF0"/>
    <w:rsid w:val="00055DD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5C2"/>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195"/>
    <w:rsid w:val="00077327"/>
    <w:rsid w:val="000773AB"/>
    <w:rsid w:val="00077405"/>
    <w:rsid w:val="00077884"/>
    <w:rsid w:val="000778BC"/>
    <w:rsid w:val="0007791C"/>
    <w:rsid w:val="00077956"/>
    <w:rsid w:val="00077B67"/>
    <w:rsid w:val="00077BCC"/>
    <w:rsid w:val="00077C0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651"/>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393"/>
    <w:rsid w:val="00093757"/>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9B"/>
    <w:rsid w:val="000A29B6"/>
    <w:rsid w:val="000A29CA"/>
    <w:rsid w:val="000A2B2C"/>
    <w:rsid w:val="000A3034"/>
    <w:rsid w:val="000A3569"/>
    <w:rsid w:val="000A373B"/>
    <w:rsid w:val="000A374E"/>
    <w:rsid w:val="000A38F1"/>
    <w:rsid w:val="000A3986"/>
    <w:rsid w:val="000A3CB8"/>
    <w:rsid w:val="000A3CC3"/>
    <w:rsid w:val="000A3D61"/>
    <w:rsid w:val="000A422D"/>
    <w:rsid w:val="000A44F9"/>
    <w:rsid w:val="000A4592"/>
    <w:rsid w:val="000A4716"/>
    <w:rsid w:val="000A4729"/>
    <w:rsid w:val="000A4998"/>
    <w:rsid w:val="000A4B25"/>
    <w:rsid w:val="000A4BA6"/>
    <w:rsid w:val="000A4E73"/>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A7DFE"/>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B7DDE"/>
    <w:rsid w:val="000C0021"/>
    <w:rsid w:val="000C0094"/>
    <w:rsid w:val="000C00CF"/>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4D"/>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DC8"/>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2F8"/>
    <w:rsid w:val="000D230C"/>
    <w:rsid w:val="000D2355"/>
    <w:rsid w:val="000D23AE"/>
    <w:rsid w:val="000D272E"/>
    <w:rsid w:val="000D2EC5"/>
    <w:rsid w:val="000D2EDF"/>
    <w:rsid w:val="000D30D1"/>
    <w:rsid w:val="000D312C"/>
    <w:rsid w:val="000D34D0"/>
    <w:rsid w:val="000D3D7A"/>
    <w:rsid w:val="000D41FE"/>
    <w:rsid w:val="000D4439"/>
    <w:rsid w:val="000D4804"/>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742"/>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C8A"/>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DD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44E"/>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2"/>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E3C"/>
    <w:rsid w:val="001060D4"/>
    <w:rsid w:val="0010675D"/>
    <w:rsid w:val="00106A56"/>
    <w:rsid w:val="00106C3B"/>
    <w:rsid w:val="00106EA3"/>
    <w:rsid w:val="001070CF"/>
    <w:rsid w:val="001073D1"/>
    <w:rsid w:val="0010788C"/>
    <w:rsid w:val="0010792F"/>
    <w:rsid w:val="00107BA4"/>
    <w:rsid w:val="00107E57"/>
    <w:rsid w:val="00107FB7"/>
    <w:rsid w:val="0011008C"/>
    <w:rsid w:val="0011050C"/>
    <w:rsid w:val="00110598"/>
    <w:rsid w:val="00110634"/>
    <w:rsid w:val="00110839"/>
    <w:rsid w:val="00110917"/>
    <w:rsid w:val="00110925"/>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701"/>
    <w:rsid w:val="0014688C"/>
    <w:rsid w:val="00146BBB"/>
    <w:rsid w:val="00146C19"/>
    <w:rsid w:val="001470B8"/>
    <w:rsid w:val="00147162"/>
    <w:rsid w:val="0014737A"/>
    <w:rsid w:val="001474E5"/>
    <w:rsid w:val="0014796A"/>
    <w:rsid w:val="00147A0F"/>
    <w:rsid w:val="00147BEA"/>
    <w:rsid w:val="00150074"/>
    <w:rsid w:val="00150187"/>
    <w:rsid w:val="00150371"/>
    <w:rsid w:val="00150576"/>
    <w:rsid w:val="001506B7"/>
    <w:rsid w:val="00150BEB"/>
    <w:rsid w:val="00150F08"/>
    <w:rsid w:val="00151082"/>
    <w:rsid w:val="001510C2"/>
    <w:rsid w:val="0015115F"/>
    <w:rsid w:val="001511EF"/>
    <w:rsid w:val="0015130F"/>
    <w:rsid w:val="001517B7"/>
    <w:rsid w:val="00151A44"/>
    <w:rsid w:val="00151BF3"/>
    <w:rsid w:val="00151E32"/>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162"/>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7"/>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3A8"/>
    <w:rsid w:val="001649CA"/>
    <w:rsid w:val="00164C5F"/>
    <w:rsid w:val="00164F8A"/>
    <w:rsid w:val="00165017"/>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4EA"/>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67B"/>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CAB"/>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3EAF"/>
    <w:rsid w:val="001941B4"/>
    <w:rsid w:val="001943C7"/>
    <w:rsid w:val="00194404"/>
    <w:rsid w:val="00194BA1"/>
    <w:rsid w:val="00194BEB"/>
    <w:rsid w:val="00194DBD"/>
    <w:rsid w:val="00194E69"/>
    <w:rsid w:val="00194F98"/>
    <w:rsid w:val="001951F8"/>
    <w:rsid w:val="001952A5"/>
    <w:rsid w:val="001955BB"/>
    <w:rsid w:val="0019578B"/>
    <w:rsid w:val="001958BD"/>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882"/>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084"/>
    <w:rsid w:val="001D6179"/>
    <w:rsid w:val="001D646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99"/>
    <w:rsid w:val="001E6ACD"/>
    <w:rsid w:val="001E6B2E"/>
    <w:rsid w:val="001E6B3D"/>
    <w:rsid w:val="001E6D76"/>
    <w:rsid w:val="001E7329"/>
    <w:rsid w:val="001E74D9"/>
    <w:rsid w:val="001E78FA"/>
    <w:rsid w:val="001E7EC2"/>
    <w:rsid w:val="001F00C2"/>
    <w:rsid w:val="001F0618"/>
    <w:rsid w:val="001F08AA"/>
    <w:rsid w:val="001F0AB4"/>
    <w:rsid w:val="001F0C52"/>
    <w:rsid w:val="001F1291"/>
    <w:rsid w:val="001F1607"/>
    <w:rsid w:val="001F16BF"/>
    <w:rsid w:val="001F1A3D"/>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69"/>
    <w:rsid w:val="00204DE3"/>
    <w:rsid w:val="00204EDF"/>
    <w:rsid w:val="00204FAC"/>
    <w:rsid w:val="00205011"/>
    <w:rsid w:val="002051AD"/>
    <w:rsid w:val="00205868"/>
    <w:rsid w:val="002058B0"/>
    <w:rsid w:val="00205916"/>
    <w:rsid w:val="00205B75"/>
    <w:rsid w:val="00205D48"/>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3"/>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A46"/>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27FD3"/>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7C0"/>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C3"/>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6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898"/>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D14"/>
    <w:rsid w:val="00272FF3"/>
    <w:rsid w:val="002730DF"/>
    <w:rsid w:val="00273147"/>
    <w:rsid w:val="00273751"/>
    <w:rsid w:val="00273DC4"/>
    <w:rsid w:val="00273DDA"/>
    <w:rsid w:val="00273E57"/>
    <w:rsid w:val="00273F37"/>
    <w:rsid w:val="00273F40"/>
    <w:rsid w:val="00274090"/>
    <w:rsid w:val="002741F0"/>
    <w:rsid w:val="0027420E"/>
    <w:rsid w:val="00274983"/>
    <w:rsid w:val="00274A4A"/>
    <w:rsid w:val="00274E5E"/>
    <w:rsid w:val="00274EB7"/>
    <w:rsid w:val="00275078"/>
    <w:rsid w:val="002750B4"/>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C40"/>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A5A"/>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0C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0E"/>
    <w:rsid w:val="002A27A2"/>
    <w:rsid w:val="002A2FBF"/>
    <w:rsid w:val="002A3A31"/>
    <w:rsid w:val="002A3C7E"/>
    <w:rsid w:val="002A3EAF"/>
    <w:rsid w:val="002A3F12"/>
    <w:rsid w:val="002A4044"/>
    <w:rsid w:val="002A4401"/>
    <w:rsid w:val="002A4976"/>
    <w:rsid w:val="002A4A5D"/>
    <w:rsid w:val="002A4D95"/>
    <w:rsid w:val="002A4DEF"/>
    <w:rsid w:val="002A4F7C"/>
    <w:rsid w:val="002A5050"/>
    <w:rsid w:val="002A50C8"/>
    <w:rsid w:val="002A50E6"/>
    <w:rsid w:val="002A559A"/>
    <w:rsid w:val="002A55A4"/>
    <w:rsid w:val="002A59D0"/>
    <w:rsid w:val="002A5AE2"/>
    <w:rsid w:val="002A5AEC"/>
    <w:rsid w:val="002A5E0A"/>
    <w:rsid w:val="002A6079"/>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96D"/>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51D"/>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4FEA"/>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ABB"/>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71"/>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0FA6"/>
    <w:rsid w:val="003010FF"/>
    <w:rsid w:val="0030130C"/>
    <w:rsid w:val="003014CF"/>
    <w:rsid w:val="00301869"/>
    <w:rsid w:val="00301B83"/>
    <w:rsid w:val="00301C94"/>
    <w:rsid w:val="00301DA0"/>
    <w:rsid w:val="00301ED1"/>
    <w:rsid w:val="00301F19"/>
    <w:rsid w:val="00301F6B"/>
    <w:rsid w:val="00302132"/>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408A"/>
    <w:rsid w:val="00314576"/>
    <w:rsid w:val="003149B1"/>
    <w:rsid w:val="00314C6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A70"/>
    <w:rsid w:val="00322C1C"/>
    <w:rsid w:val="00322CB9"/>
    <w:rsid w:val="00322ECA"/>
    <w:rsid w:val="00322F2B"/>
    <w:rsid w:val="00322F6B"/>
    <w:rsid w:val="0032326A"/>
    <w:rsid w:val="00323299"/>
    <w:rsid w:val="0032353A"/>
    <w:rsid w:val="00323669"/>
    <w:rsid w:val="00323757"/>
    <w:rsid w:val="0032381A"/>
    <w:rsid w:val="003239F6"/>
    <w:rsid w:val="00323E22"/>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0E5"/>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951"/>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3F74"/>
    <w:rsid w:val="00344112"/>
    <w:rsid w:val="00344447"/>
    <w:rsid w:val="003446BD"/>
    <w:rsid w:val="00344B48"/>
    <w:rsid w:val="00344DC9"/>
    <w:rsid w:val="00344EC0"/>
    <w:rsid w:val="00344FA9"/>
    <w:rsid w:val="003450D2"/>
    <w:rsid w:val="003453CC"/>
    <w:rsid w:val="0034546F"/>
    <w:rsid w:val="00345568"/>
    <w:rsid w:val="00346272"/>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C69"/>
    <w:rsid w:val="00354E23"/>
    <w:rsid w:val="00354E72"/>
    <w:rsid w:val="00355757"/>
    <w:rsid w:val="00355B56"/>
    <w:rsid w:val="00355C32"/>
    <w:rsid w:val="00355F9D"/>
    <w:rsid w:val="00356091"/>
    <w:rsid w:val="003560C4"/>
    <w:rsid w:val="003561FA"/>
    <w:rsid w:val="00356775"/>
    <w:rsid w:val="003568F9"/>
    <w:rsid w:val="00356B94"/>
    <w:rsid w:val="00356BB0"/>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CFD"/>
    <w:rsid w:val="00380D57"/>
    <w:rsid w:val="00380EA5"/>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D60"/>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2B9D"/>
    <w:rsid w:val="003A302D"/>
    <w:rsid w:val="003A337A"/>
    <w:rsid w:val="003A33E7"/>
    <w:rsid w:val="003A3523"/>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7C3"/>
    <w:rsid w:val="003C6860"/>
    <w:rsid w:val="003C6AAF"/>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1FC"/>
    <w:rsid w:val="003E2792"/>
    <w:rsid w:val="003E27D7"/>
    <w:rsid w:val="003E2AD0"/>
    <w:rsid w:val="003E2FA6"/>
    <w:rsid w:val="003E30E2"/>
    <w:rsid w:val="003E3207"/>
    <w:rsid w:val="003E35FC"/>
    <w:rsid w:val="003E36DF"/>
    <w:rsid w:val="003E3ABF"/>
    <w:rsid w:val="003E3C03"/>
    <w:rsid w:val="003E3C3E"/>
    <w:rsid w:val="003E3CFA"/>
    <w:rsid w:val="003E3D21"/>
    <w:rsid w:val="003E3D8F"/>
    <w:rsid w:val="003E3E77"/>
    <w:rsid w:val="003E3E92"/>
    <w:rsid w:val="003E4723"/>
    <w:rsid w:val="003E48E3"/>
    <w:rsid w:val="003E4B10"/>
    <w:rsid w:val="003E4DA4"/>
    <w:rsid w:val="003E5146"/>
    <w:rsid w:val="003E5197"/>
    <w:rsid w:val="003E521A"/>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90"/>
    <w:rsid w:val="003E6BDB"/>
    <w:rsid w:val="003E723D"/>
    <w:rsid w:val="003E735B"/>
    <w:rsid w:val="003E741C"/>
    <w:rsid w:val="003E74E1"/>
    <w:rsid w:val="003E7621"/>
    <w:rsid w:val="003E7763"/>
    <w:rsid w:val="003E7E1B"/>
    <w:rsid w:val="003E7FBF"/>
    <w:rsid w:val="003F0089"/>
    <w:rsid w:val="003F00E0"/>
    <w:rsid w:val="003F0A74"/>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97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254"/>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287"/>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239"/>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24B"/>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A46"/>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1A2"/>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BB4"/>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400"/>
    <w:rsid w:val="00456582"/>
    <w:rsid w:val="004565BD"/>
    <w:rsid w:val="00456686"/>
    <w:rsid w:val="004568DB"/>
    <w:rsid w:val="00456BE5"/>
    <w:rsid w:val="00456E14"/>
    <w:rsid w:val="00456E79"/>
    <w:rsid w:val="00457135"/>
    <w:rsid w:val="004573EA"/>
    <w:rsid w:val="004579DE"/>
    <w:rsid w:val="00457A4C"/>
    <w:rsid w:val="00457E13"/>
    <w:rsid w:val="00457F41"/>
    <w:rsid w:val="00460158"/>
    <w:rsid w:val="004601B9"/>
    <w:rsid w:val="004602F6"/>
    <w:rsid w:val="00460518"/>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ED3"/>
    <w:rsid w:val="00464F2D"/>
    <w:rsid w:val="00465129"/>
    <w:rsid w:val="004651A8"/>
    <w:rsid w:val="004651DC"/>
    <w:rsid w:val="004653FA"/>
    <w:rsid w:val="004655EB"/>
    <w:rsid w:val="00465725"/>
    <w:rsid w:val="00465772"/>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38E"/>
    <w:rsid w:val="0048071C"/>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4D8"/>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D16"/>
    <w:rsid w:val="00486E07"/>
    <w:rsid w:val="00486E6E"/>
    <w:rsid w:val="004872DD"/>
    <w:rsid w:val="004873F8"/>
    <w:rsid w:val="004876AC"/>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507"/>
    <w:rsid w:val="00491F31"/>
    <w:rsid w:val="00491FAE"/>
    <w:rsid w:val="00492157"/>
    <w:rsid w:val="00492187"/>
    <w:rsid w:val="00492206"/>
    <w:rsid w:val="004924E8"/>
    <w:rsid w:val="00492715"/>
    <w:rsid w:val="0049298D"/>
    <w:rsid w:val="004929B0"/>
    <w:rsid w:val="004929CE"/>
    <w:rsid w:val="004929FD"/>
    <w:rsid w:val="00492A58"/>
    <w:rsid w:val="00492AFE"/>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27"/>
    <w:rsid w:val="00496D80"/>
    <w:rsid w:val="00496E8E"/>
    <w:rsid w:val="00496F80"/>
    <w:rsid w:val="0049709C"/>
    <w:rsid w:val="004970C7"/>
    <w:rsid w:val="004973FE"/>
    <w:rsid w:val="004974B2"/>
    <w:rsid w:val="00497681"/>
    <w:rsid w:val="00497842"/>
    <w:rsid w:val="004978D4"/>
    <w:rsid w:val="00497940"/>
    <w:rsid w:val="00497CEA"/>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679"/>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45E"/>
    <w:rsid w:val="004D18D8"/>
    <w:rsid w:val="004D1999"/>
    <w:rsid w:val="004D1A1E"/>
    <w:rsid w:val="004D1C53"/>
    <w:rsid w:val="004D1C6F"/>
    <w:rsid w:val="004D21AE"/>
    <w:rsid w:val="004D2324"/>
    <w:rsid w:val="004D239A"/>
    <w:rsid w:val="004D27ED"/>
    <w:rsid w:val="004D2A86"/>
    <w:rsid w:val="004D2C76"/>
    <w:rsid w:val="004D2CD8"/>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974"/>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0E"/>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1B0"/>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19"/>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AB6"/>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306"/>
    <w:rsid w:val="005465B1"/>
    <w:rsid w:val="00546627"/>
    <w:rsid w:val="0054662C"/>
    <w:rsid w:val="00546872"/>
    <w:rsid w:val="005468D4"/>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E64"/>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572"/>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60"/>
    <w:rsid w:val="005662FC"/>
    <w:rsid w:val="00566587"/>
    <w:rsid w:val="00566CE3"/>
    <w:rsid w:val="00566D7A"/>
    <w:rsid w:val="00566EB1"/>
    <w:rsid w:val="0056702E"/>
    <w:rsid w:val="00567112"/>
    <w:rsid w:val="005671CE"/>
    <w:rsid w:val="005672A3"/>
    <w:rsid w:val="005674D3"/>
    <w:rsid w:val="00567631"/>
    <w:rsid w:val="00567AE0"/>
    <w:rsid w:val="00567B53"/>
    <w:rsid w:val="00567D65"/>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2FA"/>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906"/>
    <w:rsid w:val="0058594E"/>
    <w:rsid w:val="00585C05"/>
    <w:rsid w:val="00585C41"/>
    <w:rsid w:val="00585FD0"/>
    <w:rsid w:val="00585FD1"/>
    <w:rsid w:val="005860BD"/>
    <w:rsid w:val="0058611B"/>
    <w:rsid w:val="005864FB"/>
    <w:rsid w:val="00586689"/>
    <w:rsid w:val="0058681D"/>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A5D"/>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6DB"/>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768"/>
    <w:rsid w:val="005B0884"/>
    <w:rsid w:val="005B0900"/>
    <w:rsid w:val="005B0A6D"/>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A63"/>
    <w:rsid w:val="005B3B27"/>
    <w:rsid w:val="005B3C85"/>
    <w:rsid w:val="005B3C90"/>
    <w:rsid w:val="005B3E53"/>
    <w:rsid w:val="005B3E6E"/>
    <w:rsid w:val="005B3EBF"/>
    <w:rsid w:val="005B3ED3"/>
    <w:rsid w:val="005B3EFC"/>
    <w:rsid w:val="005B3F5A"/>
    <w:rsid w:val="005B418A"/>
    <w:rsid w:val="005B445D"/>
    <w:rsid w:val="005B450B"/>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919"/>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26"/>
    <w:rsid w:val="005D30C1"/>
    <w:rsid w:val="005D3161"/>
    <w:rsid w:val="005D31D5"/>
    <w:rsid w:val="005D35A5"/>
    <w:rsid w:val="005D38FB"/>
    <w:rsid w:val="005D3BE6"/>
    <w:rsid w:val="005D4136"/>
    <w:rsid w:val="005D4AC4"/>
    <w:rsid w:val="005D4BAC"/>
    <w:rsid w:val="005D4DAF"/>
    <w:rsid w:val="005D50F6"/>
    <w:rsid w:val="005D5273"/>
    <w:rsid w:val="005D531D"/>
    <w:rsid w:val="005D54A8"/>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5E23"/>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8F6"/>
    <w:rsid w:val="00603960"/>
    <w:rsid w:val="00603B7F"/>
    <w:rsid w:val="0060404B"/>
    <w:rsid w:val="006042FA"/>
    <w:rsid w:val="0060460D"/>
    <w:rsid w:val="00604758"/>
    <w:rsid w:val="00604799"/>
    <w:rsid w:val="00604825"/>
    <w:rsid w:val="0060484A"/>
    <w:rsid w:val="00604BC3"/>
    <w:rsid w:val="00604F0D"/>
    <w:rsid w:val="00605034"/>
    <w:rsid w:val="00605218"/>
    <w:rsid w:val="0060529F"/>
    <w:rsid w:val="006052A9"/>
    <w:rsid w:val="00605722"/>
    <w:rsid w:val="0060592B"/>
    <w:rsid w:val="00605B5D"/>
    <w:rsid w:val="00605DEF"/>
    <w:rsid w:val="00605E87"/>
    <w:rsid w:val="00605EBE"/>
    <w:rsid w:val="00606468"/>
    <w:rsid w:val="0060680F"/>
    <w:rsid w:val="00606A5C"/>
    <w:rsid w:val="00606AE6"/>
    <w:rsid w:val="00606B8B"/>
    <w:rsid w:val="00606BA4"/>
    <w:rsid w:val="00606CCB"/>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02"/>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387"/>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596"/>
    <w:rsid w:val="0064084C"/>
    <w:rsid w:val="006408BA"/>
    <w:rsid w:val="00640B7B"/>
    <w:rsid w:val="00640D73"/>
    <w:rsid w:val="00640EF9"/>
    <w:rsid w:val="006411D8"/>
    <w:rsid w:val="006411F3"/>
    <w:rsid w:val="00641324"/>
    <w:rsid w:val="0064145E"/>
    <w:rsid w:val="006416C1"/>
    <w:rsid w:val="006423A2"/>
    <w:rsid w:val="00642AA1"/>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5D2"/>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06E"/>
    <w:rsid w:val="00656149"/>
    <w:rsid w:val="0065619A"/>
    <w:rsid w:val="00656354"/>
    <w:rsid w:val="0065648B"/>
    <w:rsid w:val="00656816"/>
    <w:rsid w:val="006568D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54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48"/>
    <w:rsid w:val="00671FEA"/>
    <w:rsid w:val="006722A8"/>
    <w:rsid w:val="0067287F"/>
    <w:rsid w:val="00672975"/>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6D32"/>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32"/>
    <w:rsid w:val="00684DE5"/>
    <w:rsid w:val="00684ED7"/>
    <w:rsid w:val="00684F00"/>
    <w:rsid w:val="0068517E"/>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C5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6A"/>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0A8"/>
    <w:rsid w:val="006A31FF"/>
    <w:rsid w:val="006A32A1"/>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9A3"/>
    <w:rsid w:val="006A5A06"/>
    <w:rsid w:val="006A5F84"/>
    <w:rsid w:val="006A6174"/>
    <w:rsid w:val="006A6413"/>
    <w:rsid w:val="006A654A"/>
    <w:rsid w:val="006A6596"/>
    <w:rsid w:val="006A65B7"/>
    <w:rsid w:val="006A687B"/>
    <w:rsid w:val="006A6A3B"/>
    <w:rsid w:val="006A6D81"/>
    <w:rsid w:val="006A6F40"/>
    <w:rsid w:val="006A6F5C"/>
    <w:rsid w:val="006A73AC"/>
    <w:rsid w:val="006A74D6"/>
    <w:rsid w:val="006A779B"/>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9A"/>
    <w:rsid w:val="006B48F1"/>
    <w:rsid w:val="006B4A62"/>
    <w:rsid w:val="006B4B9A"/>
    <w:rsid w:val="006B5011"/>
    <w:rsid w:val="006B536D"/>
    <w:rsid w:val="006B5556"/>
    <w:rsid w:val="006B55B7"/>
    <w:rsid w:val="006B560E"/>
    <w:rsid w:val="006B5DC3"/>
    <w:rsid w:val="006B5DCF"/>
    <w:rsid w:val="006B5ED4"/>
    <w:rsid w:val="006B5FE9"/>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944"/>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4CA1"/>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0F"/>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44B"/>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3A7B"/>
    <w:rsid w:val="006F40E0"/>
    <w:rsid w:val="006F413A"/>
    <w:rsid w:val="006F43AF"/>
    <w:rsid w:val="006F473A"/>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5C"/>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46"/>
    <w:rsid w:val="007042A7"/>
    <w:rsid w:val="00704318"/>
    <w:rsid w:val="007043FF"/>
    <w:rsid w:val="007045AA"/>
    <w:rsid w:val="007047EB"/>
    <w:rsid w:val="007048B0"/>
    <w:rsid w:val="007049CB"/>
    <w:rsid w:val="00704A9E"/>
    <w:rsid w:val="00704B99"/>
    <w:rsid w:val="00704F50"/>
    <w:rsid w:val="0070506C"/>
    <w:rsid w:val="0070512E"/>
    <w:rsid w:val="0070513D"/>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2D2"/>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D3B"/>
    <w:rsid w:val="00712DCD"/>
    <w:rsid w:val="0071363B"/>
    <w:rsid w:val="00713C2F"/>
    <w:rsid w:val="00714419"/>
    <w:rsid w:val="00714474"/>
    <w:rsid w:val="00714539"/>
    <w:rsid w:val="00714546"/>
    <w:rsid w:val="007146AD"/>
    <w:rsid w:val="0071494D"/>
    <w:rsid w:val="00714B52"/>
    <w:rsid w:val="00714BA8"/>
    <w:rsid w:val="00714C17"/>
    <w:rsid w:val="00714CA2"/>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2D6"/>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7B9"/>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374"/>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5FDF"/>
    <w:rsid w:val="00746027"/>
    <w:rsid w:val="0074604E"/>
    <w:rsid w:val="007460A7"/>
    <w:rsid w:val="007461DD"/>
    <w:rsid w:val="007464B2"/>
    <w:rsid w:val="00746702"/>
    <w:rsid w:val="0074679A"/>
    <w:rsid w:val="00746AF8"/>
    <w:rsid w:val="00747493"/>
    <w:rsid w:val="007475C9"/>
    <w:rsid w:val="007476BE"/>
    <w:rsid w:val="007477F2"/>
    <w:rsid w:val="00747907"/>
    <w:rsid w:val="00747CD2"/>
    <w:rsid w:val="00747CFC"/>
    <w:rsid w:val="00747ED9"/>
    <w:rsid w:val="00747F91"/>
    <w:rsid w:val="007500EB"/>
    <w:rsid w:val="00750115"/>
    <w:rsid w:val="007501BF"/>
    <w:rsid w:val="0075026D"/>
    <w:rsid w:val="007502F0"/>
    <w:rsid w:val="00750349"/>
    <w:rsid w:val="007505A8"/>
    <w:rsid w:val="0075099C"/>
    <w:rsid w:val="00750BB8"/>
    <w:rsid w:val="00750C43"/>
    <w:rsid w:val="00750E29"/>
    <w:rsid w:val="00750F47"/>
    <w:rsid w:val="00751002"/>
    <w:rsid w:val="0075136C"/>
    <w:rsid w:val="007518D2"/>
    <w:rsid w:val="00751AD7"/>
    <w:rsid w:val="00751C06"/>
    <w:rsid w:val="00751D22"/>
    <w:rsid w:val="00751D69"/>
    <w:rsid w:val="00752235"/>
    <w:rsid w:val="007525E1"/>
    <w:rsid w:val="0075285B"/>
    <w:rsid w:val="00752E30"/>
    <w:rsid w:val="00752E6B"/>
    <w:rsid w:val="00752FFB"/>
    <w:rsid w:val="007531B6"/>
    <w:rsid w:val="0075334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A3"/>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30"/>
    <w:rsid w:val="00764BCA"/>
    <w:rsid w:val="00764CD4"/>
    <w:rsid w:val="00764D8F"/>
    <w:rsid w:val="00764EAF"/>
    <w:rsid w:val="00764EDD"/>
    <w:rsid w:val="00765078"/>
    <w:rsid w:val="007650BE"/>
    <w:rsid w:val="0076537D"/>
    <w:rsid w:val="0076542E"/>
    <w:rsid w:val="00765643"/>
    <w:rsid w:val="0076587F"/>
    <w:rsid w:val="0076591B"/>
    <w:rsid w:val="00765A28"/>
    <w:rsid w:val="00765A56"/>
    <w:rsid w:val="0076612E"/>
    <w:rsid w:val="00766174"/>
    <w:rsid w:val="00766262"/>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92C"/>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6E"/>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43"/>
    <w:rsid w:val="00782DE7"/>
    <w:rsid w:val="00782E15"/>
    <w:rsid w:val="00782F51"/>
    <w:rsid w:val="00782FF3"/>
    <w:rsid w:val="007830DB"/>
    <w:rsid w:val="0078318C"/>
    <w:rsid w:val="0078322A"/>
    <w:rsid w:val="00783231"/>
    <w:rsid w:val="007839DA"/>
    <w:rsid w:val="00783D77"/>
    <w:rsid w:val="00783FA6"/>
    <w:rsid w:val="00783FD8"/>
    <w:rsid w:val="007841B6"/>
    <w:rsid w:val="00784414"/>
    <w:rsid w:val="0078486B"/>
    <w:rsid w:val="007849F9"/>
    <w:rsid w:val="00784C51"/>
    <w:rsid w:val="00784CB3"/>
    <w:rsid w:val="007851BB"/>
    <w:rsid w:val="0078550A"/>
    <w:rsid w:val="007856A8"/>
    <w:rsid w:val="00785AF9"/>
    <w:rsid w:val="00785B3C"/>
    <w:rsid w:val="0078623A"/>
    <w:rsid w:val="0078629B"/>
    <w:rsid w:val="0078685B"/>
    <w:rsid w:val="00786F9C"/>
    <w:rsid w:val="00786FFB"/>
    <w:rsid w:val="00787148"/>
    <w:rsid w:val="007876B1"/>
    <w:rsid w:val="007878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0"/>
    <w:rsid w:val="00791526"/>
    <w:rsid w:val="007915A4"/>
    <w:rsid w:val="0079169F"/>
    <w:rsid w:val="00791732"/>
    <w:rsid w:val="00791940"/>
    <w:rsid w:val="00791B42"/>
    <w:rsid w:val="00791F25"/>
    <w:rsid w:val="00791FA8"/>
    <w:rsid w:val="007928F0"/>
    <w:rsid w:val="00792AB3"/>
    <w:rsid w:val="00792C47"/>
    <w:rsid w:val="00793035"/>
    <w:rsid w:val="0079348B"/>
    <w:rsid w:val="007934F9"/>
    <w:rsid w:val="0079373D"/>
    <w:rsid w:val="00793B5C"/>
    <w:rsid w:val="007946B8"/>
    <w:rsid w:val="007948AA"/>
    <w:rsid w:val="007949D7"/>
    <w:rsid w:val="00794D7B"/>
    <w:rsid w:val="007956AF"/>
    <w:rsid w:val="00795B3B"/>
    <w:rsid w:val="00795D52"/>
    <w:rsid w:val="007960D3"/>
    <w:rsid w:val="00796332"/>
    <w:rsid w:val="0079634E"/>
    <w:rsid w:val="00796578"/>
    <w:rsid w:val="007967F8"/>
    <w:rsid w:val="0079696B"/>
    <w:rsid w:val="007969AB"/>
    <w:rsid w:val="00797412"/>
    <w:rsid w:val="007978F1"/>
    <w:rsid w:val="007979EE"/>
    <w:rsid w:val="00797B4F"/>
    <w:rsid w:val="00797CC7"/>
    <w:rsid w:val="00797D02"/>
    <w:rsid w:val="00797D2F"/>
    <w:rsid w:val="007A00DA"/>
    <w:rsid w:val="007A0280"/>
    <w:rsid w:val="007A0353"/>
    <w:rsid w:val="007A0649"/>
    <w:rsid w:val="007A0672"/>
    <w:rsid w:val="007A079C"/>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098"/>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8C0"/>
    <w:rsid w:val="007D7AA3"/>
    <w:rsid w:val="007D7CB0"/>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40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299"/>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6E7A"/>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A62"/>
    <w:rsid w:val="00811B16"/>
    <w:rsid w:val="00811B3F"/>
    <w:rsid w:val="00811D51"/>
    <w:rsid w:val="00811D52"/>
    <w:rsid w:val="00812142"/>
    <w:rsid w:val="0081224B"/>
    <w:rsid w:val="0081244E"/>
    <w:rsid w:val="00812616"/>
    <w:rsid w:val="008126CB"/>
    <w:rsid w:val="00812738"/>
    <w:rsid w:val="00812956"/>
    <w:rsid w:val="008129A7"/>
    <w:rsid w:val="00812A0B"/>
    <w:rsid w:val="00812AE9"/>
    <w:rsid w:val="00812E66"/>
    <w:rsid w:val="00813295"/>
    <w:rsid w:val="008133BB"/>
    <w:rsid w:val="00813660"/>
    <w:rsid w:val="008136AE"/>
    <w:rsid w:val="0081371D"/>
    <w:rsid w:val="00813878"/>
    <w:rsid w:val="00813918"/>
    <w:rsid w:val="00813A5F"/>
    <w:rsid w:val="00813B5D"/>
    <w:rsid w:val="00813D01"/>
    <w:rsid w:val="00813D44"/>
    <w:rsid w:val="00813F7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BFB"/>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2FAC"/>
    <w:rsid w:val="0084313C"/>
    <w:rsid w:val="0084373E"/>
    <w:rsid w:val="008437A1"/>
    <w:rsid w:val="00843BCD"/>
    <w:rsid w:val="00844205"/>
    <w:rsid w:val="00844B53"/>
    <w:rsid w:val="00844B89"/>
    <w:rsid w:val="00844E48"/>
    <w:rsid w:val="008450D1"/>
    <w:rsid w:val="008450D5"/>
    <w:rsid w:val="00845353"/>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8AE"/>
    <w:rsid w:val="0085096A"/>
    <w:rsid w:val="00850B9D"/>
    <w:rsid w:val="008510F6"/>
    <w:rsid w:val="0085114D"/>
    <w:rsid w:val="00851163"/>
    <w:rsid w:val="008511F0"/>
    <w:rsid w:val="0085137A"/>
    <w:rsid w:val="0085170B"/>
    <w:rsid w:val="00851788"/>
    <w:rsid w:val="00851D10"/>
    <w:rsid w:val="008520CE"/>
    <w:rsid w:val="008520EF"/>
    <w:rsid w:val="00852163"/>
    <w:rsid w:val="008527EB"/>
    <w:rsid w:val="00852C40"/>
    <w:rsid w:val="00852EF0"/>
    <w:rsid w:val="00853115"/>
    <w:rsid w:val="00853405"/>
    <w:rsid w:val="00853A7B"/>
    <w:rsid w:val="0085429C"/>
    <w:rsid w:val="00854731"/>
    <w:rsid w:val="00854BF3"/>
    <w:rsid w:val="00854D0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B69"/>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756"/>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591"/>
    <w:rsid w:val="00881A18"/>
    <w:rsid w:val="00881BFA"/>
    <w:rsid w:val="00881E39"/>
    <w:rsid w:val="00881E88"/>
    <w:rsid w:val="008825CF"/>
    <w:rsid w:val="00882638"/>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B48"/>
    <w:rsid w:val="008A0BD1"/>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65"/>
    <w:rsid w:val="008B219B"/>
    <w:rsid w:val="008B2294"/>
    <w:rsid w:val="008B2403"/>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6C7"/>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4BD"/>
    <w:rsid w:val="008E0570"/>
    <w:rsid w:val="008E0680"/>
    <w:rsid w:val="008E088D"/>
    <w:rsid w:val="008E0CA8"/>
    <w:rsid w:val="008E11E1"/>
    <w:rsid w:val="008E1751"/>
    <w:rsid w:val="008E17B2"/>
    <w:rsid w:val="008E181B"/>
    <w:rsid w:val="008E1906"/>
    <w:rsid w:val="008E1915"/>
    <w:rsid w:val="008E1991"/>
    <w:rsid w:val="008E1B11"/>
    <w:rsid w:val="008E2070"/>
    <w:rsid w:val="008E21DF"/>
    <w:rsid w:val="008E2584"/>
    <w:rsid w:val="008E2585"/>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58"/>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B0"/>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A3B"/>
    <w:rsid w:val="00900B0A"/>
    <w:rsid w:val="00900D99"/>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6DF"/>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97D"/>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E66"/>
    <w:rsid w:val="00936EAE"/>
    <w:rsid w:val="00936F97"/>
    <w:rsid w:val="009370FC"/>
    <w:rsid w:val="009372D3"/>
    <w:rsid w:val="00937371"/>
    <w:rsid w:val="00937540"/>
    <w:rsid w:val="00937681"/>
    <w:rsid w:val="009376AC"/>
    <w:rsid w:val="00937732"/>
    <w:rsid w:val="009378CC"/>
    <w:rsid w:val="00937979"/>
    <w:rsid w:val="00937A88"/>
    <w:rsid w:val="00937D00"/>
    <w:rsid w:val="00940594"/>
    <w:rsid w:val="009405BD"/>
    <w:rsid w:val="00940A00"/>
    <w:rsid w:val="00940B26"/>
    <w:rsid w:val="00940B65"/>
    <w:rsid w:val="00940DB7"/>
    <w:rsid w:val="00940F29"/>
    <w:rsid w:val="00941093"/>
    <w:rsid w:val="00941110"/>
    <w:rsid w:val="0094148B"/>
    <w:rsid w:val="00941727"/>
    <w:rsid w:val="00941902"/>
    <w:rsid w:val="00941B64"/>
    <w:rsid w:val="00941CD2"/>
    <w:rsid w:val="00941CF0"/>
    <w:rsid w:val="00942021"/>
    <w:rsid w:val="0094219B"/>
    <w:rsid w:val="009424C3"/>
    <w:rsid w:val="0094258C"/>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67"/>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5C"/>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A7F"/>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649"/>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33DB"/>
    <w:rsid w:val="0098409B"/>
    <w:rsid w:val="00984211"/>
    <w:rsid w:val="009844FC"/>
    <w:rsid w:val="009846A1"/>
    <w:rsid w:val="009846E3"/>
    <w:rsid w:val="009847E9"/>
    <w:rsid w:val="00984E38"/>
    <w:rsid w:val="00984F35"/>
    <w:rsid w:val="00984F39"/>
    <w:rsid w:val="00984F81"/>
    <w:rsid w:val="00985540"/>
    <w:rsid w:val="009859B3"/>
    <w:rsid w:val="00985C74"/>
    <w:rsid w:val="00986360"/>
    <w:rsid w:val="009868E2"/>
    <w:rsid w:val="00986A53"/>
    <w:rsid w:val="00986AB4"/>
    <w:rsid w:val="00986BAF"/>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840"/>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09"/>
    <w:rsid w:val="0099331B"/>
    <w:rsid w:val="00993761"/>
    <w:rsid w:val="0099393C"/>
    <w:rsid w:val="009939BE"/>
    <w:rsid w:val="00993DC0"/>
    <w:rsid w:val="009946B3"/>
    <w:rsid w:val="009949AF"/>
    <w:rsid w:val="00994A37"/>
    <w:rsid w:val="00994BD3"/>
    <w:rsid w:val="00994DCA"/>
    <w:rsid w:val="00995952"/>
    <w:rsid w:val="009959FA"/>
    <w:rsid w:val="009959FE"/>
    <w:rsid w:val="00995B4C"/>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A21"/>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5C"/>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8D5"/>
    <w:rsid w:val="009A59AC"/>
    <w:rsid w:val="009A5E69"/>
    <w:rsid w:val="009A61DD"/>
    <w:rsid w:val="009A63F9"/>
    <w:rsid w:val="009A6B2F"/>
    <w:rsid w:val="009A6BA8"/>
    <w:rsid w:val="009A6BDF"/>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2FE1"/>
    <w:rsid w:val="009C3049"/>
    <w:rsid w:val="009C31A9"/>
    <w:rsid w:val="009C3243"/>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995"/>
    <w:rsid w:val="009C7A04"/>
    <w:rsid w:val="009C7AE4"/>
    <w:rsid w:val="009C7BFC"/>
    <w:rsid w:val="009C7D70"/>
    <w:rsid w:val="009D0082"/>
    <w:rsid w:val="009D0215"/>
    <w:rsid w:val="009D02CE"/>
    <w:rsid w:val="009D034B"/>
    <w:rsid w:val="009D0408"/>
    <w:rsid w:val="009D04A3"/>
    <w:rsid w:val="009D04CD"/>
    <w:rsid w:val="009D076F"/>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09"/>
    <w:rsid w:val="009D3C6D"/>
    <w:rsid w:val="009D3D25"/>
    <w:rsid w:val="009D40A3"/>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27C"/>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0E8A"/>
    <w:rsid w:val="00A00FB5"/>
    <w:rsid w:val="00A0106D"/>
    <w:rsid w:val="00A01421"/>
    <w:rsid w:val="00A016E3"/>
    <w:rsid w:val="00A017D6"/>
    <w:rsid w:val="00A018FD"/>
    <w:rsid w:val="00A01BBF"/>
    <w:rsid w:val="00A01D7E"/>
    <w:rsid w:val="00A01E12"/>
    <w:rsid w:val="00A01E9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A4E"/>
    <w:rsid w:val="00A07B9A"/>
    <w:rsid w:val="00A07EBF"/>
    <w:rsid w:val="00A10056"/>
    <w:rsid w:val="00A1024E"/>
    <w:rsid w:val="00A103EE"/>
    <w:rsid w:val="00A10652"/>
    <w:rsid w:val="00A109BE"/>
    <w:rsid w:val="00A10A5D"/>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4A24"/>
    <w:rsid w:val="00A14DB3"/>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66"/>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78F"/>
    <w:rsid w:val="00A31DDA"/>
    <w:rsid w:val="00A31E7B"/>
    <w:rsid w:val="00A3211A"/>
    <w:rsid w:val="00A3214C"/>
    <w:rsid w:val="00A321CA"/>
    <w:rsid w:val="00A3224E"/>
    <w:rsid w:val="00A327A0"/>
    <w:rsid w:val="00A327FA"/>
    <w:rsid w:val="00A329DA"/>
    <w:rsid w:val="00A32AA4"/>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0FF9"/>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52"/>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25"/>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725"/>
    <w:rsid w:val="00A64753"/>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46E"/>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189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172"/>
    <w:rsid w:val="00A934B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06"/>
    <w:rsid w:val="00A9715D"/>
    <w:rsid w:val="00A97472"/>
    <w:rsid w:val="00A974B2"/>
    <w:rsid w:val="00A9786B"/>
    <w:rsid w:val="00A9787D"/>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5F"/>
    <w:rsid w:val="00AA1E69"/>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962"/>
    <w:rsid w:val="00AA4B34"/>
    <w:rsid w:val="00AA4B7C"/>
    <w:rsid w:val="00AA4BEC"/>
    <w:rsid w:val="00AA4E69"/>
    <w:rsid w:val="00AA4E6E"/>
    <w:rsid w:val="00AA4FA5"/>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C78"/>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2B"/>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953"/>
    <w:rsid w:val="00AC3F6D"/>
    <w:rsid w:val="00AC40B0"/>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52"/>
    <w:rsid w:val="00AC65FB"/>
    <w:rsid w:val="00AC6607"/>
    <w:rsid w:val="00AC7002"/>
    <w:rsid w:val="00AC7035"/>
    <w:rsid w:val="00AC706F"/>
    <w:rsid w:val="00AC7227"/>
    <w:rsid w:val="00AC74F2"/>
    <w:rsid w:val="00AC7727"/>
    <w:rsid w:val="00AC785C"/>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055"/>
    <w:rsid w:val="00AF176D"/>
    <w:rsid w:val="00AF1818"/>
    <w:rsid w:val="00AF198F"/>
    <w:rsid w:val="00AF1B7F"/>
    <w:rsid w:val="00AF1EF9"/>
    <w:rsid w:val="00AF1F43"/>
    <w:rsid w:val="00AF20BB"/>
    <w:rsid w:val="00AF20DF"/>
    <w:rsid w:val="00AF2193"/>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4DD"/>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640"/>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97E"/>
    <w:rsid w:val="00B21AB7"/>
    <w:rsid w:val="00B21DAA"/>
    <w:rsid w:val="00B21E04"/>
    <w:rsid w:val="00B224AE"/>
    <w:rsid w:val="00B2291B"/>
    <w:rsid w:val="00B22E3D"/>
    <w:rsid w:val="00B22E73"/>
    <w:rsid w:val="00B22FED"/>
    <w:rsid w:val="00B230B8"/>
    <w:rsid w:val="00B230F1"/>
    <w:rsid w:val="00B2354D"/>
    <w:rsid w:val="00B2357A"/>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A16"/>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4E5"/>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9A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A52"/>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4F07"/>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8BE"/>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6EA"/>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00"/>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744"/>
    <w:rsid w:val="00B96C84"/>
    <w:rsid w:val="00B9716B"/>
    <w:rsid w:val="00B974AA"/>
    <w:rsid w:val="00B9762A"/>
    <w:rsid w:val="00B976A4"/>
    <w:rsid w:val="00B97716"/>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6EB"/>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9AB"/>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2EF"/>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8AC"/>
    <w:rsid w:val="00BC2B4D"/>
    <w:rsid w:val="00BC2C00"/>
    <w:rsid w:val="00BC2C81"/>
    <w:rsid w:val="00BC3488"/>
    <w:rsid w:val="00BC34AD"/>
    <w:rsid w:val="00BC34FA"/>
    <w:rsid w:val="00BC35F5"/>
    <w:rsid w:val="00BC3848"/>
    <w:rsid w:val="00BC3AB2"/>
    <w:rsid w:val="00BC3F4C"/>
    <w:rsid w:val="00BC4036"/>
    <w:rsid w:val="00BC4039"/>
    <w:rsid w:val="00BC4198"/>
    <w:rsid w:val="00BC45B5"/>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983"/>
    <w:rsid w:val="00BD1A39"/>
    <w:rsid w:val="00BD1BAD"/>
    <w:rsid w:val="00BD1DBA"/>
    <w:rsid w:val="00BD1E57"/>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D52"/>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38C"/>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AAA"/>
    <w:rsid w:val="00BE4B8E"/>
    <w:rsid w:val="00BE4C61"/>
    <w:rsid w:val="00BE4F53"/>
    <w:rsid w:val="00BE56F5"/>
    <w:rsid w:val="00BE57BC"/>
    <w:rsid w:val="00BE5975"/>
    <w:rsid w:val="00BE5EE5"/>
    <w:rsid w:val="00BE6294"/>
    <w:rsid w:val="00BE6339"/>
    <w:rsid w:val="00BE6536"/>
    <w:rsid w:val="00BE6584"/>
    <w:rsid w:val="00BE6599"/>
    <w:rsid w:val="00BE6676"/>
    <w:rsid w:val="00BE66F8"/>
    <w:rsid w:val="00BE677C"/>
    <w:rsid w:val="00BE6AC0"/>
    <w:rsid w:val="00BE6F0F"/>
    <w:rsid w:val="00BE7182"/>
    <w:rsid w:val="00BE735D"/>
    <w:rsid w:val="00BE7A3C"/>
    <w:rsid w:val="00BF07CF"/>
    <w:rsid w:val="00BF0939"/>
    <w:rsid w:val="00BF0BE7"/>
    <w:rsid w:val="00BF0E9E"/>
    <w:rsid w:val="00BF0F6C"/>
    <w:rsid w:val="00BF1331"/>
    <w:rsid w:val="00BF1449"/>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8"/>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9A9"/>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233"/>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8CD"/>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32"/>
    <w:rsid w:val="00C273E7"/>
    <w:rsid w:val="00C2742A"/>
    <w:rsid w:val="00C2751F"/>
    <w:rsid w:val="00C278C6"/>
    <w:rsid w:val="00C27962"/>
    <w:rsid w:val="00C27E74"/>
    <w:rsid w:val="00C30046"/>
    <w:rsid w:val="00C301A8"/>
    <w:rsid w:val="00C302B6"/>
    <w:rsid w:val="00C30714"/>
    <w:rsid w:val="00C30A64"/>
    <w:rsid w:val="00C30DDC"/>
    <w:rsid w:val="00C30EC5"/>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C0E"/>
    <w:rsid w:val="00C54F35"/>
    <w:rsid w:val="00C5508E"/>
    <w:rsid w:val="00C551AF"/>
    <w:rsid w:val="00C55905"/>
    <w:rsid w:val="00C55BB4"/>
    <w:rsid w:val="00C55C98"/>
    <w:rsid w:val="00C55E1A"/>
    <w:rsid w:val="00C55F12"/>
    <w:rsid w:val="00C5609B"/>
    <w:rsid w:val="00C5615A"/>
    <w:rsid w:val="00C56165"/>
    <w:rsid w:val="00C5619B"/>
    <w:rsid w:val="00C563D7"/>
    <w:rsid w:val="00C56965"/>
    <w:rsid w:val="00C569EA"/>
    <w:rsid w:val="00C56E12"/>
    <w:rsid w:val="00C56E1C"/>
    <w:rsid w:val="00C571BC"/>
    <w:rsid w:val="00C573B5"/>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3E6"/>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34F"/>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C7F"/>
    <w:rsid w:val="00C72D88"/>
    <w:rsid w:val="00C72DA5"/>
    <w:rsid w:val="00C72F12"/>
    <w:rsid w:val="00C72F9C"/>
    <w:rsid w:val="00C73697"/>
    <w:rsid w:val="00C73C16"/>
    <w:rsid w:val="00C73F9E"/>
    <w:rsid w:val="00C74039"/>
    <w:rsid w:val="00C74147"/>
    <w:rsid w:val="00C7457D"/>
    <w:rsid w:val="00C7488F"/>
    <w:rsid w:val="00C748B6"/>
    <w:rsid w:val="00C74958"/>
    <w:rsid w:val="00C74ABA"/>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D31"/>
    <w:rsid w:val="00C83E41"/>
    <w:rsid w:val="00C83F63"/>
    <w:rsid w:val="00C84363"/>
    <w:rsid w:val="00C844F5"/>
    <w:rsid w:val="00C84664"/>
    <w:rsid w:val="00C84838"/>
    <w:rsid w:val="00C84AB8"/>
    <w:rsid w:val="00C84ABD"/>
    <w:rsid w:val="00C84B78"/>
    <w:rsid w:val="00C84CB0"/>
    <w:rsid w:val="00C85246"/>
    <w:rsid w:val="00C857F6"/>
    <w:rsid w:val="00C85996"/>
    <w:rsid w:val="00C85B7F"/>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5"/>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5F24"/>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234"/>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1BA"/>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C4D"/>
    <w:rsid w:val="00CC7DA7"/>
    <w:rsid w:val="00CC7DB4"/>
    <w:rsid w:val="00CC7F23"/>
    <w:rsid w:val="00CD027B"/>
    <w:rsid w:val="00CD03DD"/>
    <w:rsid w:val="00CD0516"/>
    <w:rsid w:val="00CD08FB"/>
    <w:rsid w:val="00CD090F"/>
    <w:rsid w:val="00CD09AD"/>
    <w:rsid w:val="00CD0CC9"/>
    <w:rsid w:val="00CD12B4"/>
    <w:rsid w:val="00CD138B"/>
    <w:rsid w:val="00CD1419"/>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7C"/>
    <w:rsid w:val="00CD53A9"/>
    <w:rsid w:val="00CD57BE"/>
    <w:rsid w:val="00CD5805"/>
    <w:rsid w:val="00CD590D"/>
    <w:rsid w:val="00CD5ED0"/>
    <w:rsid w:val="00CD62A9"/>
    <w:rsid w:val="00CD6483"/>
    <w:rsid w:val="00CD67B8"/>
    <w:rsid w:val="00CD6846"/>
    <w:rsid w:val="00CD6ADF"/>
    <w:rsid w:val="00CD6D6D"/>
    <w:rsid w:val="00CD71A7"/>
    <w:rsid w:val="00CD7286"/>
    <w:rsid w:val="00CD766F"/>
    <w:rsid w:val="00CD7698"/>
    <w:rsid w:val="00CD771F"/>
    <w:rsid w:val="00CD796C"/>
    <w:rsid w:val="00CD7CA1"/>
    <w:rsid w:val="00CD7D93"/>
    <w:rsid w:val="00CE004F"/>
    <w:rsid w:val="00CE00B1"/>
    <w:rsid w:val="00CE047C"/>
    <w:rsid w:val="00CE05AE"/>
    <w:rsid w:val="00CE07CA"/>
    <w:rsid w:val="00CE089B"/>
    <w:rsid w:val="00CE09B2"/>
    <w:rsid w:val="00CE0A22"/>
    <w:rsid w:val="00CE0DE7"/>
    <w:rsid w:val="00CE0DF9"/>
    <w:rsid w:val="00CE1334"/>
    <w:rsid w:val="00CE1589"/>
    <w:rsid w:val="00CE15DE"/>
    <w:rsid w:val="00CE1695"/>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94D"/>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DDC"/>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50B"/>
    <w:rsid w:val="00CF5AA8"/>
    <w:rsid w:val="00CF64A1"/>
    <w:rsid w:val="00CF67F7"/>
    <w:rsid w:val="00CF6AD5"/>
    <w:rsid w:val="00CF6BA7"/>
    <w:rsid w:val="00CF6D7A"/>
    <w:rsid w:val="00CF6EBC"/>
    <w:rsid w:val="00CF7451"/>
    <w:rsid w:val="00CF74AC"/>
    <w:rsid w:val="00CF74F6"/>
    <w:rsid w:val="00CF763C"/>
    <w:rsid w:val="00CF77CE"/>
    <w:rsid w:val="00CF78C0"/>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3A9"/>
    <w:rsid w:val="00D064AF"/>
    <w:rsid w:val="00D0670D"/>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6B1"/>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902"/>
    <w:rsid w:val="00D32C05"/>
    <w:rsid w:val="00D32C61"/>
    <w:rsid w:val="00D32EEA"/>
    <w:rsid w:val="00D32F26"/>
    <w:rsid w:val="00D33371"/>
    <w:rsid w:val="00D3358A"/>
    <w:rsid w:val="00D3367B"/>
    <w:rsid w:val="00D338BE"/>
    <w:rsid w:val="00D33984"/>
    <w:rsid w:val="00D33A4D"/>
    <w:rsid w:val="00D33BD5"/>
    <w:rsid w:val="00D33EB1"/>
    <w:rsid w:val="00D33ECC"/>
    <w:rsid w:val="00D349DB"/>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DDD"/>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EB"/>
    <w:rsid w:val="00D472F3"/>
    <w:rsid w:val="00D47CB9"/>
    <w:rsid w:val="00D500DF"/>
    <w:rsid w:val="00D5025C"/>
    <w:rsid w:val="00D507E0"/>
    <w:rsid w:val="00D5093E"/>
    <w:rsid w:val="00D50A9E"/>
    <w:rsid w:val="00D50D52"/>
    <w:rsid w:val="00D50DC6"/>
    <w:rsid w:val="00D50DF1"/>
    <w:rsid w:val="00D50FE1"/>
    <w:rsid w:val="00D5114E"/>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CD9"/>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3F3B"/>
    <w:rsid w:val="00D74345"/>
    <w:rsid w:val="00D7446E"/>
    <w:rsid w:val="00D74500"/>
    <w:rsid w:val="00D746F5"/>
    <w:rsid w:val="00D74760"/>
    <w:rsid w:val="00D7499B"/>
    <w:rsid w:val="00D74DFA"/>
    <w:rsid w:val="00D74EC9"/>
    <w:rsid w:val="00D75020"/>
    <w:rsid w:val="00D7517F"/>
    <w:rsid w:val="00D75234"/>
    <w:rsid w:val="00D753C6"/>
    <w:rsid w:val="00D753D3"/>
    <w:rsid w:val="00D753DB"/>
    <w:rsid w:val="00D75A20"/>
    <w:rsid w:val="00D75AAA"/>
    <w:rsid w:val="00D75C18"/>
    <w:rsid w:val="00D75DCD"/>
    <w:rsid w:val="00D75E3E"/>
    <w:rsid w:val="00D760F4"/>
    <w:rsid w:val="00D7616E"/>
    <w:rsid w:val="00D76370"/>
    <w:rsid w:val="00D7637D"/>
    <w:rsid w:val="00D76391"/>
    <w:rsid w:val="00D765C5"/>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24E"/>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C24"/>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01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DEC"/>
    <w:rsid w:val="00DE0F3F"/>
    <w:rsid w:val="00DE1205"/>
    <w:rsid w:val="00DE121A"/>
    <w:rsid w:val="00DE125E"/>
    <w:rsid w:val="00DE132D"/>
    <w:rsid w:val="00DE1353"/>
    <w:rsid w:val="00DE144F"/>
    <w:rsid w:val="00DE1667"/>
    <w:rsid w:val="00DE1828"/>
    <w:rsid w:val="00DE18F8"/>
    <w:rsid w:val="00DE19E2"/>
    <w:rsid w:val="00DE1E35"/>
    <w:rsid w:val="00DE1E79"/>
    <w:rsid w:val="00DE1F1A"/>
    <w:rsid w:val="00DE21DB"/>
    <w:rsid w:val="00DE25BD"/>
    <w:rsid w:val="00DE25F0"/>
    <w:rsid w:val="00DE2753"/>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9C7"/>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238"/>
    <w:rsid w:val="00E144AC"/>
    <w:rsid w:val="00E1456B"/>
    <w:rsid w:val="00E14B16"/>
    <w:rsid w:val="00E14E7E"/>
    <w:rsid w:val="00E14EFA"/>
    <w:rsid w:val="00E150DB"/>
    <w:rsid w:val="00E1513F"/>
    <w:rsid w:val="00E15193"/>
    <w:rsid w:val="00E151C4"/>
    <w:rsid w:val="00E151DD"/>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84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B8C"/>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554"/>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169"/>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006"/>
    <w:rsid w:val="00E55481"/>
    <w:rsid w:val="00E55916"/>
    <w:rsid w:val="00E55B87"/>
    <w:rsid w:val="00E55F63"/>
    <w:rsid w:val="00E56179"/>
    <w:rsid w:val="00E5619A"/>
    <w:rsid w:val="00E562B5"/>
    <w:rsid w:val="00E562EE"/>
    <w:rsid w:val="00E5631D"/>
    <w:rsid w:val="00E5637D"/>
    <w:rsid w:val="00E565B6"/>
    <w:rsid w:val="00E565F0"/>
    <w:rsid w:val="00E56714"/>
    <w:rsid w:val="00E567D4"/>
    <w:rsid w:val="00E568D0"/>
    <w:rsid w:val="00E568E8"/>
    <w:rsid w:val="00E56970"/>
    <w:rsid w:val="00E56B91"/>
    <w:rsid w:val="00E56CE9"/>
    <w:rsid w:val="00E56F5C"/>
    <w:rsid w:val="00E57128"/>
    <w:rsid w:val="00E571B2"/>
    <w:rsid w:val="00E57340"/>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1C9"/>
    <w:rsid w:val="00E62222"/>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6F6B"/>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A0E"/>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5B"/>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06"/>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990"/>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65A"/>
    <w:rsid w:val="00E8481B"/>
    <w:rsid w:val="00E849A7"/>
    <w:rsid w:val="00E84B23"/>
    <w:rsid w:val="00E84BBA"/>
    <w:rsid w:val="00E84C2A"/>
    <w:rsid w:val="00E84C44"/>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5E29"/>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962"/>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828"/>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5CB"/>
    <w:rsid w:val="00EB56F7"/>
    <w:rsid w:val="00EB580D"/>
    <w:rsid w:val="00EB5870"/>
    <w:rsid w:val="00EB5E66"/>
    <w:rsid w:val="00EB6034"/>
    <w:rsid w:val="00EB617E"/>
    <w:rsid w:val="00EB621D"/>
    <w:rsid w:val="00EB6225"/>
    <w:rsid w:val="00EB6617"/>
    <w:rsid w:val="00EB67B6"/>
    <w:rsid w:val="00EB684C"/>
    <w:rsid w:val="00EB6979"/>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5FA3"/>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0C3A"/>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5E9C"/>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2E4"/>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E05"/>
    <w:rsid w:val="00EE3F47"/>
    <w:rsid w:val="00EE4396"/>
    <w:rsid w:val="00EE43FD"/>
    <w:rsid w:val="00EE4443"/>
    <w:rsid w:val="00EE48B5"/>
    <w:rsid w:val="00EE48C5"/>
    <w:rsid w:val="00EE493C"/>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96"/>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2FA"/>
    <w:rsid w:val="00EF342E"/>
    <w:rsid w:val="00EF34A4"/>
    <w:rsid w:val="00EF3919"/>
    <w:rsid w:val="00EF3BCC"/>
    <w:rsid w:val="00EF3BE9"/>
    <w:rsid w:val="00EF3D85"/>
    <w:rsid w:val="00EF3E84"/>
    <w:rsid w:val="00EF435A"/>
    <w:rsid w:val="00EF485D"/>
    <w:rsid w:val="00EF4A32"/>
    <w:rsid w:val="00EF4B1C"/>
    <w:rsid w:val="00EF5671"/>
    <w:rsid w:val="00EF58AA"/>
    <w:rsid w:val="00EF59D4"/>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A1"/>
    <w:rsid w:val="00F022B1"/>
    <w:rsid w:val="00F02322"/>
    <w:rsid w:val="00F0285B"/>
    <w:rsid w:val="00F028CA"/>
    <w:rsid w:val="00F02A16"/>
    <w:rsid w:val="00F02BAF"/>
    <w:rsid w:val="00F02D58"/>
    <w:rsid w:val="00F02F0E"/>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27B"/>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9B0"/>
    <w:rsid w:val="00F15A6B"/>
    <w:rsid w:val="00F15BCE"/>
    <w:rsid w:val="00F16192"/>
    <w:rsid w:val="00F163A8"/>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386"/>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7E8"/>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EEA"/>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6D"/>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0FB0"/>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1DAA"/>
    <w:rsid w:val="00FB238E"/>
    <w:rsid w:val="00FB246F"/>
    <w:rsid w:val="00FB24F5"/>
    <w:rsid w:val="00FB2580"/>
    <w:rsid w:val="00FB2DAA"/>
    <w:rsid w:val="00FB2DE7"/>
    <w:rsid w:val="00FB302D"/>
    <w:rsid w:val="00FB31B0"/>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6FCB"/>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8D5"/>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9F7"/>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B43"/>
    <w:rsid w:val="00FE2C6C"/>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AE8"/>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5E06"/>
    <w:rsid w:val="00FF6512"/>
    <w:rsid w:val="00FF653D"/>
    <w:rsid w:val="00FF6542"/>
    <w:rsid w:val="00FF65DA"/>
    <w:rsid w:val="00FF6685"/>
    <w:rsid w:val="00FF6AF3"/>
    <w:rsid w:val="00FF6B86"/>
    <w:rsid w:val="00FF6FDE"/>
    <w:rsid w:val="00FF6FE9"/>
    <w:rsid w:val="00FF719F"/>
    <w:rsid w:val="00FF71C0"/>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97633"/>
    <o:shapelayout v:ext="edit">
      <o:idmap v:ext="edit" data="1"/>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25745621">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footer" Target="footer1.xml"/><Relationship Id="rId26" Type="http://schemas.openxmlformats.org/officeDocument/2006/relationships/image" Target="media/image10.emf"/><Relationship Id="rId39" Type="http://schemas.openxmlformats.org/officeDocument/2006/relationships/fontTable" Target="fontTable.xml"/><Relationship Id="rId21" Type="http://schemas.openxmlformats.org/officeDocument/2006/relationships/image" Target="media/image6.emf"/><Relationship Id="rId34" Type="http://schemas.openxmlformats.org/officeDocument/2006/relationships/image" Target="media/image18.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eader" Target="header1.xm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footer" Target="footer2.xml"/><Relationship Id="rId29"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8.emf"/><Relationship Id="rId32" Type="http://schemas.openxmlformats.org/officeDocument/2006/relationships/image" Target="media/image16.png"/><Relationship Id="rId37" Type="http://schemas.openxmlformats.org/officeDocument/2006/relationships/header" Target="header4.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header" Target="header3.xml"/><Relationship Id="rId28" Type="http://schemas.openxmlformats.org/officeDocument/2006/relationships/image" Target="media/image12.emf"/><Relationship Id="rId36" Type="http://schemas.openxmlformats.org/officeDocument/2006/relationships/hyperlink" Target="https://www.osinergmin.gob.pe/seccion/centro_documental/gart/precios_referencia_banda_precios/PreciosReferencia/Informe-Tecnico-479-2021-GRT.pdf" TargetMode="External"/><Relationship Id="rId10" Type="http://schemas.openxmlformats.org/officeDocument/2006/relationships/endnotes" Target="endnotes.xml"/><Relationship Id="rId19" Type="http://schemas.openxmlformats.org/officeDocument/2006/relationships/header" Target="header2.xml"/><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footer" Target="footer3.xml"/><Relationship Id="rId27" Type="http://schemas.openxmlformats.org/officeDocument/2006/relationships/image" Target="media/image11.emf"/><Relationship Id="rId30" Type="http://schemas.openxmlformats.org/officeDocument/2006/relationships/image" Target="media/image14.png"/><Relationship Id="rId35" Type="http://schemas.openxmlformats.org/officeDocument/2006/relationships/image" Target="media/image19.png"/><Relationship Id="rId8" Type="http://schemas.openxmlformats.org/officeDocument/2006/relationships/webSettings" Target="webSettings.xml"/><Relationship Id="rId3" Type="http://schemas.openxmlformats.org/officeDocument/2006/relationships/customXml" Target="../customXml/item3.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2.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3.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6AF86B4-4A6D-450E-AD5D-A61EEDEC71F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1615</TotalTime>
  <Pages>20</Pages>
  <Words>4790</Words>
  <Characters>26345</Characters>
  <Application>Microsoft Office Word</Application>
  <DocSecurity>0</DocSecurity>
  <Lines>219</Lines>
  <Paragraphs>62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31073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10</cp:revision>
  <cp:lastPrinted>2026-02-16T14:35:00Z</cp:lastPrinted>
  <dcterms:created xsi:type="dcterms:W3CDTF">2026-03-25T13:27:00Z</dcterms:created>
  <dcterms:modified xsi:type="dcterms:W3CDTF">2026-03-26T16:28:00Z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