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B9876" w14:textId="2B7D9173" w:rsidR="00C80F8A" w:rsidRPr="00352B3A" w:rsidRDefault="00C80F8A" w:rsidP="006106D5">
      <w:pPr>
        <w:pStyle w:val="Ttulo10"/>
        <w:rPr>
          <w:rFonts w:asciiTheme="minorHAnsi" w:hAnsiTheme="minorHAnsi" w:cstheme="minorHAnsi"/>
          <w:sz w:val="32"/>
          <w:szCs w:val="28"/>
          <w:u w:val="single"/>
          <w:lang w:val="it-IT"/>
        </w:rPr>
      </w:pPr>
      <w:r w:rsidRPr="00352B3A">
        <w:rPr>
          <w:rFonts w:asciiTheme="minorHAnsi" w:hAnsiTheme="minorHAnsi" w:cstheme="minorHAnsi"/>
          <w:sz w:val="32"/>
          <w:szCs w:val="28"/>
          <w:u w:val="single"/>
          <w:lang w:val="it-IT"/>
        </w:rPr>
        <w:t xml:space="preserve">INFORME N° PR </w:t>
      </w:r>
      <w:r w:rsidR="002A50E6">
        <w:rPr>
          <w:rFonts w:asciiTheme="minorHAnsi" w:hAnsiTheme="minorHAnsi" w:cstheme="minorHAnsi"/>
          <w:sz w:val="32"/>
          <w:szCs w:val="28"/>
          <w:u w:val="single"/>
          <w:lang w:val="it-IT"/>
        </w:rPr>
        <w:t>-</w:t>
      </w:r>
      <w:r w:rsidRPr="00352B3A">
        <w:rPr>
          <w:rFonts w:asciiTheme="minorHAnsi" w:hAnsiTheme="minorHAnsi" w:cstheme="minorHAnsi"/>
          <w:sz w:val="32"/>
          <w:szCs w:val="28"/>
          <w:u w:val="single"/>
          <w:lang w:val="it-IT"/>
        </w:rPr>
        <w:t xml:space="preserve"> 0</w:t>
      </w:r>
      <w:r w:rsidR="00C823A9">
        <w:rPr>
          <w:rFonts w:asciiTheme="minorHAnsi" w:hAnsiTheme="minorHAnsi" w:cstheme="minorHAnsi"/>
          <w:sz w:val="32"/>
          <w:szCs w:val="28"/>
          <w:u w:val="single"/>
          <w:lang w:val="it-IT"/>
        </w:rPr>
        <w:t>4</w:t>
      </w:r>
      <w:r w:rsidRPr="00352B3A">
        <w:rPr>
          <w:rFonts w:asciiTheme="minorHAnsi" w:hAnsiTheme="minorHAnsi" w:cstheme="minorHAnsi"/>
          <w:sz w:val="32"/>
          <w:szCs w:val="28"/>
          <w:u w:val="single"/>
          <w:lang w:val="it-IT"/>
        </w:rPr>
        <w:t>-2023-DGN/GRT</w:t>
      </w:r>
    </w:p>
    <w:p w14:paraId="05C31DA7" w14:textId="0E3F0B92"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112B744A"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C823A9">
        <w:rPr>
          <w:rFonts w:asciiTheme="minorHAnsi" w:hAnsiTheme="minorHAnsi" w:cstheme="minorHAnsi"/>
          <w:b/>
          <w:bCs/>
          <w:sz w:val="28"/>
          <w:szCs w:val="28"/>
        </w:rPr>
        <w:t>23</w:t>
      </w:r>
      <w:r w:rsidR="00D13504" w:rsidRPr="00FB18F8">
        <w:rPr>
          <w:rFonts w:asciiTheme="minorHAnsi" w:hAnsiTheme="minorHAnsi" w:cstheme="minorHAnsi"/>
          <w:b/>
          <w:bCs/>
          <w:sz w:val="28"/>
          <w:szCs w:val="28"/>
        </w:rPr>
        <w:t>/</w:t>
      </w:r>
      <w:r w:rsidR="00C823A9">
        <w:rPr>
          <w:rFonts w:asciiTheme="minorHAnsi" w:hAnsiTheme="minorHAnsi" w:cstheme="minorHAnsi"/>
          <w:b/>
          <w:bCs/>
          <w:sz w:val="28"/>
          <w:szCs w:val="28"/>
        </w:rPr>
        <w:t>0</w:t>
      </w:r>
      <w:r w:rsidR="009F52E1">
        <w:rPr>
          <w:rFonts w:asciiTheme="minorHAnsi" w:hAnsiTheme="minorHAnsi" w:cstheme="minorHAnsi"/>
          <w:b/>
          <w:bCs/>
          <w:sz w:val="28"/>
          <w:szCs w:val="28"/>
        </w:rPr>
        <w:t>1</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981FBB">
        <w:rPr>
          <w:rFonts w:asciiTheme="minorHAnsi" w:hAnsiTheme="minorHAnsi" w:cstheme="minorHAnsi"/>
          <w:b/>
          <w:bCs/>
          <w:sz w:val="28"/>
          <w:szCs w:val="28"/>
        </w:rPr>
        <w:t>3</w:t>
      </w:r>
    </w:p>
    <w:p w14:paraId="4828A6AA" w14:textId="77777777" w:rsidR="00613813" w:rsidRPr="00FB18F8" w:rsidRDefault="00613813" w:rsidP="00027D8A">
      <w:pPr>
        <w:jc w:val="center"/>
        <w:rPr>
          <w:rFonts w:asciiTheme="minorHAnsi" w:hAnsiTheme="minorHAnsi" w:cstheme="minorHAnsi"/>
          <w:b/>
          <w:bCs/>
          <w:sz w:val="28"/>
          <w:szCs w:val="28"/>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71BD25F8" w:rsidR="00E53D92" w:rsidRPr="002B3648" w:rsidRDefault="00AF3F44"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Pr>
          <w:noProof/>
          <w:lang w:val="es-PE" w:eastAsia="es-PE"/>
        </w:rPr>
        <w:drawing>
          <wp:inline distT="0" distB="0" distL="0" distR="0" wp14:anchorId="0066929C" wp14:editId="7A13135B">
            <wp:extent cx="5341620" cy="341376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8"/>
                    <a:stretch>
                      <a:fillRect/>
                    </a:stretch>
                  </pic:blipFill>
                  <pic:spPr>
                    <a:xfrm>
                      <a:off x="0" y="0"/>
                      <a:ext cx="5341620" cy="3413760"/>
                    </a:xfrm>
                    <a:prstGeom prst="rect">
                      <a:avLst/>
                    </a:prstGeom>
                  </pic:spPr>
                </pic:pic>
              </a:graphicData>
            </a:graphic>
          </wp:inline>
        </w:drawing>
      </w:r>
    </w:p>
    <w:p w14:paraId="54C37777" w14:textId="3BA29442"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r w:rsidR="00AA338D">
        <w:rPr>
          <w:rFonts w:asciiTheme="minorHAnsi" w:hAnsiTheme="minorHAnsi" w:cstheme="minorHAnsi"/>
          <w:i/>
          <w:sz w:val="20"/>
          <w:szCs w:val="20"/>
        </w:rPr>
        <w:t xml:space="preserve"> Argus</w:t>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00D51B30">
        <w:rPr>
          <w:rFonts w:asciiTheme="minorHAnsi" w:hAnsiTheme="minorHAnsi" w:cstheme="minorHAnsi"/>
          <w:i/>
          <w:sz w:val="20"/>
          <w:szCs w:val="20"/>
        </w:rPr>
        <w:t xml:space="preserve">             </w:t>
      </w:r>
      <w:r w:rsidR="00072759">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1F32A8A" w:rsidR="00E53D92" w:rsidRDefault="00D12B94" w:rsidP="00352B3A">
      <w:pPr>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w:t>
      </w:r>
      <w:r w:rsidR="00252CA4">
        <w:rPr>
          <w:rFonts w:asciiTheme="minorHAnsi" w:hAnsiTheme="minorHAnsi" w:cstheme="minorHAnsi"/>
          <w:sz w:val="22"/>
          <w:szCs w:val="22"/>
        </w:rPr>
        <w:t>, denotando un comportamiento alcista</w:t>
      </w:r>
      <w:r w:rsidR="00C57623">
        <w:rPr>
          <w:rFonts w:asciiTheme="minorHAnsi" w:hAnsiTheme="minorHAnsi" w:cstheme="minorHAnsi"/>
          <w:sz w:val="22"/>
          <w:szCs w:val="22"/>
        </w:rPr>
        <w:t xml:space="preserve"> al cierre de julio 2021</w:t>
      </w:r>
      <w:r w:rsidR="00E53D92">
        <w:rPr>
          <w:rFonts w:asciiTheme="minorHAnsi" w:hAnsiTheme="minorHAnsi" w:cstheme="minorHAnsi"/>
          <w:sz w:val="22"/>
          <w:szCs w:val="22"/>
        </w:rPr>
        <w:t>.</w:t>
      </w:r>
    </w:p>
    <w:p w14:paraId="6D25F06B" w14:textId="77777777" w:rsidR="00E53D92" w:rsidRDefault="00E53D92" w:rsidP="002A55A4">
      <w:pPr>
        <w:jc w:val="both"/>
        <w:rPr>
          <w:rFonts w:asciiTheme="minorHAnsi" w:hAnsiTheme="minorHAnsi" w:cstheme="minorHAnsi"/>
          <w:sz w:val="22"/>
          <w:szCs w:val="22"/>
        </w:rPr>
      </w:pPr>
    </w:p>
    <w:p w14:paraId="65F46842" w14:textId="77777777" w:rsidR="00973DE9" w:rsidRDefault="00973DE9" w:rsidP="00973DE9">
      <w:pPr>
        <w:jc w:val="both"/>
        <w:rPr>
          <w:rFonts w:asciiTheme="minorHAnsi" w:hAnsiTheme="minorHAnsi" w:cstheme="minorHAnsi"/>
          <w:sz w:val="22"/>
          <w:szCs w:val="22"/>
        </w:rPr>
      </w:pPr>
      <w:r>
        <w:rPr>
          <w:rFonts w:asciiTheme="minorHAnsi" w:hAnsiTheme="minorHAnsi" w:cstheme="minorHAnsi"/>
          <w:sz w:val="22"/>
          <w:szCs w:val="22"/>
        </w:rPr>
        <w:lastRenderedPageBreak/>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 variante Delta del Coronavirus, que retrasó, a nivel global,</w:t>
      </w:r>
      <w:r w:rsidRPr="00470CF5">
        <w:rPr>
          <w:rFonts w:asciiTheme="minorHAnsi" w:hAnsiTheme="minorHAnsi" w:cstheme="minorHAnsi"/>
          <w:sz w:val="22"/>
          <w:szCs w:val="22"/>
        </w:rPr>
        <w:t xml:space="preserve"> la reactivación que habían experimentado los precios del petróleo </w:t>
      </w:r>
      <w:r>
        <w:rPr>
          <w:rFonts w:asciiTheme="minorHAnsi" w:hAnsiTheme="minorHAnsi" w:cstheme="minorHAnsi"/>
          <w:sz w:val="22"/>
          <w:szCs w:val="22"/>
        </w:rPr>
        <w:t>y combustibles a lo largo de</w:t>
      </w:r>
      <w:r w:rsidRPr="00470CF5">
        <w:rPr>
          <w:rFonts w:asciiTheme="minorHAnsi" w:hAnsiTheme="minorHAnsi" w:cstheme="minorHAnsi"/>
          <w:sz w:val="22"/>
          <w:szCs w:val="22"/>
        </w:rPr>
        <w:t xml:space="preserve"> la pandemia.</w:t>
      </w:r>
    </w:p>
    <w:p w14:paraId="6C50A32F" w14:textId="77777777" w:rsidR="00973DE9" w:rsidRDefault="00973DE9" w:rsidP="00973DE9">
      <w:pPr>
        <w:jc w:val="both"/>
        <w:rPr>
          <w:rFonts w:asciiTheme="minorHAnsi" w:hAnsiTheme="minorHAnsi" w:cstheme="minorHAnsi"/>
          <w:sz w:val="22"/>
          <w:szCs w:val="22"/>
        </w:rPr>
      </w:pPr>
      <w:r>
        <w:rPr>
          <w:rFonts w:asciiTheme="minorHAnsi" w:hAnsiTheme="minorHAnsi" w:cstheme="minorHAnsi"/>
          <w:sz w:val="22"/>
          <w:szCs w:val="22"/>
        </w:rPr>
        <w:t xml:space="preserve">  </w:t>
      </w:r>
    </w:p>
    <w:p w14:paraId="4B0AB724" w14:textId="77777777" w:rsidR="00AF3F44" w:rsidRDefault="00AF3F44" w:rsidP="00AF3F44">
      <w:pPr>
        <w:jc w:val="both"/>
        <w:rPr>
          <w:rFonts w:asciiTheme="minorHAnsi" w:hAnsiTheme="minorHAnsi" w:cstheme="minorHAnsi"/>
          <w:sz w:val="22"/>
          <w:szCs w:val="22"/>
        </w:rPr>
      </w:pPr>
      <w:r>
        <w:rPr>
          <w:rFonts w:asciiTheme="minorHAnsi" w:hAnsiTheme="minorHAnsi" w:cstheme="minorHAnsi"/>
          <w:sz w:val="22"/>
          <w:szCs w:val="22"/>
        </w:rPr>
        <w:t>Durante el primer semestre del año 2022, los precios del petróleo crudo y productos mostraron una tendencia alcista, en medio de la alta volatilidad registrada; mientras que a partir del segundo semestre los precios se movieron dentro de una banda de menor amplitud, con una tendencia a la baja, en el caso del petróleo crudo WTI, el GLP y el Residual 3%. Asimismo, al cierre de la última semana del periodo de evaluación</w:t>
      </w:r>
      <w:r>
        <w:rPr>
          <w:rStyle w:val="Refdenotaalpie"/>
          <w:rFonts w:asciiTheme="minorHAnsi" w:hAnsiTheme="minorHAnsi" w:cstheme="minorHAnsi"/>
          <w:sz w:val="22"/>
          <w:szCs w:val="22"/>
        </w:rPr>
        <w:footnoteReference w:id="2"/>
      </w:r>
      <w:r>
        <w:rPr>
          <w:rFonts w:asciiTheme="minorHAnsi" w:hAnsiTheme="minorHAnsi" w:cstheme="minorHAnsi"/>
          <w:sz w:val="22"/>
          <w:szCs w:val="22"/>
        </w:rPr>
        <w:t>, el precio del crudo WTI se ubicó en 80.67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 las gasolinas registraron un precio superior a 105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 xml:space="preserve"> y los destilados medios registraron niveles por encima de los 140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 Para el mismo periodo, el precio del GLP cerró la semana en 41.31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w:t>
      </w:r>
    </w:p>
    <w:p w14:paraId="7520B51E" w14:textId="77777777" w:rsidR="00AF3F44" w:rsidRDefault="00AF3F44" w:rsidP="00AF3F44">
      <w:pPr>
        <w:ind w:left="284"/>
        <w:jc w:val="both"/>
        <w:rPr>
          <w:rFonts w:asciiTheme="minorHAnsi" w:hAnsiTheme="minorHAnsi" w:cstheme="minorHAnsi"/>
          <w:sz w:val="22"/>
          <w:szCs w:val="22"/>
        </w:rPr>
      </w:pPr>
    </w:p>
    <w:p w14:paraId="02D14653" w14:textId="77777777" w:rsidR="00AF3F44" w:rsidRDefault="00AF3F44" w:rsidP="00AF3F44">
      <w:pPr>
        <w:jc w:val="both"/>
        <w:rPr>
          <w:rFonts w:asciiTheme="minorHAnsi" w:hAnsiTheme="minorHAnsi" w:cstheme="minorHAnsi"/>
          <w:bCs/>
          <w:sz w:val="22"/>
          <w:szCs w:val="22"/>
        </w:rPr>
      </w:pPr>
      <w:r>
        <w:rPr>
          <w:rFonts w:asciiTheme="minorHAnsi" w:hAnsiTheme="minorHAnsi" w:cstheme="minorHAnsi"/>
          <w:sz w:val="22"/>
          <w:szCs w:val="22"/>
        </w:rPr>
        <w:t>En las semanas del 06.01.2023 al 20.01.2023, los principales factores que incidieron en la variación de los precios del petróleo crudo y combustibles fueron los siguientes:</w:t>
      </w:r>
    </w:p>
    <w:p w14:paraId="31838C89" w14:textId="77777777" w:rsidR="00AF3F44" w:rsidRDefault="00AF3F44" w:rsidP="00AF3F44">
      <w:pPr>
        <w:ind w:left="709"/>
        <w:rPr>
          <w:rFonts w:asciiTheme="minorHAnsi" w:hAnsiTheme="minorHAnsi" w:cstheme="minorHAnsi"/>
          <w:bCs/>
          <w:sz w:val="22"/>
          <w:szCs w:val="22"/>
        </w:rPr>
      </w:pPr>
    </w:p>
    <w:p w14:paraId="1EB327F5" w14:textId="77777777" w:rsidR="00AF3F44" w:rsidRDefault="00AF3F44" w:rsidP="00AF3F44">
      <w:pPr>
        <w:pStyle w:val="Prrafodelista"/>
        <w:numPr>
          <w:ilvl w:val="0"/>
          <w:numId w:val="20"/>
        </w:numPr>
        <w:ind w:left="426"/>
        <w:contextualSpacing/>
        <w:jc w:val="both"/>
        <w:rPr>
          <w:rFonts w:asciiTheme="minorHAnsi" w:hAnsiTheme="minorHAnsi" w:cstheme="minorHAnsi"/>
          <w:b/>
          <w:sz w:val="22"/>
          <w:szCs w:val="22"/>
        </w:rPr>
      </w:pPr>
      <w:r>
        <w:rPr>
          <w:rFonts w:asciiTheme="minorHAnsi" w:hAnsiTheme="minorHAnsi" w:cstheme="minorHAnsi"/>
          <w:b/>
          <w:sz w:val="22"/>
          <w:szCs w:val="22"/>
        </w:rPr>
        <w:t>El aumento de los inventarios de crudo y gasolinas; así como la reducción de las existencias de propano y destilados, al 13 de enero del 2023.</w:t>
      </w:r>
    </w:p>
    <w:p w14:paraId="5A10B7B8" w14:textId="77777777" w:rsidR="00AF3F44" w:rsidRDefault="00AF3F44" w:rsidP="00AF3F44">
      <w:pPr>
        <w:pStyle w:val="Prrafodelista"/>
        <w:ind w:left="426"/>
        <w:jc w:val="both"/>
        <w:rPr>
          <w:rFonts w:asciiTheme="minorHAnsi" w:hAnsiTheme="minorHAnsi" w:cstheme="minorHAnsi"/>
          <w:sz w:val="22"/>
          <w:szCs w:val="22"/>
        </w:rPr>
      </w:pPr>
    </w:p>
    <w:p w14:paraId="4E650641" w14:textId="77777777" w:rsidR="00AF3F44" w:rsidRDefault="00AF3F44" w:rsidP="00AF3F44">
      <w:pPr>
        <w:pStyle w:val="Prrafodelista"/>
        <w:ind w:left="426"/>
        <w:jc w:val="both"/>
        <w:rPr>
          <w:rFonts w:asciiTheme="minorHAnsi" w:hAnsiTheme="minorHAnsi" w:cstheme="minorHAnsi"/>
          <w:sz w:val="22"/>
          <w:szCs w:val="22"/>
        </w:rPr>
      </w:pPr>
      <w:r>
        <w:rPr>
          <w:rFonts w:asciiTheme="minorHAnsi" w:hAnsiTheme="minorHAnsi" w:cstheme="minorHAnsi"/>
          <w:sz w:val="22"/>
          <w:szCs w:val="22"/>
        </w:rPr>
        <w:t>Los inventarios de petróleo subieron 8,4 millones de barriles, registrando un total de 448,0 millones de barriles, un 3% por encima de la media de los últimos 5 años en esta época del año.</w:t>
      </w:r>
    </w:p>
    <w:p w14:paraId="14ADC17C" w14:textId="77777777" w:rsidR="00AF3F44" w:rsidRDefault="00AF3F44" w:rsidP="00AF3F44">
      <w:pPr>
        <w:pStyle w:val="Prrafodelista"/>
        <w:ind w:left="426"/>
        <w:jc w:val="both"/>
        <w:rPr>
          <w:rFonts w:asciiTheme="minorHAnsi" w:hAnsiTheme="minorHAnsi" w:cstheme="minorHAnsi"/>
          <w:sz w:val="22"/>
          <w:szCs w:val="22"/>
        </w:rPr>
      </w:pPr>
      <w:r>
        <w:rPr>
          <w:rFonts w:asciiTheme="minorHAnsi" w:hAnsiTheme="minorHAnsi" w:cstheme="minorHAnsi"/>
          <w:sz w:val="22"/>
          <w:szCs w:val="22"/>
        </w:rPr>
        <w:t>Las existencias de gasolina se incrementaron en 3,5 millones de barriles, reportando un total de 230,3 millones de barriles; mientras los inventarios de destilados, que incluyen al diésel y al combustible para calefacción, disminuyeron 1,9 millones de barriles, con un total de 115,8 millones de barriles. Finalmente, las existencias de propano se redujeron 1,97 millones de barriles, ubicándose en los 76,62 millones de barriles.</w:t>
      </w:r>
    </w:p>
    <w:p w14:paraId="68E46BAA" w14:textId="77777777" w:rsidR="00AF3F44" w:rsidRDefault="00AF3F44" w:rsidP="00AF3F44">
      <w:pPr>
        <w:pStyle w:val="Prrafodelista"/>
        <w:ind w:left="426"/>
        <w:jc w:val="both"/>
        <w:rPr>
          <w:rFonts w:asciiTheme="minorHAnsi" w:hAnsiTheme="minorHAnsi" w:cstheme="minorHAnsi"/>
          <w:sz w:val="22"/>
          <w:szCs w:val="22"/>
        </w:rPr>
      </w:pPr>
    </w:p>
    <w:p w14:paraId="1E034CC0" w14:textId="77777777" w:rsidR="00AF3F44" w:rsidRDefault="00AF3F44" w:rsidP="00AF3F44">
      <w:pPr>
        <w:pStyle w:val="Prrafodelista"/>
        <w:numPr>
          <w:ilvl w:val="0"/>
          <w:numId w:val="20"/>
        </w:numPr>
        <w:ind w:left="426"/>
        <w:contextualSpacing/>
        <w:jc w:val="both"/>
        <w:rPr>
          <w:rFonts w:asciiTheme="minorHAnsi" w:hAnsiTheme="minorHAnsi" w:cstheme="minorHAnsi"/>
          <w:b/>
          <w:bCs/>
          <w:sz w:val="22"/>
          <w:szCs w:val="22"/>
        </w:rPr>
      </w:pPr>
      <w:r>
        <w:rPr>
          <w:rFonts w:asciiTheme="minorHAnsi" w:hAnsiTheme="minorHAnsi" w:cstheme="minorHAnsi"/>
          <w:b/>
          <w:bCs/>
          <w:sz w:val="22"/>
          <w:szCs w:val="22"/>
        </w:rPr>
        <w:t xml:space="preserve">Las expectativas de crecimiento de la demanda en China, a raíz de la reapertura de sus fronteras y la relajación de las restricciones para combatir el COVID </w:t>
      </w:r>
    </w:p>
    <w:p w14:paraId="7FA41C1E" w14:textId="77777777" w:rsidR="00AF3F44" w:rsidRDefault="00AF3F44" w:rsidP="00AF3F44">
      <w:pPr>
        <w:pStyle w:val="Prrafodelista"/>
        <w:ind w:left="426"/>
        <w:jc w:val="both"/>
        <w:rPr>
          <w:rFonts w:asciiTheme="minorHAnsi" w:hAnsiTheme="minorHAnsi" w:cstheme="minorHAnsi"/>
          <w:b/>
          <w:bCs/>
          <w:sz w:val="22"/>
          <w:szCs w:val="22"/>
        </w:rPr>
      </w:pPr>
    </w:p>
    <w:p w14:paraId="55D797D8" w14:textId="77777777" w:rsidR="00AF3F44" w:rsidRDefault="00AF3F44" w:rsidP="00AF3F44">
      <w:pPr>
        <w:pStyle w:val="Prrafodelista"/>
        <w:ind w:left="426"/>
        <w:jc w:val="both"/>
        <w:rPr>
          <w:rFonts w:asciiTheme="minorHAnsi" w:hAnsiTheme="minorHAnsi" w:cstheme="minorHAnsi"/>
          <w:sz w:val="22"/>
          <w:szCs w:val="22"/>
        </w:rPr>
      </w:pPr>
      <w:r>
        <w:rPr>
          <w:rFonts w:asciiTheme="minorHAnsi" w:hAnsiTheme="minorHAnsi" w:cstheme="minorHAnsi"/>
          <w:sz w:val="22"/>
          <w:szCs w:val="22"/>
        </w:rPr>
        <w:t>La Agencia Internacional de la Energía (AIE) estima que el levantamiento de las restricciones por el COVID en China impulsará la demanda mundial de petróleo en el año 2023 a un nuevo máximo histórico, mientras que los precios máximos impuestos a los productos de Rusia como sanción, podrían mermar la oferta.</w:t>
      </w:r>
    </w:p>
    <w:p w14:paraId="4AE91781" w14:textId="77777777" w:rsidR="00AF3F44" w:rsidRDefault="00AF3F44" w:rsidP="00AF3F44">
      <w:pPr>
        <w:pStyle w:val="Prrafodelista"/>
        <w:ind w:left="426"/>
        <w:jc w:val="both"/>
        <w:rPr>
          <w:rFonts w:asciiTheme="minorHAnsi" w:hAnsiTheme="minorHAnsi" w:cstheme="minorHAnsi"/>
          <w:sz w:val="22"/>
          <w:szCs w:val="22"/>
        </w:rPr>
      </w:pPr>
    </w:p>
    <w:p w14:paraId="6B378820" w14:textId="77777777" w:rsidR="00AF3F44" w:rsidRDefault="00AF3F44" w:rsidP="00AF3F44">
      <w:pPr>
        <w:pStyle w:val="Prrafodelista"/>
        <w:ind w:left="426"/>
        <w:jc w:val="both"/>
        <w:rPr>
          <w:rFonts w:asciiTheme="minorHAnsi" w:hAnsiTheme="minorHAnsi" w:cstheme="minorHAnsi"/>
          <w:sz w:val="22"/>
          <w:szCs w:val="22"/>
        </w:rPr>
      </w:pPr>
      <w:r>
        <w:rPr>
          <w:rFonts w:asciiTheme="minorHAnsi" w:hAnsiTheme="minorHAnsi" w:cstheme="minorHAnsi"/>
          <w:sz w:val="22"/>
          <w:szCs w:val="22"/>
        </w:rPr>
        <w:t>De otro lado, pese a la incertidumbre, la OPEP espera que la demanda en China se eleve un 3,48%, hasta los 15,27 millones de barriles por día, con lo que China se consolidaría como el segundo país que más consume crudo, después de Estados Unidos.</w:t>
      </w:r>
    </w:p>
    <w:p w14:paraId="4C6E32C7" w14:textId="77777777" w:rsidR="00AF3F44" w:rsidRDefault="00AF3F44" w:rsidP="00AF3F44">
      <w:pPr>
        <w:pStyle w:val="Prrafodelista"/>
        <w:ind w:left="426"/>
        <w:jc w:val="both"/>
        <w:rPr>
          <w:rFonts w:asciiTheme="minorHAnsi" w:hAnsiTheme="minorHAnsi" w:cstheme="minorHAnsi"/>
          <w:sz w:val="22"/>
          <w:szCs w:val="22"/>
        </w:rPr>
      </w:pPr>
    </w:p>
    <w:p w14:paraId="3A9EDF93" w14:textId="77777777" w:rsidR="00AF3F44" w:rsidRDefault="00AF3F44" w:rsidP="00AF3F44">
      <w:pPr>
        <w:pStyle w:val="Prrafodelista"/>
        <w:ind w:left="426"/>
        <w:jc w:val="both"/>
        <w:rPr>
          <w:rFonts w:asciiTheme="minorHAnsi" w:hAnsiTheme="minorHAnsi" w:cstheme="minorHAnsi"/>
          <w:sz w:val="22"/>
          <w:szCs w:val="22"/>
        </w:rPr>
      </w:pPr>
      <w:r>
        <w:rPr>
          <w:rFonts w:asciiTheme="minorHAnsi" w:hAnsiTheme="minorHAnsi" w:cstheme="minorHAnsi"/>
          <w:sz w:val="22"/>
          <w:szCs w:val="22"/>
        </w:rPr>
        <w:t>Las compras de crudo de parte de China</w:t>
      </w:r>
      <w:r>
        <w:rPr>
          <w:rStyle w:val="Refdenotaalpie"/>
          <w:rFonts w:asciiTheme="minorHAnsi" w:hAnsiTheme="minorHAnsi" w:cstheme="minorHAnsi"/>
          <w:sz w:val="22"/>
          <w:szCs w:val="22"/>
        </w:rPr>
        <w:footnoteReference w:id="3"/>
      </w:r>
      <w:r>
        <w:rPr>
          <w:rFonts w:asciiTheme="minorHAnsi" w:hAnsiTheme="minorHAnsi" w:cstheme="minorHAnsi"/>
          <w:sz w:val="22"/>
          <w:szCs w:val="22"/>
        </w:rPr>
        <w:t xml:space="preserve"> y el repunte del tráfico por carretera desde mínimos históricos, alimentaron la confianza en una recuperación de la demanda de la segunda </w:t>
      </w:r>
      <w:r>
        <w:rPr>
          <w:rFonts w:asciiTheme="minorHAnsi" w:hAnsiTheme="minorHAnsi" w:cstheme="minorHAnsi"/>
          <w:sz w:val="22"/>
          <w:szCs w:val="22"/>
        </w:rPr>
        <w:lastRenderedPageBreak/>
        <w:t>economía mundial, después de que Pekín suavizara sus restricciones por el COVID, pues como parte de una “nueva fase” en la lucha contra el COVID, China abrió sus fronteras por primera vez en 3 años.</w:t>
      </w:r>
    </w:p>
    <w:p w14:paraId="7BF3D7BA" w14:textId="77777777" w:rsidR="00AF3F44" w:rsidRDefault="00AF3F44" w:rsidP="00AF3F44">
      <w:pPr>
        <w:pStyle w:val="Prrafodelista"/>
        <w:ind w:left="426"/>
        <w:jc w:val="both"/>
        <w:rPr>
          <w:rFonts w:asciiTheme="minorHAnsi" w:hAnsiTheme="minorHAnsi" w:cstheme="minorHAnsi"/>
          <w:sz w:val="22"/>
          <w:szCs w:val="22"/>
        </w:rPr>
      </w:pPr>
      <w:r>
        <w:rPr>
          <w:rFonts w:asciiTheme="minorHAnsi" w:hAnsiTheme="minorHAnsi" w:cstheme="minorHAnsi"/>
          <w:color w:val="333333"/>
          <w:sz w:val="22"/>
          <w:szCs w:val="22"/>
          <w:shd w:val="clear" w:color="auto" w:fill="FFFFFF"/>
        </w:rPr>
        <w:t xml:space="preserve"> </w:t>
      </w:r>
    </w:p>
    <w:p w14:paraId="54A7E5CB" w14:textId="77777777" w:rsidR="00AF3F44" w:rsidRDefault="00AF3F44" w:rsidP="00AF3F44">
      <w:pPr>
        <w:pStyle w:val="Prrafodelista"/>
        <w:ind w:left="426"/>
        <w:jc w:val="both"/>
        <w:rPr>
          <w:rFonts w:asciiTheme="minorHAnsi" w:hAnsiTheme="minorHAnsi" w:cstheme="minorHAnsi"/>
          <w:sz w:val="22"/>
          <w:szCs w:val="22"/>
        </w:rPr>
      </w:pPr>
      <w:r>
        <w:rPr>
          <w:rFonts w:asciiTheme="minorHAnsi" w:hAnsiTheme="minorHAnsi" w:cstheme="minorHAnsi"/>
          <w:sz w:val="22"/>
          <w:szCs w:val="22"/>
        </w:rPr>
        <w:t>Las importaciones chinas de crudo aumentaron un 4% interanual en diciembre 2022, mientras que un esperado resurgimiento de los viajes con motivo de las vacaciones del Año Nuevo Lunar, contribuyó a elevar aún más las perspectivas de la demanda de combustibles utilizados en el transporte</w:t>
      </w:r>
      <w:r>
        <w:rPr>
          <w:rFonts w:asciiTheme="minorHAnsi" w:hAnsiTheme="minorHAnsi" w:cstheme="minorHAnsi"/>
          <w:color w:val="333333"/>
          <w:sz w:val="22"/>
          <w:szCs w:val="22"/>
          <w:shd w:val="clear" w:color="auto" w:fill="FFFFFF"/>
        </w:rPr>
        <w:t xml:space="preserve">. </w:t>
      </w:r>
      <w:r>
        <w:rPr>
          <w:rFonts w:asciiTheme="minorHAnsi" w:hAnsiTheme="minorHAnsi" w:cstheme="minorHAnsi"/>
          <w:sz w:val="22"/>
          <w:szCs w:val="22"/>
        </w:rPr>
        <w:t>Analistas del mercado indicaron que, aunque las perspectivas de China hayan dado un giro, la normalización de su demanda de petróleo será gradual.</w:t>
      </w:r>
    </w:p>
    <w:p w14:paraId="482773E3" w14:textId="77777777" w:rsidR="00AF3F44" w:rsidRDefault="00AF3F44" w:rsidP="00AF3F44">
      <w:pPr>
        <w:pStyle w:val="Prrafodelista"/>
        <w:ind w:left="426"/>
        <w:jc w:val="both"/>
        <w:rPr>
          <w:rFonts w:asciiTheme="minorHAnsi" w:hAnsiTheme="minorHAnsi" w:cstheme="minorHAnsi"/>
          <w:sz w:val="22"/>
          <w:szCs w:val="22"/>
        </w:rPr>
      </w:pPr>
    </w:p>
    <w:p w14:paraId="2C95AED2" w14:textId="77777777" w:rsidR="00AF3F44" w:rsidRDefault="00AF3F44" w:rsidP="00AF3F44">
      <w:pPr>
        <w:pStyle w:val="Prrafodelista"/>
        <w:numPr>
          <w:ilvl w:val="0"/>
          <w:numId w:val="20"/>
        </w:numPr>
        <w:ind w:left="426"/>
        <w:contextualSpacing/>
        <w:jc w:val="both"/>
        <w:rPr>
          <w:rFonts w:asciiTheme="minorHAnsi" w:hAnsiTheme="minorHAnsi" w:cstheme="minorHAnsi"/>
          <w:b/>
          <w:bCs/>
          <w:sz w:val="22"/>
          <w:szCs w:val="22"/>
        </w:rPr>
      </w:pPr>
      <w:r>
        <w:rPr>
          <w:rFonts w:asciiTheme="minorHAnsi" w:hAnsiTheme="minorHAnsi" w:cstheme="minorHAnsi"/>
          <w:b/>
          <w:bCs/>
          <w:sz w:val="22"/>
          <w:szCs w:val="22"/>
        </w:rPr>
        <w:t>La visión optimista de la OPEP sobre el crecimiento de la demanda petrolera en 2023 a un nivel de 101,8 millones de barriles por día.</w:t>
      </w:r>
    </w:p>
    <w:p w14:paraId="05608296" w14:textId="77777777" w:rsidR="00AF3F44" w:rsidRDefault="00AF3F44" w:rsidP="00AF3F44">
      <w:pPr>
        <w:pStyle w:val="Prrafodelista"/>
        <w:ind w:left="426"/>
        <w:jc w:val="both"/>
        <w:rPr>
          <w:rFonts w:asciiTheme="minorHAnsi" w:hAnsiTheme="minorHAnsi" w:cstheme="minorHAnsi"/>
          <w:b/>
          <w:bCs/>
          <w:sz w:val="22"/>
          <w:szCs w:val="22"/>
        </w:rPr>
      </w:pPr>
    </w:p>
    <w:p w14:paraId="627E753A" w14:textId="77777777" w:rsidR="00AF3F44" w:rsidRDefault="00AF3F44" w:rsidP="00AF3F44">
      <w:pPr>
        <w:pStyle w:val="Prrafodelista"/>
        <w:ind w:left="426"/>
        <w:jc w:val="both"/>
        <w:rPr>
          <w:rFonts w:asciiTheme="minorHAnsi" w:hAnsiTheme="minorHAnsi" w:cstheme="minorHAnsi"/>
          <w:sz w:val="22"/>
          <w:szCs w:val="22"/>
        </w:rPr>
      </w:pPr>
      <w:r>
        <w:rPr>
          <w:rFonts w:asciiTheme="minorHAnsi" w:hAnsiTheme="minorHAnsi" w:cstheme="minorHAnsi"/>
          <w:sz w:val="22"/>
          <w:szCs w:val="22"/>
        </w:rPr>
        <w:t>En el informe mensual de la OPEP, de enero 2023, se calcula que el mundo consumirá este 2023 unos 101,8 millones de barriles de crudo al día (</w:t>
      </w:r>
      <w:proofErr w:type="spellStart"/>
      <w:r>
        <w:rPr>
          <w:rFonts w:asciiTheme="minorHAnsi" w:hAnsiTheme="minorHAnsi" w:cstheme="minorHAnsi"/>
          <w:sz w:val="22"/>
          <w:szCs w:val="22"/>
        </w:rPr>
        <w:t>mbd</w:t>
      </w:r>
      <w:proofErr w:type="spellEnd"/>
      <w:r>
        <w:rPr>
          <w:rFonts w:asciiTheme="minorHAnsi" w:hAnsiTheme="minorHAnsi" w:cstheme="minorHAnsi"/>
          <w:sz w:val="22"/>
          <w:szCs w:val="22"/>
        </w:rPr>
        <w:t>), sin cambios desde sus estimaciones de diciembre 2022, bajo la advertencia de que esta previsión de la demanda está sujeta a muchas incertidumbres, como la evolución económica mundial, los cambios en las políticas para combatir el COVID y las tensiones geopolíticas en curso. Este nivel de demanda implica una subida del 2,2% respecto a la demanda del año 2022, siendo China e India los países que más influirán en el mencionado aumento.</w:t>
      </w:r>
    </w:p>
    <w:p w14:paraId="28642FE0" w14:textId="77777777" w:rsidR="00AF3F44" w:rsidRDefault="00AF3F44" w:rsidP="00AF3F44">
      <w:pPr>
        <w:pStyle w:val="Prrafodelista"/>
        <w:ind w:left="426"/>
        <w:jc w:val="both"/>
        <w:rPr>
          <w:rFonts w:asciiTheme="minorHAnsi" w:hAnsiTheme="minorHAnsi" w:cstheme="minorHAnsi"/>
          <w:sz w:val="22"/>
          <w:szCs w:val="22"/>
        </w:rPr>
      </w:pPr>
    </w:p>
    <w:p w14:paraId="268D7D3E" w14:textId="77777777" w:rsidR="00AF3F44" w:rsidRDefault="00AF3F44" w:rsidP="00AF3F44">
      <w:pPr>
        <w:pStyle w:val="Prrafodelista"/>
        <w:ind w:left="426"/>
        <w:jc w:val="both"/>
        <w:rPr>
          <w:rFonts w:asciiTheme="minorHAnsi" w:hAnsiTheme="minorHAnsi" w:cstheme="minorHAnsi"/>
          <w:sz w:val="22"/>
          <w:szCs w:val="22"/>
        </w:rPr>
      </w:pPr>
      <w:r>
        <w:rPr>
          <w:rFonts w:asciiTheme="minorHAnsi" w:hAnsiTheme="minorHAnsi" w:cstheme="minorHAnsi"/>
          <w:sz w:val="22"/>
          <w:szCs w:val="22"/>
        </w:rPr>
        <w:t>Según la previsión de la OPEP, entre los países industrializados de Europa, América y Asia, integrados en la Organización para la Cooperación y Desarrollo Económico (OCDE), la subida de la demanda será en 2023, del 0,72%, menos de un tercio del aumento experimentado el año pasado. Respecto a Europa, el informe advierte que la inflación eleva el riesgo de una recesión y que la demanda de crudo podría estancarse en los dos primeros trimestres del 2023.</w:t>
      </w:r>
    </w:p>
    <w:p w14:paraId="1D0A7756" w14:textId="77777777" w:rsidR="00AF3F44" w:rsidRDefault="00AF3F44" w:rsidP="00AF3F44">
      <w:pPr>
        <w:pStyle w:val="Prrafodelista"/>
        <w:ind w:left="426"/>
        <w:jc w:val="both"/>
        <w:rPr>
          <w:rFonts w:asciiTheme="minorHAnsi" w:hAnsiTheme="minorHAnsi" w:cstheme="minorHAnsi"/>
          <w:sz w:val="22"/>
          <w:szCs w:val="22"/>
        </w:rPr>
      </w:pPr>
    </w:p>
    <w:p w14:paraId="3590E07B" w14:textId="77777777" w:rsidR="00AF3F44" w:rsidRDefault="00AF3F44" w:rsidP="00AF3F44">
      <w:pPr>
        <w:pStyle w:val="Prrafodelista"/>
        <w:ind w:left="426"/>
        <w:jc w:val="both"/>
        <w:rPr>
          <w:rFonts w:asciiTheme="minorHAnsi" w:hAnsiTheme="minorHAnsi" w:cstheme="minorHAnsi"/>
          <w:sz w:val="22"/>
          <w:szCs w:val="22"/>
        </w:rPr>
      </w:pPr>
      <w:r>
        <w:rPr>
          <w:rFonts w:asciiTheme="minorHAnsi" w:hAnsiTheme="minorHAnsi" w:cstheme="minorHAnsi"/>
          <w:sz w:val="22"/>
          <w:szCs w:val="22"/>
        </w:rPr>
        <w:t>En Estados Unidos, el aumento de la demanda en el primer y segundo trimestres del 2023 estará impulsada principalmente por el diésel y el combustible de aviación. Para América Latina, la OPEP espera una ralentización del crecimiento económico.</w:t>
      </w:r>
    </w:p>
    <w:p w14:paraId="1200980B" w14:textId="77777777" w:rsidR="00AF3F44" w:rsidRDefault="00AF3F44" w:rsidP="00AF3F44">
      <w:pPr>
        <w:pStyle w:val="Prrafodelista"/>
        <w:ind w:left="426"/>
        <w:jc w:val="both"/>
        <w:rPr>
          <w:rFonts w:asciiTheme="minorHAnsi" w:hAnsiTheme="minorHAnsi" w:cstheme="minorHAnsi"/>
          <w:sz w:val="22"/>
          <w:szCs w:val="22"/>
        </w:rPr>
      </w:pPr>
    </w:p>
    <w:p w14:paraId="3BD58ACE" w14:textId="77777777" w:rsidR="00AF3F44" w:rsidRDefault="00AF3F44" w:rsidP="00AF3F44">
      <w:pPr>
        <w:ind w:left="426"/>
        <w:jc w:val="both"/>
        <w:rPr>
          <w:rFonts w:asciiTheme="minorHAnsi" w:hAnsiTheme="minorHAnsi" w:cstheme="minorHAnsi"/>
          <w:sz w:val="22"/>
          <w:szCs w:val="22"/>
        </w:rPr>
      </w:pPr>
      <w:r>
        <w:rPr>
          <w:rFonts w:asciiTheme="minorHAnsi" w:hAnsiTheme="minorHAnsi" w:cstheme="minorHAnsi"/>
          <w:sz w:val="22"/>
          <w:szCs w:val="22"/>
        </w:rPr>
        <w:t>En su reunión del 4 de diciembre, los miembros de la OPEP acordaron mantener sus objetivos de producción de petróleo, que consideran el recorte de la producción en 2 millones de barriles diarios (bpd), alrededor del 2% de la demanda mundial, desde noviembre 2022 hasta finales de 2023. En su próxima reunión, prevista para el 1° de febrero, la OPEP revisará la producción en función de los nuevos datos sobre las tendencias de la demanda china, el cumplimiento de los límites de precios de la producción de crudo de Rusia y el flujo de los petroleros.</w:t>
      </w:r>
    </w:p>
    <w:p w14:paraId="0A3ACC24" w14:textId="77777777" w:rsidR="00AF3F44" w:rsidRDefault="00AF3F44" w:rsidP="00AF3F44">
      <w:pPr>
        <w:jc w:val="both"/>
        <w:rPr>
          <w:rFonts w:asciiTheme="minorHAnsi" w:hAnsiTheme="minorHAnsi" w:cstheme="minorHAnsi"/>
          <w:sz w:val="22"/>
          <w:szCs w:val="22"/>
        </w:rPr>
      </w:pPr>
    </w:p>
    <w:p w14:paraId="0CB6499D" w14:textId="77777777" w:rsidR="00AF3F44" w:rsidRDefault="00AF3F44" w:rsidP="00AF3F44">
      <w:pPr>
        <w:pStyle w:val="Prrafodelista"/>
        <w:numPr>
          <w:ilvl w:val="0"/>
          <w:numId w:val="20"/>
        </w:numPr>
        <w:ind w:left="426"/>
        <w:contextualSpacing/>
        <w:jc w:val="both"/>
        <w:rPr>
          <w:rFonts w:asciiTheme="minorHAnsi" w:hAnsiTheme="minorHAnsi" w:cstheme="minorHAnsi"/>
          <w:b/>
          <w:bCs/>
          <w:sz w:val="22"/>
          <w:szCs w:val="22"/>
        </w:rPr>
      </w:pPr>
      <w:r>
        <w:rPr>
          <w:rFonts w:asciiTheme="minorHAnsi" w:hAnsiTheme="minorHAnsi" w:cstheme="minorHAnsi"/>
          <w:b/>
          <w:bCs/>
          <w:sz w:val="22"/>
          <w:szCs w:val="22"/>
        </w:rPr>
        <w:t>La caída del dólar y las expectativas de subidas menos agresivas de las tasas de interés en Estados Unidos.</w:t>
      </w:r>
    </w:p>
    <w:p w14:paraId="4832B8EB" w14:textId="77777777" w:rsidR="00AF3F44" w:rsidRDefault="00AF3F44" w:rsidP="00AF3F44">
      <w:pPr>
        <w:pStyle w:val="Prrafodelista"/>
        <w:ind w:left="426"/>
        <w:jc w:val="both"/>
        <w:rPr>
          <w:rFonts w:asciiTheme="minorHAnsi" w:hAnsiTheme="minorHAnsi" w:cstheme="minorHAnsi"/>
          <w:sz w:val="22"/>
          <w:szCs w:val="22"/>
        </w:rPr>
      </w:pPr>
    </w:p>
    <w:p w14:paraId="5CECE1A4" w14:textId="77777777" w:rsidR="00AF3F44" w:rsidRDefault="00AF3F44" w:rsidP="00AF3F44">
      <w:pPr>
        <w:pStyle w:val="Prrafodelista"/>
        <w:ind w:left="426"/>
        <w:jc w:val="both"/>
        <w:rPr>
          <w:rFonts w:asciiTheme="minorHAnsi" w:hAnsiTheme="minorHAnsi" w:cstheme="minorHAnsi"/>
          <w:sz w:val="22"/>
          <w:szCs w:val="22"/>
        </w:rPr>
      </w:pPr>
      <w:r>
        <w:rPr>
          <w:rFonts w:asciiTheme="minorHAnsi" w:hAnsiTheme="minorHAnsi" w:cstheme="minorHAnsi"/>
          <w:sz w:val="22"/>
          <w:szCs w:val="22"/>
        </w:rPr>
        <w:t>Los precios del petróleo se vieron favorecidos por la caída del dólar a mínimos cercanos a nueve (9) meses, después de la publicación de datos que mostraron que la inflación estadounidense bajó por primera vez en dos años y medio, reforzando las expectativas de que la Reserva Federal disminuirá el ritmo de subidas de las tasas de interés.</w:t>
      </w:r>
    </w:p>
    <w:p w14:paraId="06993B5B" w14:textId="77777777" w:rsidR="00AF3F44" w:rsidRDefault="00AF3F44" w:rsidP="00AF3F44">
      <w:pPr>
        <w:pStyle w:val="Prrafodelista"/>
        <w:ind w:left="426"/>
        <w:jc w:val="both"/>
        <w:rPr>
          <w:rFonts w:asciiTheme="minorHAnsi" w:hAnsiTheme="minorHAnsi" w:cstheme="minorHAnsi"/>
          <w:sz w:val="22"/>
          <w:szCs w:val="22"/>
        </w:rPr>
      </w:pPr>
    </w:p>
    <w:p w14:paraId="3F86BF51" w14:textId="77777777" w:rsidR="00AF3F44" w:rsidRDefault="00AF3F44" w:rsidP="00AF3F44">
      <w:pPr>
        <w:pStyle w:val="Prrafodelista"/>
        <w:ind w:left="426"/>
        <w:jc w:val="both"/>
        <w:rPr>
          <w:rFonts w:asciiTheme="minorHAnsi" w:hAnsiTheme="minorHAnsi" w:cstheme="minorHAnsi"/>
          <w:bCs/>
          <w:sz w:val="22"/>
          <w:szCs w:val="22"/>
        </w:rPr>
      </w:pPr>
      <w:r>
        <w:rPr>
          <w:rFonts w:asciiTheme="minorHAnsi" w:hAnsiTheme="minorHAnsi" w:cstheme="minorHAnsi"/>
          <w:sz w:val="22"/>
          <w:szCs w:val="22"/>
        </w:rPr>
        <w:lastRenderedPageBreak/>
        <w:t xml:space="preserve">El mercado sigue atento a las </w:t>
      </w:r>
      <w:r>
        <w:rPr>
          <w:rFonts w:asciiTheme="minorHAnsi" w:hAnsiTheme="minorHAnsi" w:cstheme="minorHAnsi"/>
          <w:bCs/>
          <w:sz w:val="22"/>
          <w:szCs w:val="22"/>
        </w:rPr>
        <w:t>perspectivas económicas en China, Europa y Estados Unidos; y también se prepara para un recorte adicional del suministro ruso debido a las sanciones por su invasión a Ucrania.</w:t>
      </w:r>
    </w:p>
    <w:p w14:paraId="2F66552D" w14:textId="77777777" w:rsidR="00AF3F44" w:rsidRDefault="00AF3F44" w:rsidP="00AF3F44">
      <w:pPr>
        <w:pStyle w:val="Prrafodelista"/>
        <w:ind w:left="426"/>
        <w:jc w:val="both"/>
        <w:rPr>
          <w:rFonts w:asciiTheme="minorHAnsi" w:hAnsiTheme="minorHAnsi" w:cstheme="minorHAnsi"/>
          <w:sz w:val="22"/>
          <w:szCs w:val="22"/>
        </w:rPr>
      </w:pPr>
      <w:r>
        <w:rPr>
          <w:rFonts w:asciiTheme="minorHAnsi" w:hAnsiTheme="minorHAnsi" w:cstheme="minorHAnsi"/>
          <w:bCs/>
          <w:sz w:val="22"/>
          <w:szCs w:val="22"/>
        </w:rPr>
        <w:br/>
      </w:r>
      <w:r>
        <w:rPr>
          <w:rFonts w:asciiTheme="minorHAnsi" w:hAnsiTheme="minorHAnsi" w:cstheme="minorHAnsi"/>
          <w:sz w:val="22"/>
          <w:szCs w:val="22"/>
        </w:rPr>
        <w:t>La Administración de Información de Energía de Estados Unidos dijo que la próxima prohibición de la UE sobre las importaciones marítimas de productos derivados del petróleo procedentes de Rusia el 5 de febrero del 2023, podría ser más perjudicial que la prohibición de la UE sobre las importaciones marítimas de petróleo crudo procedente de Rusia aplicada en diciembre de 2022.</w:t>
      </w:r>
    </w:p>
    <w:p w14:paraId="03DE7585" w14:textId="77777777" w:rsidR="00AF3F44" w:rsidRDefault="00AF3F44" w:rsidP="00AF3F44">
      <w:pPr>
        <w:pStyle w:val="Prrafodelista"/>
        <w:ind w:left="426"/>
        <w:jc w:val="both"/>
        <w:rPr>
          <w:rFonts w:asciiTheme="minorHAnsi" w:hAnsiTheme="minorHAnsi" w:cstheme="minorHAnsi"/>
          <w:sz w:val="22"/>
          <w:szCs w:val="22"/>
        </w:rPr>
      </w:pPr>
    </w:p>
    <w:p w14:paraId="121A24BF" w14:textId="1A5686A1" w:rsidR="00AD6299" w:rsidRDefault="00AF3F44" w:rsidP="00AF3F44">
      <w:pPr>
        <w:pStyle w:val="Prrafodelista"/>
        <w:ind w:left="426"/>
        <w:jc w:val="both"/>
        <w:rPr>
          <w:rFonts w:asciiTheme="minorHAnsi" w:hAnsiTheme="minorHAnsi" w:cstheme="minorHAnsi"/>
          <w:sz w:val="22"/>
          <w:szCs w:val="22"/>
        </w:rPr>
      </w:pPr>
      <w:r>
        <w:rPr>
          <w:rFonts w:asciiTheme="minorHAnsi" w:hAnsiTheme="minorHAnsi" w:cstheme="minorHAnsi"/>
          <w:sz w:val="22"/>
          <w:szCs w:val="22"/>
        </w:rPr>
        <w:t>Rusia exporta entre 4 millones y 5 millones de barriles diarios (bpd) de crudo (representando más del 8% de la demanda de petróleo crudo y sus derivados). Antes de las sanciones, el 53% del petróleo ruso se vendió a Europa, mientras que un 39% a Asia, principalmente a China.</w:t>
      </w:r>
    </w:p>
    <w:p w14:paraId="2369B158" w14:textId="77777777" w:rsidR="00973DE9" w:rsidRPr="00AD6299" w:rsidRDefault="00973DE9" w:rsidP="00973DE9">
      <w:pPr>
        <w:ind w:left="426"/>
        <w:jc w:val="both"/>
        <w:rPr>
          <w:rFonts w:asciiTheme="minorHAnsi" w:hAnsiTheme="minorHAnsi" w:cstheme="minorHAnsi"/>
          <w:sz w:val="22"/>
          <w:szCs w:val="22"/>
        </w:rPr>
      </w:pPr>
    </w:p>
    <w:p w14:paraId="0B18F734" w14:textId="7A0F3A7D" w:rsidR="007F6458" w:rsidRPr="007F6458" w:rsidRDefault="007F6458" w:rsidP="007F6458">
      <w:pPr>
        <w:ind w:left="426"/>
        <w:jc w:val="both"/>
        <w:rPr>
          <w:rFonts w:asciiTheme="minorHAnsi" w:hAnsiTheme="minorHAnsi" w:cstheme="minorHAnsi"/>
          <w:sz w:val="22"/>
          <w:szCs w:val="22"/>
        </w:rPr>
      </w:pPr>
    </w:p>
    <w:p w14:paraId="6A8F88AA" w14:textId="5DD90425" w:rsidR="00AF270F" w:rsidRDefault="00CA3C87" w:rsidP="00E31D6A">
      <w:pPr>
        <w:ind w:left="-426"/>
        <w:rPr>
          <w:rFonts w:asciiTheme="minorHAnsi" w:hAnsiTheme="minorHAnsi" w:cstheme="minorHAnsi"/>
          <w:b/>
          <w:bCs/>
          <w:u w:val="single"/>
        </w:rPr>
      </w:pPr>
      <w:r>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F02322">
      <w:pPr>
        <w:pStyle w:val="Textonotapie"/>
        <w:numPr>
          <w:ilvl w:val="0"/>
          <w:numId w:val="2"/>
        </w:numPr>
        <w:spacing w:before="0" w:after="0"/>
        <w:ind w:left="568" w:hanging="426"/>
        <w:rPr>
          <w:rFonts w:asciiTheme="minorHAnsi" w:hAnsiTheme="minorHAnsi" w:cstheme="minorHAnsi"/>
          <w:sz w:val="22"/>
          <w:szCs w:val="22"/>
        </w:rPr>
      </w:pPr>
      <w:bookmarkStart w:id="0"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F02322">
      <w:pPr>
        <w:pStyle w:val="Textonotapie"/>
        <w:spacing w:before="0" w:after="0"/>
        <w:ind w:left="568" w:hanging="426"/>
        <w:rPr>
          <w:rFonts w:asciiTheme="minorHAnsi" w:hAnsiTheme="minorHAnsi" w:cstheme="minorHAnsi"/>
          <w:sz w:val="22"/>
          <w:szCs w:val="22"/>
        </w:rPr>
      </w:pPr>
    </w:p>
    <w:bookmarkEnd w:id="0"/>
    <w:p w14:paraId="475EEA7C" w14:textId="7AE77B42" w:rsidR="008A748B" w:rsidRDefault="00303B42" w:rsidP="00F02322">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Según</w:t>
      </w:r>
      <w:r w:rsidR="008A748B" w:rsidRPr="00FD6B4B">
        <w:rPr>
          <w:rFonts w:asciiTheme="minorHAnsi" w:hAnsiTheme="minorHAnsi" w:cstheme="minorHAnsi"/>
          <w:sz w:val="22"/>
          <w:szCs w:val="22"/>
        </w:rPr>
        <w:t xml:space="preserve"> el </w:t>
      </w:r>
      <w:hyperlink r:id="rId11" w:history="1">
        <w:r w:rsidR="008A748B"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008A748B" w:rsidRPr="00FD6B4B">
          <w:rPr>
            <w:rFonts w:asciiTheme="minorHAnsi" w:hAnsiTheme="minorHAnsi" w:cstheme="minorHAnsi"/>
            <w:sz w:val="22"/>
            <w:szCs w:val="22"/>
          </w:rPr>
          <w:t>-2021-EM</w:t>
        </w:r>
      </w:hyperlink>
      <w:r w:rsidR="008A748B"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008A748B"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008A748B" w:rsidRPr="00FD6B4B">
        <w:rPr>
          <w:rFonts w:asciiTheme="minorHAnsi" w:hAnsiTheme="minorHAnsi" w:cstheme="minorHAnsi"/>
          <w:sz w:val="22"/>
          <w:szCs w:val="22"/>
        </w:rPr>
        <w:t xml:space="preserve">.2021 en el Diario Oficial «El Peruano», se incluyó al </w:t>
      </w:r>
      <w:proofErr w:type="spellStart"/>
      <w:r w:rsidR="00FD6B4B" w:rsidRPr="00FD6B4B">
        <w:rPr>
          <w:rFonts w:asciiTheme="minorHAnsi" w:hAnsiTheme="minorHAnsi" w:cstheme="minorHAnsi"/>
          <w:sz w:val="22"/>
          <w:szCs w:val="22"/>
        </w:rPr>
        <w:t>Diesel</w:t>
      </w:r>
      <w:proofErr w:type="spellEnd"/>
      <w:r w:rsidR="00FD6B4B" w:rsidRPr="00FD6B4B">
        <w:rPr>
          <w:rFonts w:asciiTheme="minorHAnsi" w:hAnsiTheme="minorHAnsi" w:cstheme="minorHAnsi"/>
          <w:sz w:val="22"/>
          <w:szCs w:val="22"/>
        </w:rPr>
        <w:t xml:space="preserve"> BX destinado al uso vehicular en </w:t>
      </w:r>
      <w:r w:rsidR="008A748B" w:rsidRPr="00FD6B4B">
        <w:rPr>
          <w:rFonts w:asciiTheme="minorHAnsi" w:hAnsiTheme="minorHAnsi" w:cstheme="minorHAnsi"/>
          <w:sz w:val="22"/>
          <w:szCs w:val="22"/>
        </w:rPr>
        <w:t>la lista de productos afectos al FEPC.</w:t>
      </w:r>
    </w:p>
    <w:p w14:paraId="4A22C02B" w14:textId="77777777" w:rsidR="00FD6B4B" w:rsidRDefault="00FD6B4B" w:rsidP="00F02322">
      <w:pPr>
        <w:pStyle w:val="Prrafodelista"/>
        <w:ind w:left="568" w:hanging="426"/>
        <w:rPr>
          <w:rFonts w:asciiTheme="minorHAnsi" w:hAnsiTheme="minorHAnsi" w:cstheme="minorHAnsi"/>
          <w:sz w:val="22"/>
          <w:szCs w:val="22"/>
        </w:rPr>
      </w:pPr>
    </w:p>
    <w:p w14:paraId="4824E2EF" w14:textId="16F88408" w:rsidR="00FD6B4B" w:rsidRDefault="00FD6B4B" w:rsidP="00F02322">
      <w:pPr>
        <w:pStyle w:val="Textonotapie"/>
        <w:numPr>
          <w:ilvl w:val="0"/>
          <w:numId w:val="2"/>
        </w:numPr>
        <w:spacing w:before="0" w:after="0"/>
        <w:ind w:left="568" w:hanging="426"/>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w:t>
      </w:r>
      <w:r w:rsidR="00303B42">
        <w:rPr>
          <w:rFonts w:asciiTheme="minorHAnsi" w:hAnsiTheme="minorHAnsi" w:cstheme="minorHAnsi"/>
          <w:sz w:val="22"/>
          <w:szCs w:val="22"/>
        </w:rPr>
        <w:t>s</w:t>
      </w:r>
      <w:r w:rsidR="00422783" w:rsidRPr="00422783">
        <w:rPr>
          <w:rFonts w:asciiTheme="minorHAnsi" w:hAnsiTheme="minorHAnsi" w:cstheme="minorHAnsi"/>
          <w:sz w:val="22"/>
          <w:szCs w:val="22"/>
        </w:rPr>
        <w:t xml:space="preserve">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797D6CA1" w14:textId="77777777" w:rsidR="00313709" w:rsidRDefault="00313709" w:rsidP="00F02322">
      <w:pPr>
        <w:pStyle w:val="Textonotapie"/>
        <w:spacing w:before="0" w:after="0"/>
        <w:ind w:left="568" w:hanging="426"/>
        <w:rPr>
          <w:rFonts w:asciiTheme="minorHAnsi" w:hAnsiTheme="minorHAnsi" w:cstheme="minorHAnsi"/>
          <w:sz w:val="22"/>
          <w:szCs w:val="22"/>
        </w:rPr>
      </w:pPr>
    </w:p>
    <w:p w14:paraId="3F78A2E0" w14:textId="0BEAEC8B" w:rsidR="0020425C" w:rsidRDefault="003C6C63" w:rsidP="00F02322">
      <w:pPr>
        <w:pStyle w:val="Textonotapie"/>
        <w:numPr>
          <w:ilvl w:val="0"/>
          <w:numId w:val="2"/>
        </w:numPr>
        <w:spacing w:before="0" w:after="0"/>
        <w:ind w:left="568" w:hanging="426"/>
        <w:rPr>
          <w:rFonts w:asciiTheme="minorHAnsi" w:hAnsiTheme="minorHAnsi" w:cstheme="minorHAnsi"/>
          <w:sz w:val="22"/>
          <w:szCs w:val="22"/>
        </w:rPr>
      </w:pPr>
      <w:r w:rsidRPr="0020425C">
        <w:rPr>
          <w:rFonts w:asciiTheme="minorHAnsi" w:hAnsiTheme="minorHAnsi" w:cstheme="minorHAnsi"/>
          <w:sz w:val="22"/>
          <w:szCs w:val="22"/>
        </w:rPr>
        <w:t>Asimis</w:t>
      </w:r>
      <w:r w:rsidR="00303B42" w:rsidRPr="0020425C">
        <w:rPr>
          <w:rFonts w:asciiTheme="minorHAnsi" w:hAnsiTheme="minorHAnsi" w:cstheme="minorHAnsi"/>
          <w:sz w:val="22"/>
          <w:szCs w:val="22"/>
        </w:rPr>
        <w:t>mo, mediante el Decreto Supremo</w:t>
      </w:r>
      <w:r w:rsidRPr="0020425C">
        <w:rPr>
          <w:rFonts w:asciiTheme="minorHAnsi" w:hAnsiTheme="minorHAnsi" w:cstheme="minorHAnsi"/>
          <w:sz w:val="22"/>
          <w:szCs w:val="22"/>
        </w:rPr>
        <w:t xml:space="preserve"> N° 002-2022-EM, se incluyó al </w:t>
      </w:r>
      <w:r w:rsidR="00955351" w:rsidRPr="0020425C">
        <w:rPr>
          <w:rFonts w:asciiTheme="minorHAnsi" w:hAnsiTheme="minorHAnsi" w:cstheme="minorHAnsi"/>
          <w:sz w:val="22"/>
          <w:szCs w:val="22"/>
        </w:rPr>
        <w:t>Diésel</w:t>
      </w:r>
      <w:r w:rsidRPr="0020425C">
        <w:rPr>
          <w:rFonts w:asciiTheme="minorHAnsi" w:hAnsiTheme="minorHAnsi" w:cstheme="minorHAnsi"/>
          <w:sz w:val="22"/>
          <w:szCs w:val="22"/>
        </w:rPr>
        <w:t xml:space="preserve"> 2 destinado al uso vehicular, en la lista de productos afectos al FEPC</w:t>
      </w:r>
      <w:r w:rsidR="009427C6" w:rsidRPr="0020425C">
        <w:rPr>
          <w:rFonts w:asciiTheme="minorHAnsi" w:hAnsiTheme="minorHAnsi" w:cstheme="minorHAnsi"/>
          <w:sz w:val="22"/>
          <w:szCs w:val="22"/>
        </w:rPr>
        <w:t>. Dicha inclusión se realiz</w:t>
      </w:r>
      <w:r w:rsidR="00567AE0" w:rsidRPr="0020425C">
        <w:rPr>
          <w:rFonts w:asciiTheme="minorHAnsi" w:hAnsiTheme="minorHAnsi" w:cstheme="minorHAnsi"/>
          <w:sz w:val="22"/>
          <w:szCs w:val="22"/>
        </w:rPr>
        <w:t>ó</w:t>
      </w:r>
      <w:r w:rsidR="009427C6" w:rsidRPr="0020425C">
        <w:rPr>
          <w:rFonts w:asciiTheme="minorHAnsi" w:hAnsiTheme="minorHAnsi" w:cstheme="minorHAnsi"/>
          <w:sz w:val="22"/>
          <w:szCs w:val="22"/>
        </w:rPr>
        <w:t xml:space="preserve"> durante el plazo que el MINEM autorice su comercialización, en aplicación del artículo 2 del Decreto Supremo Nº 001-2011-EM, por una afectación de alcance nacional.</w:t>
      </w:r>
    </w:p>
    <w:p w14:paraId="61F15353" w14:textId="77777777" w:rsidR="0020425C" w:rsidRDefault="0020425C" w:rsidP="00F02322">
      <w:pPr>
        <w:pStyle w:val="Prrafodelista"/>
        <w:ind w:left="568" w:hanging="426"/>
        <w:rPr>
          <w:rFonts w:asciiTheme="minorHAnsi" w:hAnsiTheme="minorHAnsi" w:cstheme="minorHAnsi"/>
          <w:sz w:val="22"/>
          <w:szCs w:val="22"/>
        </w:rPr>
      </w:pPr>
    </w:p>
    <w:p w14:paraId="1E583194" w14:textId="5EB072D1" w:rsidR="0020425C" w:rsidRDefault="0074476A" w:rsidP="00F02322">
      <w:pPr>
        <w:pStyle w:val="Textonotapie"/>
        <w:numPr>
          <w:ilvl w:val="0"/>
          <w:numId w:val="2"/>
        </w:numPr>
        <w:spacing w:before="0" w:after="0"/>
        <w:ind w:left="568" w:hanging="426"/>
      </w:pPr>
      <w:r>
        <w:rPr>
          <w:rFonts w:asciiTheme="minorHAnsi" w:hAnsiTheme="minorHAnsi" w:cstheme="minorHAnsi"/>
          <w:sz w:val="22"/>
          <w:szCs w:val="22"/>
        </w:rPr>
        <w:t>M</w:t>
      </w:r>
      <w:r w:rsidR="0020425C" w:rsidRPr="0020425C">
        <w:rPr>
          <w:rFonts w:asciiTheme="minorHAnsi" w:hAnsiTheme="minorHAnsi" w:cstheme="minorHAnsi"/>
          <w:sz w:val="22"/>
          <w:szCs w:val="22"/>
        </w:rPr>
        <w:t>ediante Decreto Supremo N° 007-2022-EM, publicado el 26 de junio de 2022, se modificó el numeral 1.1 del artículo 1 del Decreto 002 precisando la inclusión de las Gasolinas de 90 y 84 octanos, Gasohol de 84 octanos y GLP-G en la lista de Productos sujetos al Fondo establecida en el literal m) del artículo 2 del DU 010 hasta el 30 de septiembre de 2022</w:t>
      </w:r>
      <w:r w:rsidR="0020425C">
        <w:rPr>
          <w:rFonts w:asciiTheme="minorHAnsi" w:hAnsiTheme="minorHAnsi" w:cstheme="minorHAnsi"/>
          <w:sz w:val="22"/>
          <w:szCs w:val="22"/>
        </w:rPr>
        <w:t>.</w:t>
      </w:r>
    </w:p>
    <w:p w14:paraId="03C9F47A" w14:textId="77777777" w:rsidR="00F60765" w:rsidRDefault="00F60765" w:rsidP="00F02322">
      <w:pPr>
        <w:pStyle w:val="Textonotapie"/>
        <w:spacing w:before="0" w:after="0"/>
        <w:ind w:left="568" w:hanging="426"/>
        <w:rPr>
          <w:rFonts w:asciiTheme="minorHAnsi" w:hAnsiTheme="minorHAnsi" w:cstheme="minorHAnsi"/>
          <w:sz w:val="22"/>
          <w:szCs w:val="22"/>
        </w:rPr>
      </w:pPr>
    </w:p>
    <w:p w14:paraId="3C8B4389" w14:textId="77777777" w:rsidR="0074476A" w:rsidRPr="00562D12" w:rsidRDefault="0074476A" w:rsidP="0074476A">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w:t>
      </w:r>
      <w:r>
        <w:rPr>
          <w:rFonts w:asciiTheme="minorHAnsi" w:hAnsiTheme="minorHAnsi" w:cstheme="minorHAnsi"/>
          <w:sz w:val="22"/>
          <w:szCs w:val="22"/>
        </w:rPr>
        <w:t>11</w:t>
      </w:r>
      <w:r w:rsidRPr="0020425C">
        <w:rPr>
          <w:rFonts w:asciiTheme="minorHAnsi" w:hAnsiTheme="minorHAnsi" w:cstheme="minorHAnsi"/>
          <w:sz w:val="22"/>
          <w:szCs w:val="22"/>
        </w:rPr>
        <w:t xml:space="preserve">-2022-EM, publicado el </w:t>
      </w:r>
      <w:r>
        <w:rPr>
          <w:rFonts w:asciiTheme="minorHAnsi" w:hAnsiTheme="minorHAnsi" w:cstheme="minorHAnsi"/>
          <w:sz w:val="22"/>
          <w:szCs w:val="22"/>
        </w:rPr>
        <w:t>18</w:t>
      </w:r>
      <w:r w:rsidRPr="0020425C">
        <w:rPr>
          <w:rFonts w:asciiTheme="minorHAnsi" w:hAnsiTheme="minorHAnsi" w:cstheme="minorHAnsi"/>
          <w:sz w:val="22"/>
          <w:szCs w:val="22"/>
        </w:rPr>
        <w:t xml:space="preserve"> de </w:t>
      </w:r>
      <w:r>
        <w:rPr>
          <w:rFonts w:asciiTheme="minorHAnsi" w:hAnsiTheme="minorHAnsi" w:cstheme="minorHAnsi"/>
          <w:sz w:val="22"/>
          <w:szCs w:val="22"/>
        </w:rPr>
        <w:t>septiembre</w:t>
      </w:r>
      <w:r w:rsidRPr="0020425C">
        <w:rPr>
          <w:rFonts w:asciiTheme="minorHAnsi" w:hAnsiTheme="minorHAnsi" w:cstheme="minorHAnsi"/>
          <w:sz w:val="22"/>
          <w:szCs w:val="22"/>
        </w:rPr>
        <w:t xml:space="preserve"> de 2022, se modificó el numeral 1.1 del artículo 1 del Decreto 002 precisando la inclusión de las Gasolinas de 90 y 84 octanos, Gasohol de 84 octanos y GLP-G en la lista de Productos sujetos al Fondo establecida en el literal m) del artículo 2 del DU 010 hasta el 3</w:t>
      </w:r>
      <w:r>
        <w:rPr>
          <w:rFonts w:asciiTheme="minorHAnsi" w:hAnsiTheme="minorHAnsi" w:cstheme="minorHAnsi"/>
          <w:sz w:val="22"/>
          <w:szCs w:val="22"/>
        </w:rPr>
        <w:t>1</w:t>
      </w:r>
      <w:r w:rsidRPr="0020425C">
        <w:rPr>
          <w:rFonts w:asciiTheme="minorHAnsi" w:hAnsiTheme="minorHAnsi" w:cstheme="minorHAnsi"/>
          <w:sz w:val="22"/>
          <w:szCs w:val="22"/>
        </w:rPr>
        <w:t xml:space="preserve"> de </w:t>
      </w:r>
      <w:r>
        <w:rPr>
          <w:rFonts w:asciiTheme="minorHAnsi" w:hAnsiTheme="minorHAnsi" w:cstheme="minorHAnsi"/>
          <w:sz w:val="22"/>
          <w:szCs w:val="22"/>
        </w:rPr>
        <w:t>dici</w:t>
      </w:r>
      <w:r w:rsidRPr="0020425C">
        <w:rPr>
          <w:rFonts w:asciiTheme="minorHAnsi" w:hAnsiTheme="minorHAnsi" w:cstheme="minorHAnsi"/>
          <w:sz w:val="22"/>
          <w:szCs w:val="22"/>
        </w:rPr>
        <w:t>embre de 2022</w:t>
      </w:r>
      <w:r>
        <w:rPr>
          <w:rFonts w:asciiTheme="minorHAnsi" w:hAnsiTheme="minorHAnsi" w:cstheme="minorHAnsi"/>
          <w:sz w:val="22"/>
          <w:szCs w:val="22"/>
        </w:rPr>
        <w:t>.</w:t>
      </w:r>
    </w:p>
    <w:p w14:paraId="45AAA73A" w14:textId="77777777" w:rsidR="0074476A" w:rsidRDefault="0074476A" w:rsidP="0074476A">
      <w:pPr>
        <w:pStyle w:val="Textonotapie"/>
        <w:tabs>
          <w:tab w:val="left" w:pos="709"/>
        </w:tabs>
        <w:spacing w:before="0" w:after="0"/>
        <w:ind w:left="568"/>
        <w:rPr>
          <w:rFonts w:asciiTheme="minorHAnsi" w:hAnsiTheme="minorHAnsi" w:cstheme="minorHAnsi"/>
          <w:sz w:val="22"/>
          <w:szCs w:val="22"/>
        </w:rPr>
      </w:pPr>
    </w:p>
    <w:p w14:paraId="7D9F64E8" w14:textId="7FDA62E6" w:rsidR="009B7FF3" w:rsidRDefault="009F0937" w:rsidP="001659ED">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9C0925">
        <w:rPr>
          <w:rFonts w:asciiTheme="minorHAnsi" w:hAnsiTheme="minorHAnsi" w:cstheme="minorHAnsi"/>
          <w:sz w:val="22"/>
          <w:szCs w:val="22"/>
        </w:rPr>
        <w:lastRenderedPageBreak/>
        <w:t>Mediante Resolución N° 074-2022-OS/GRT, se fijaron la</w:t>
      </w:r>
      <w:r w:rsidR="00952F32">
        <w:rPr>
          <w:rFonts w:asciiTheme="minorHAnsi" w:hAnsiTheme="minorHAnsi" w:cstheme="minorHAnsi"/>
          <w:sz w:val="22"/>
          <w:szCs w:val="22"/>
        </w:rPr>
        <w:t>s</w:t>
      </w:r>
      <w:r w:rsidRPr="009C0925">
        <w:rPr>
          <w:rFonts w:asciiTheme="minorHAnsi" w:hAnsiTheme="minorHAnsi" w:cstheme="minorHAnsi"/>
          <w:sz w:val="22"/>
          <w:szCs w:val="22"/>
        </w:rPr>
        <w:t xml:space="preserve"> Bandas de Precios y los Márgenes Comerciales para</w:t>
      </w:r>
      <w:r w:rsidR="0079038D" w:rsidRPr="009C0925">
        <w:rPr>
          <w:rFonts w:asciiTheme="minorHAnsi" w:hAnsiTheme="minorHAnsi" w:cstheme="minorHAnsi"/>
          <w:sz w:val="22"/>
          <w:szCs w:val="22"/>
        </w:rPr>
        <w:t xml:space="preserve"> el Diésel B5 destinado al uso vehicular</w:t>
      </w:r>
      <w:r w:rsidR="00A526AB">
        <w:rPr>
          <w:rFonts w:asciiTheme="minorHAnsi" w:hAnsiTheme="minorHAnsi" w:cstheme="minorHAnsi"/>
          <w:sz w:val="22"/>
          <w:szCs w:val="22"/>
        </w:rPr>
        <w:t xml:space="preserve"> y</w:t>
      </w:r>
      <w:r w:rsidRPr="009C0925">
        <w:rPr>
          <w:rFonts w:asciiTheme="minorHAnsi" w:hAnsiTheme="minorHAnsi" w:cstheme="minorHAnsi"/>
          <w:sz w:val="22"/>
          <w:szCs w:val="22"/>
        </w:rPr>
        <w:t xml:space="preserve"> el Gas Licuado de Petróleo destinado para envasado (GLP-E)</w:t>
      </w:r>
      <w:r w:rsidR="009C0925" w:rsidRPr="009C0925">
        <w:rPr>
          <w:rFonts w:asciiTheme="minorHAnsi" w:hAnsiTheme="minorHAnsi" w:cstheme="minorHAnsi"/>
          <w:sz w:val="22"/>
          <w:szCs w:val="22"/>
        </w:rPr>
        <w:t xml:space="preserve"> con vigencia desde el 30 de diciembre hasta el jueves 26 de enero de 2023. De igual modo, se fijaron las Bandas de Precios y los Márgenes Comerciales del </w:t>
      </w:r>
      <w:r w:rsidR="009B7FF3">
        <w:rPr>
          <w:rFonts w:asciiTheme="minorHAnsi" w:hAnsiTheme="minorHAnsi" w:cstheme="minorHAnsi"/>
          <w:sz w:val="22"/>
          <w:szCs w:val="22"/>
        </w:rPr>
        <w:t>Petróleo Industrial N°6 utilizado en actividades de generación eléctrica en sistemas eléctricos Aislados, con vigencia a partir del 30 de diciembre de 2022 hasta el 23 de febrero de 2023.</w:t>
      </w:r>
    </w:p>
    <w:p w14:paraId="78111B58" w14:textId="77777777" w:rsidR="009B7FF3" w:rsidRDefault="009B7FF3" w:rsidP="009B7FF3">
      <w:pPr>
        <w:pStyle w:val="Textonotapie"/>
        <w:tabs>
          <w:tab w:val="left" w:pos="709"/>
        </w:tabs>
        <w:spacing w:before="0" w:after="0"/>
        <w:ind w:left="568"/>
        <w:rPr>
          <w:rFonts w:asciiTheme="minorHAnsi" w:hAnsiTheme="minorHAnsi" w:cstheme="minorHAnsi"/>
          <w:sz w:val="22"/>
          <w:szCs w:val="22"/>
        </w:rPr>
      </w:pPr>
    </w:p>
    <w:p w14:paraId="1C07F695" w14:textId="0549FD21" w:rsidR="009F0937" w:rsidRDefault="009B7FF3" w:rsidP="001659ED">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 xml:space="preserve">Mediante Resolución N”074-2022-OS/GRT, se fijaron también las Bandas de Precios y los Márgenes Comerciales para el </w:t>
      </w:r>
      <w:r w:rsidR="009F0937" w:rsidRPr="009C0925">
        <w:rPr>
          <w:rFonts w:asciiTheme="minorHAnsi" w:hAnsiTheme="minorHAnsi" w:cstheme="minorHAnsi"/>
          <w:sz w:val="22"/>
          <w:szCs w:val="22"/>
        </w:rPr>
        <w:t xml:space="preserve">Gasohol de 84 octanos y Gasolinas de 84 y 90 octanos, con vigencia </w:t>
      </w:r>
      <w:r w:rsidR="00581797">
        <w:rPr>
          <w:rFonts w:asciiTheme="minorHAnsi" w:hAnsiTheme="minorHAnsi" w:cstheme="minorHAnsi"/>
          <w:sz w:val="22"/>
          <w:szCs w:val="22"/>
        </w:rPr>
        <w:t>a partir d</w:t>
      </w:r>
      <w:r w:rsidR="009F0937" w:rsidRPr="009C0925">
        <w:rPr>
          <w:rFonts w:asciiTheme="minorHAnsi" w:hAnsiTheme="minorHAnsi" w:cstheme="minorHAnsi"/>
          <w:sz w:val="22"/>
          <w:szCs w:val="22"/>
        </w:rPr>
        <w:t xml:space="preserve">el 30 de diciembre hasta el </w:t>
      </w:r>
      <w:r w:rsidR="00973DE9">
        <w:rPr>
          <w:rFonts w:asciiTheme="minorHAnsi" w:hAnsiTheme="minorHAnsi" w:cstheme="minorHAnsi"/>
          <w:sz w:val="22"/>
          <w:szCs w:val="22"/>
        </w:rPr>
        <w:t>26</w:t>
      </w:r>
      <w:r w:rsidR="00DF0A5C" w:rsidRPr="009C0925">
        <w:rPr>
          <w:rFonts w:asciiTheme="minorHAnsi" w:hAnsiTheme="minorHAnsi" w:cstheme="minorHAnsi"/>
          <w:sz w:val="22"/>
          <w:szCs w:val="22"/>
        </w:rPr>
        <w:t xml:space="preserve"> </w:t>
      </w:r>
      <w:r w:rsidR="00973DE9">
        <w:rPr>
          <w:rFonts w:asciiTheme="minorHAnsi" w:hAnsiTheme="minorHAnsi" w:cstheme="minorHAnsi"/>
          <w:sz w:val="22"/>
          <w:szCs w:val="22"/>
        </w:rPr>
        <w:t>enero</w:t>
      </w:r>
      <w:r w:rsidR="00A526AB">
        <w:rPr>
          <w:rFonts w:asciiTheme="minorHAnsi" w:hAnsiTheme="minorHAnsi" w:cstheme="minorHAnsi"/>
          <w:sz w:val="22"/>
          <w:szCs w:val="22"/>
        </w:rPr>
        <w:t xml:space="preserve"> </w:t>
      </w:r>
      <w:r w:rsidR="009F0937" w:rsidRPr="009C0925">
        <w:rPr>
          <w:rFonts w:asciiTheme="minorHAnsi" w:hAnsiTheme="minorHAnsi" w:cstheme="minorHAnsi"/>
          <w:sz w:val="22"/>
          <w:szCs w:val="22"/>
        </w:rPr>
        <w:t>de 202</w:t>
      </w:r>
      <w:r w:rsidR="00973DE9">
        <w:rPr>
          <w:rFonts w:asciiTheme="minorHAnsi" w:hAnsiTheme="minorHAnsi" w:cstheme="minorHAnsi"/>
          <w:sz w:val="22"/>
          <w:szCs w:val="22"/>
        </w:rPr>
        <w:t>3</w:t>
      </w:r>
      <w:r w:rsidR="009F0937" w:rsidRPr="009C0925">
        <w:rPr>
          <w:rFonts w:asciiTheme="minorHAnsi" w:hAnsiTheme="minorHAnsi" w:cstheme="minorHAnsi"/>
          <w:sz w:val="22"/>
          <w:szCs w:val="22"/>
        </w:rPr>
        <w:t xml:space="preserve">. </w:t>
      </w:r>
      <w:r>
        <w:rPr>
          <w:rFonts w:asciiTheme="minorHAnsi" w:hAnsiTheme="minorHAnsi" w:cstheme="minorHAnsi"/>
          <w:sz w:val="22"/>
          <w:szCs w:val="22"/>
        </w:rPr>
        <w:t xml:space="preserve">De igual manera, se fijaron la Banda de Precios y el Margen Comercial para el </w:t>
      </w:r>
      <w:r w:rsidRPr="009C0925">
        <w:rPr>
          <w:rFonts w:asciiTheme="minorHAnsi" w:hAnsiTheme="minorHAnsi" w:cstheme="minorHAnsi"/>
          <w:sz w:val="22"/>
          <w:szCs w:val="22"/>
        </w:rPr>
        <w:t>Gas Licuado de Petr</w:t>
      </w:r>
      <w:r>
        <w:rPr>
          <w:rFonts w:asciiTheme="minorHAnsi" w:hAnsiTheme="minorHAnsi" w:cstheme="minorHAnsi"/>
          <w:sz w:val="22"/>
          <w:szCs w:val="22"/>
        </w:rPr>
        <w:t>óleo destinado a granel (GLP-G), vigentes a partir del 30 hasta el 31 de diciembre de 2022.</w:t>
      </w:r>
    </w:p>
    <w:p w14:paraId="17A7766C" w14:textId="77777777" w:rsidR="009B7FF3" w:rsidRDefault="009B7FF3" w:rsidP="009B7FF3">
      <w:pPr>
        <w:pStyle w:val="Prrafodelista"/>
        <w:rPr>
          <w:rFonts w:asciiTheme="minorHAnsi" w:hAnsiTheme="minorHAnsi" w:cstheme="minorHAnsi"/>
          <w:sz w:val="22"/>
          <w:szCs w:val="22"/>
        </w:rPr>
      </w:pPr>
    </w:p>
    <w:p w14:paraId="68FDC5B0" w14:textId="2DD851EF" w:rsidR="009B7FF3" w:rsidRPr="00562D12" w:rsidRDefault="009B7FF3" w:rsidP="009B7FF3">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w:t>
      </w:r>
      <w:r>
        <w:rPr>
          <w:rFonts w:asciiTheme="minorHAnsi" w:hAnsiTheme="minorHAnsi" w:cstheme="minorHAnsi"/>
          <w:sz w:val="22"/>
          <w:szCs w:val="22"/>
        </w:rPr>
        <w:t>17</w:t>
      </w:r>
      <w:r w:rsidRPr="0020425C">
        <w:rPr>
          <w:rFonts w:asciiTheme="minorHAnsi" w:hAnsiTheme="minorHAnsi" w:cstheme="minorHAnsi"/>
          <w:sz w:val="22"/>
          <w:szCs w:val="22"/>
        </w:rPr>
        <w:t xml:space="preserve">-2022-EM, publicado el </w:t>
      </w:r>
      <w:r>
        <w:rPr>
          <w:rFonts w:asciiTheme="minorHAnsi" w:hAnsiTheme="minorHAnsi" w:cstheme="minorHAnsi"/>
          <w:sz w:val="22"/>
          <w:szCs w:val="22"/>
        </w:rPr>
        <w:t>29</w:t>
      </w:r>
      <w:r w:rsidRPr="0020425C">
        <w:rPr>
          <w:rFonts w:asciiTheme="minorHAnsi" w:hAnsiTheme="minorHAnsi" w:cstheme="minorHAnsi"/>
          <w:sz w:val="22"/>
          <w:szCs w:val="22"/>
        </w:rPr>
        <w:t xml:space="preserve"> de </w:t>
      </w:r>
      <w:r>
        <w:rPr>
          <w:rFonts w:asciiTheme="minorHAnsi" w:hAnsiTheme="minorHAnsi" w:cstheme="minorHAnsi"/>
          <w:sz w:val="22"/>
          <w:szCs w:val="22"/>
        </w:rPr>
        <w:t>diciembre</w:t>
      </w:r>
      <w:r w:rsidRPr="0020425C">
        <w:rPr>
          <w:rFonts w:asciiTheme="minorHAnsi" w:hAnsiTheme="minorHAnsi" w:cstheme="minorHAnsi"/>
          <w:sz w:val="22"/>
          <w:szCs w:val="22"/>
        </w:rPr>
        <w:t xml:space="preserve"> de 2022, se modificó el numeral 1.1 del artículo 1 del Decreto 002 </w:t>
      </w:r>
      <w:r>
        <w:rPr>
          <w:rFonts w:asciiTheme="minorHAnsi" w:hAnsiTheme="minorHAnsi" w:cstheme="minorHAnsi"/>
          <w:sz w:val="22"/>
          <w:szCs w:val="22"/>
        </w:rPr>
        <w:t xml:space="preserve">extendiendo la inclusión del </w:t>
      </w:r>
      <w:r w:rsidRPr="0020425C">
        <w:rPr>
          <w:rFonts w:asciiTheme="minorHAnsi" w:hAnsiTheme="minorHAnsi" w:cstheme="minorHAnsi"/>
          <w:sz w:val="22"/>
          <w:szCs w:val="22"/>
        </w:rPr>
        <w:t>GLP-G en la lista de Productos sujetos al Fondo establecida en el literal m) del artículo 2 del DU 010 hasta el 3</w:t>
      </w:r>
      <w:r>
        <w:rPr>
          <w:rFonts w:asciiTheme="minorHAnsi" w:hAnsiTheme="minorHAnsi" w:cstheme="minorHAnsi"/>
          <w:sz w:val="22"/>
          <w:szCs w:val="22"/>
        </w:rPr>
        <w:t>1</w:t>
      </w:r>
      <w:r w:rsidRPr="0020425C">
        <w:rPr>
          <w:rFonts w:asciiTheme="minorHAnsi" w:hAnsiTheme="minorHAnsi" w:cstheme="minorHAnsi"/>
          <w:sz w:val="22"/>
          <w:szCs w:val="22"/>
        </w:rPr>
        <w:t xml:space="preserve"> de </w:t>
      </w:r>
      <w:r>
        <w:rPr>
          <w:rFonts w:asciiTheme="minorHAnsi" w:hAnsiTheme="minorHAnsi" w:cstheme="minorHAnsi"/>
          <w:sz w:val="22"/>
          <w:szCs w:val="22"/>
        </w:rPr>
        <w:t>marzo</w:t>
      </w:r>
      <w:r w:rsidRPr="0020425C">
        <w:rPr>
          <w:rFonts w:asciiTheme="minorHAnsi" w:hAnsiTheme="minorHAnsi" w:cstheme="minorHAnsi"/>
          <w:sz w:val="22"/>
          <w:szCs w:val="22"/>
        </w:rPr>
        <w:t xml:space="preserve"> de 202</w:t>
      </w:r>
      <w:r>
        <w:rPr>
          <w:rFonts w:asciiTheme="minorHAnsi" w:hAnsiTheme="minorHAnsi" w:cstheme="minorHAnsi"/>
          <w:sz w:val="22"/>
          <w:szCs w:val="22"/>
        </w:rPr>
        <w:t>3.</w:t>
      </w:r>
    </w:p>
    <w:p w14:paraId="01AC6900" w14:textId="77777777" w:rsidR="009B7FF3" w:rsidRDefault="009B7FF3" w:rsidP="009B7FF3">
      <w:pPr>
        <w:pStyle w:val="Prrafodelista"/>
        <w:rPr>
          <w:rFonts w:asciiTheme="minorHAnsi" w:hAnsiTheme="minorHAnsi" w:cstheme="minorHAnsi"/>
          <w:sz w:val="22"/>
          <w:szCs w:val="22"/>
        </w:rPr>
      </w:pPr>
    </w:p>
    <w:p w14:paraId="4FCB7D8B" w14:textId="508198AC" w:rsidR="009B7FF3" w:rsidRPr="00D16D5A" w:rsidRDefault="009B7FF3" w:rsidP="00A86A30">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D16D5A">
        <w:rPr>
          <w:rFonts w:asciiTheme="minorHAnsi" w:hAnsiTheme="minorHAnsi" w:cstheme="minorHAnsi"/>
          <w:sz w:val="22"/>
          <w:szCs w:val="22"/>
        </w:rPr>
        <w:t xml:space="preserve">Mediante Resolución N”001-2023-OS/GRT, se precisó </w:t>
      </w:r>
      <w:r w:rsidR="00D16D5A" w:rsidRPr="00D16D5A">
        <w:rPr>
          <w:rFonts w:asciiTheme="minorHAnsi" w:hAnsiTheme="minorHAnsi" w:cstheme="minorHAnsi"/>
          <w:sz w:val="22"/>
          <w:szCs w:val="22"/>
        </w:rPr>
        <w:t>que la vigencia de la Banda de Precios</w:t>
      </w:r>
      <w:r w:rsidR="00D16D5A">
        <w:rPr>
          <w:rFonts w:asciiTheme="minorHAnsi" w:hAnsiTheme="minorHAnsi" w:cstheme="minorHAnsi"/>
          <w:sz w:val="22"/>
          <w:szCs w:val="22"/>
        </w:rPr>
        <w:t xml:space="preserve"> y el Margen Comercial </w:t>
      </w:r>
      <w:r w:rsidR="00D16D5A" w:rsidRPr="00D16D5A">
        <w:rPr>
          <w:rFonts w:asciiTheme="minorHAnsi" w:hAnsiTheme="minorHAnsi" w:cstheme="minorHAnsi"/>
          <w:sz w:val="22"/>
          <w:szCs w:val="22"/>
        </w:rPr>
        <w:t>para el Gas Licuado de Petróleo destinado a granel (GLP-G) aprobada con Resolución N”074-2022-OS/GRT, se encuentra vigente desde el 30 de diciembre de 2022 hasta el jueves 26 de enero de 2023.</w:t>
      </w:r>
    </w:p>
    <w:p w14:paraId="394E0522" w14:textId="77777777" w:rsidR="00162126" w:rsidRDefault="00162126" w:rsidP="00162126">
      <w:pPr>
        <w:pStyle w:val="Prrafodelista"/>
        <w:rPr>
          <w:rFonts w:asciiTheme="minorHAnsi" w:hAnsiTheme="minorHAnsi" w:cstheme="minorHAnsi"/>
          <w:sz w:val="22"/>
          <w:szCs w:val="22"/>
        </w:rPr>
      </w:pPr>
    </w:p>
    <w:p w14:paraId="338DB08E" w14:textId="060836F9" w:rsidR="0074476A" w:rsidRDefault="0074476A" w:rsidP="007A4114">
      <w:pPr>
        <w:pStyle w:val="Sangradetextonormal"/>
        <w:numPr>
          <w:ilvl w:val="0"/>
          <w:numId w:val="16"/>
        </w:numPr>
        <w:ind w:left="568" w:hanging="426"/>
        <w:rPr>
          <w:rFonts w:asciiTheme="minorHAnsi" w:hAnsiTheme="minorHAnsi" w:cstheme="minorHAnsi"/>
          <w:sz w:val="22"/>
          <w:szCs w:val="22"/>
        </w:rPr>
      </w:pPr>
      <w:r w:rsidRPr="00300844">
        <w:rPr>
          <w:rFonts w:asciiTheme="minorHAnsi" w:hAnsiTheme="minorHAnsi" w:cstheme="minorHAnsi"/>
          <w:sz w:val="22"/>
          <w:szCs w:val="22"/>
        </w:rPr>
        <w:t>Teniendo en cuenta las Bandas de Precios y los Márgenes Comerciales de los combustibles establecidos mediante la Resoluci</w:t>
      </w:r>
      <w:r w:rsidR="00DE6DC9">
        <w:rPr>
          <w:rFonts w:asciiTheme="minorHAnsi" w:hAnsiTheme="minorHAnsi" w:cstheme="minorHAnsi"/>
          <w:sz w:val="22"/>
          <w:szCs w:val="22"/>
        </w:rPr>
        <w:t xml:space="preserve">ón </w:t>
      </w:r>
      <w:r w:rsidRPr="00300844">
        <w:rPr>
          <w:rFonts w:asciiTheme="minorHAnsi" w:hAnsiTheme="minorHAnsi" w:cstheme="minorHAnsi"/>
          <w:sz w:val="22"/>
          <w:szCs w:val="22"/>
        </w:rPr>
        <w:t>de la Gerencia de Regulación Tarifaria Osinergmin N° 0</w:t>
      </w:r>
      <w:r w:rsidR="00C26397">
        <w:rPr>
          <w:rFonts w:asciiTheme="minorHAnsi" w:hAnsiTheme="minorHAnsi" w:cstheme="minorHAnsi"/>
          <w:sz w:val="22"/>
          <w:szCs w:val="22"/>
        </w:rPr>
        <w:t>7</w:t>
      </w:r>
      <w:r w:rsidR="00607284">
        <w:rPr>
          <w:rFonts w:asciiTheme="minorHAnsi" w:hAnsiTheme="minorHAnsi" w:cstheme="minorHAnsi"/>
          <w:sz w:val="22"/>
          <w:szCs w:val="22"/>
        </w:rPr>
        <w:t>4</w:t>
      </w:r>
      <w:r w:rsidRPr="00300844">
        <w:rPr>
          <w:rFonts w:asciiTheme="minorHAnsi" w:hAnsiTheme="minorHAnsi" w:cstheme="minorHAnsi"/>
          <w:sz w:val="22"/>
          <w:szCs w:val="22"/>
        </w:rPr>
        <w:t xml:space="preserve">-2022-OS/GRT, el MINEM publicó los Factores de Aportación y/o Compensación vigentes desde el </w:t>
      </w:r>
      <w:r w:rsidR="00D16D5A">
        <w:rPr>
          <w:rFonts w:asciiTheme="minorHAnsi" w:hAnsiTheme="minorHAnsi" w:cstheme="minorHAnsi"/>
          <w:sz w:val="22"/>
          <w:szCs w:val="22"/>
        </w:rPr>
        <w:t>martes</w:t>
      </w:r>
      <w:r w:rsidRPr="00300844">
        <w:rPr>
          <w:rFonts w:asciiTheme="minorHAnsi" w:hAnsiTheme="minorHAnsi" w:cstheme="minorHAnsi"/>
          <w:sz w:val="22"/>
          <w:szCs w:val="22"/>
        </w:rPr>
        <w:t xml:space="preserve"> </w:t>
      </w:r>
      <w:r w:rsidR="00A55594">
        <w:rPr>
          <w:rFonts w:asciiTheme="minorHAnsi" w:hAnsiTheme="minorHAnsi" w:cstheme="minorHAnsi"/>
          <w:sz w:val="22"/>
          <w:szCs w:val="22"/>
        </w:rPr>
        <w:t>1</w:t>
      </w:r>
      <w:r w:rsidR="00AF3F44">
        <w:rPr>
          <w:rFonts w:asciiTheme="minorHAnsi" w:hAnsiTheme="minorHAnsi" w:cstheme="minorHAnsi"/>
          <w:sz w:val="22"/>
          <w:szCs w:val="22"/>
        </w:rPr>
        <w:t>7</w:t>
      </w:r>
      <w:r w:rsidR="00D16D5A">
        <w:rPr>
          <w:rFonts w:asciiTheme="minorHAnsi" w:hAnsiTheme="minorHAnsi" w:cstheme="minorHAnsi"/>
          <w:sz w:val="22"/>
          <w:szCs w:val="22"/>
        </w:rPr>
        <w:t xml:space="preserve"> </w:t>
      </w:r>
      <w:r w:rsidRPr="00300844">
        <w:rPr>
          <w:rFonts w:asciiTheme="minorHAnsi" w:hAnsiTheme="minorHAnsi" w:cstheme="minorHAnsi"/>
          <w:sz w:val="22"/>
          <w:szCs w:val="22"/>
        </w:rPr>
        <w:t xml:space="preserve">al </w:t>
      </w:r>
      <w:r w:rsidR="00D16D5A">
        <w:rPr>
          <w:rFonts w:asciiTheme="minorHAnsi" w:hAnsiTheme="minorHAnsi" w:cstheme="minorHAnsi"/>
          <w:sz w:val="22"/>
          <w:szCs w:val="22"/>
        </w:rPr>
        <w:t>lunes</w:t>
      </w:r>
      <w:r w:rsidR="00C26397">
        <w:rPr>
          <w:rFonts w:asciiTheme="minorHAnsi" w:hAnsiTheme="minorHAnsi" w:cstheme="minorHAnsi"/>
          <w:sz w:val="22"/>
          <w:szCs w:val="22"/>
        </w:rPr>
        <w:t xml:space="preserve"> </w:t>
      </w:r>
      <w:r w:rsidR="00AF3F44">
        <w:rPr>
          <w:rFonts w:asciiTheme="minorHAnsi" w:hAnsiTheme="minorHAnsi" w:cstheme="minorHAnsi"/>
          <w:sz w:val="22"/>
          <w:szCs w:val="22"/>
        </w:rPr>
        <w:t>23</w:t>
      </w:r>
      <w:r w:rsidR="00D16D5A">
        <w:rPr>
          <w:rFonts w:asciiTheme="minorHAnsi" w:hAnsiTheme="minorHAnsi" w:cstheme="minorHAnsi"/>
          <w:sz w:val="22"/>
          <w:szCs w:val="22"/>
        </w:rPr>
        <w:t xml:space="preserve"> </w:t>
      </w:r>
      <w:r w:rsidRPr="00300844">
        <w:rPr>
          <w:rFonts w:asciiTheme="minorHAnsi" w:hAnsiTheme="minorHAnsi" w:cstheme="minorHAnsi"/>
          <w:sz w:val="22"/>
          <w:szCs w:val="22"/>
        </w:rPr>
        <w:t xml:space="preserve">de </w:t>
      </w:r>
      <w:r w:rsidR="00D16D5A">
        <w:rPr>
          <w:rFonts w:asciiTheme="minorHAnsi" w:hAnsiTheme="minorHAnsi" w:cstheme="minorHAnsi"/>
          <w:sz w:val="22"/>
          <w:szCs w:val="22"/>
        </w:rPr>
        <w:t xml:space="preserve">enero </w:t>
      </w:r>
      <w:r w:rsidRPr="00300844">
        <w:rPr>
          <w:rFonts w:asciiTheme="minorHAnsi" w:hAnsiTheme="minorHAnsi" w:cstheme="minorHAnsi"/>
          <w:sz w:val="22"/>
          <w:szCs w:val="22"/>
        </w:rPr>
        <w:t>de 202</w:t>
      </w:r>
      <w:r w:rsidR="00D16D5A">
        <w:rPr>
          <w:rFonts w:asciiTheme="minorHAnsi" w:hAnsiTheme="minorHAnsi" w:cstheme="minorHAnsi"/>
          <w:sz w:val="22"/>
          <w:szCs w:val="22"/>
        </w:rPr>
        <w:t>3</w:t>
      </w:r>
      <w:r w:rsidRPr="00300844">
        <w:rPr>
          <w:rFonts w:asciiTheme="minorHAnsi" w:hAnsiTheme="minorHAnsi" w:cstheme="minorHAnsi"/>
          <w:sz w:val="22"/>
          <w:szCs w:val="22"/>
        </w:rPr>
        <w:t>.</w:t>
      </w:r>
    </w:p>
    <w:p w14:paraId="77B43F27" w14:textId="77777777" w:rsidR="00300844" w:rsidRDefault="00300844" w:rsidP="00300844">
      <w:pPr>
        <w:pStyle w:val="Prrafodelista"/>
        <w:rPr>
          <w:rFonts w:asciiTheme="minorHAnsi" w:hAnsiTheme="minorHAnsi" w:cstheme="minorHAnsi"/>
          <w:sz w:val="22"/>
          <w:szCs w:val="22"/>
        </w:rPr>
      </w:pPr>
    </w:p>
    <w:p w14:paraId="069C2D27" w14:textId="1B326AC6" w:rsidR="00AF3F44" w:rsidRDefault="00AF3F44" w:rsidP="00AF3F44">
      <w:pPr>
        <w:pStyle w:val="Sangradetextonormal"/>
        <w:numPr>
          <w:ilvl w:val="0"/>
          <w:numId w:val="21"/>
        </w:numPr>
        <w:ind w:left="568" w:hanging="426"/>
        <w:rPr>
          <w:rFonts w:asciiTheme="minorHAnsi" w:hAnsiTheme="minorHAnsi" w:cstheme="minorHAnsi"/>
          <w:sz w:val="22"/>
          <w:szCs w:val="22"/>
        </w:rPr>
      </w:pPr>
      <w:r>
        <w:rPr>
          <w:rFonts w:asciiTheme="minorHAnsi" w:hAnsiTheme="minorHAnsi" w:cstheme="minorHAnsi"/>
          <w:sz w:val="22"/>
          <w:szCs w:val="22"/>
        </w:rPr>
        <w:t>El día 19.01.2023, PETROPERÚ publicó su lista de precios de venta de combustibles. Se registraron variaciones en los precios de las gasolinas de 97 (+0.21 S/</w:t>
      </w:r>
      <w:proofErr w:type="spellStart"/>
      <w:r>
        <w:rPr>
          <w:rFonts w:asciiTheme="minorHAnsi" w:hAnsiTheme="minorHAnsi" w:cstheme="minorHAnsi"/>
          <w:sz w:val="22"/>
          <w:szCs w:val="22"/>
        </w:rPr>
        <w:t>Gln</w:t>
      </w:r>
      <w:proofErr w:type="spellEnd"/>
      <w:r>
        <w:rPr>
          <w:rFonts w:asciiTheme="minorHAnsi" w:hAnsiTheme="minorHAnsi" w:cstheme="minorHAnsi"/>
          <w:sz w:val="22"/>
          <w:szCs w:val="22"/>
        </w:rPr>
        <w:t>), 95 (+0.18 S/</w:t>
      </w:r>
      <w:proofErr w:type="spellStart"/>
      <w:r>
        <w:rPr>
          <w:rFonts w:asciiTheme="minorHAnsi" w:hAnsiTheme="minorHAnsi" w:cstheme="minorHAnsi"/>
          <w:sz w:val="22"/>
          <w:szCs w:val="22"/>
        </w:rPr>
        <w:t>Gln</w:t>
      </w:r>
      <w:proofErr w:type="spellEnd"/>
      <w:r>
        <w:rPr>
          <w:rFonts w:asciiTheme="minorHAnsi" w:hAnsiTheme="minorHAnsi" w:cstheme="minorHAnsi"/>
          <w:sz w:val="22"/>
          <w:szCs w:val="22"/>
        </w:rPr>
        <w:t>), 90 (+0.13 S/</w:t>
      </w:r>
      <w:proofErr w:type="spellStart"/>
      <w:r>
        <w:rPr>
          <w:rFonts w:asciiTheme="minorHAnsi" w:hAnsiTheme="minorHAnsi" w:cstheme="minorHAnsi"/>
          <w:sz w:val="22"/>
          <w:szCs w:val="22"/>
        </w:rPr>
        <w:t>Gln</w:t>
      </w:r>
      <w:proofErr w:type="spellEnd"/>
      <w:r>
        <w:rPr>
          <w:rFonts w:asciiTheme="minorHAnsi" w:hAnsiTheme="minorHAnsi" w:cstheme="minorHAnsi"/>
          <w:sz w:val="22"/>
          <w:szCs w:val="22"/>
        </w:rPr>
        <w:t>) y 84 (+0.32 S/</w:t>
      </w:r>
      <w:proofErr w:type="spellStart"/>
      <w:r>
        <w:rPr>
          <w:rFonts w:asciiTheme="minorHAnsi" w:hAnsiTheme="minorHAnsi" w:cstheme="minorHAnsi"/>
          <w:sz w:val="22"/>
          <w:szCs w:val="22"/>
        </w:rPr>
        <w:t>Gln</w:t>
      </w:r>
      <w:proofErr w:type="spellEnd"/>
      <w:r>
        <w:rPr>
          <w:rFonts w:asciiTheme="minorHAnsi" w:hAnsiTheme="minorHAnsi" w:cstheme="minorHAnsi"/>
          <w:sz w:val="22"/>
          <w:szCs w:val="22"/>
        </w:rPr>
        <w:t>) octanos, los gasoholes de 97 (+0.19 S/</w:t>
      </w:r>
      <w:proofErr w:type="spellStart"/>
      <w:r>
        <w:rPr>
          <w:rFonts w:asciiTheme="minorHAnsi" w:hAnsiTheme="minorHAnsi" w:cstheme="minorHAnsi"/>
          <w:sz w:val="22"/>
          <w:szCs w:val="22"/>
        </w:rPr>
        <w:t>Gln</w:t>
      </w:r>
      <w:proofErr w:type="spellEnd"/>
      <w:r>
        <w:rPr>
          <w:rFonts w:asciiTheme="minorHAnsi" w:hAnsiTheme="minorHAnsi" w:cstheme="minorHAnsi"/>
          <w:sz w:val="22"/>
          <w:szCs w:val="22"/>
        </w:rPr>
        <w:t>), 95(+0.16 S/</w:t>
      </w:r>
      <w:proofErr w:type="spellStart"/>
      <w:r>
        <w:rPr>
          <w:rFonts w:asciiTheme="minorHAnsi" w:hAnsiTheme="minorHAnsi" w:cstheme="minorHAnsi"/>
          <w:sz w:val="22"/>
          <w:szCs w:val="22"/>
        </w:rPr>
        <w:t>Gln</w:t>
      </w:r>
      <w:proofErr w:type="spellEnd"/>
      <w:r>
        <w:rPr>
          <w:rFonts w:asciiTheme="minorHAnsi" w:hAnsiTheme="minorHAnsi" w:cstheme="minorHAnsi"/>
          <w:sz w:val="22"/>
          <w:szCs w:val="22"/>
        </w:rPr>
        <w:t>), 90(+0.12 S/</w:t>
      </w:r>
      <w:proofErr w:type="spellStart"/>
      <w:r>
        <w:rPr>
          <w:rFonts w:asciiTheme="minorHAnsi" w:hAnsiTheme="minorHAnsi" w:cstheme="minorHAnsi"/>
          <w:sz w:val="22"/>
          <w:szCs w:val="22"/>
        </w:rPr>
        <w:t>Gln</w:t>
      </w:r>
      <w:proofErr w:type="spellEnd"/>
      <w:r>
        <w:rPr>
          <w:rFonts w:asciiTheme="minorHAnsi" w:hAnsiTheme="minorHAnsi" w:cstheme="minorHAnsi"/>
          <w:sz w:val="22"/>
          <w:szCs w:val="22"/>
        </w:rPr>
        <w:t>) y 84 (+0.28 S/</w:t>
      </w:r>
      <w:proofErr w:type="spellStart"/>
      <w:r>
        <w:rPr>
          <w:rFonts w:asciiTheme="minorHAnsi" w:hAnsiTheme="minorHAnsi" w:cstheme="minorHAnsi"/>
          <w:sz w:val="22"/>
          <w:szCs w:val="22"/>
        </w:rPr>
        <w:t>Gln</w:t>
      </w:r>
      <w:proofErr w:type="spellEnd"/>
      <w:r>
        <w:rPr>
          <w:rFonts w:asciiTheme="minorHAnsi" w:hAnsiTheme="minorHAnsi" w:cstheme="minorHAnsi"/>
          <w:sz w:val="22"/>
          <w:szCs w:val="22"/>
        </w:rPr>
        <w:t xml:space="preserve">) octanos, así como en el </w:t>
      </w:r>
      <w:proofErr w:type="spellStart"/>
      <w:r>
        <w:rPr>
          <w:rFonts w:asciiTheme="minorHAnsi" w:hAnsiTheme="minorHAnsi" w:cstheme="minorHAnsi"/>
          <w:sz w:val="22"/>
          <w:szCs w:val="22"/>
        </w:rPr>
        <w:t>Diesel</w:t>
      </w:r>
      <w:proofErr w:type="spellEnd"/>
      <w:r>
        <w:rPr>
          <w:rFonts w:asciiTheme="minorHAnsi" w:hAnsiTheme="minorHAnsi" w:cstheme="minorHAnsi"/>
          <w:sz w:val="22"/>
          <w:szCs w:val="22"/>
        </w:rPr>
        <w:t xml:space="preserve"> B5(-0.09 S/</w:t>
      </w:r>
      <w:proofErr w:type="spellStart"/>
      <w:r>
        <w:rPr>
          <w:rFonts w:asciiTheme="minorHAnsi" w:hAnsiTheme="minorHAnsi" w:cstheme="minorHAnsi"/>
          <w:sz w:val="22"/>
          <w:szCs w:val="22"/>
        </w:rPr>
        <w:t>Gln</w:t>
      </w:r>
      <w:proofErr w:type="spellEnd"/>
      <w:r>
        <w:rPr>
          <w:rFonts w:asciiTheme="minorHAnsi" w:hAnsiTheme="minorHAnsi" w:cstheme="minorHAnsi"/>
          <w:sz w:val="22"/>
          <w:szCs w:val="22"/>
        </w:rPr>
        <w:t>) y los residuales R6(-0.12 S/</w:t>
      </w:r>
      <w:proofErr w:type="spellStart"/>
      <w:r>
        <w:rPr>
          <w:rFonts w:asciiTheme="minorHAnsi" w:hAnsiTheme="minorHAnsi" w:cstheme="minorHAnsi"/>
          <w:sz w:val="22"/>
          <w:szCs w:val="22"/>
        </w:rPr>
        <w:t>Gln</w:t>
      </w:r>
      <w:proofErr w:type="spellEnd"/>
      <w:r>
        <w:rPr>
          <w:rFonts w:asciiTheme="minorHAnsi" w:hAnsiTheme="minorHAnsi" w:cstheme="minorHAnsi"/>
          <w:sz w:val="22"/>
          <w:szCs w:val="22"/>
        </w:rPr>
        <w:t>) y R500(-0.12 S/</w:t>
      </w:r>
      <w:proofErr w:type="spellStart"/>
      <w:r>
        <w:rPr>
          <w:rFonts w:asciiTheme="minorHAnsi" w:hAnsiTheme="minorHAnsi" w:cstheme="minorHAnsi"/>
          <w:sz w:val="22"/>
          <w:szCs w:val="22"/>
        </w:rPr>
        <w:t>Gln</w:t>
      </w:r>
      <w:proofErr w:type="spellEnd"/>
      <w:r>
        <w:rPr>
          <w:rFonts w:asciiTheme="minorHAnsi" w:hAnsiTheme="minorHAnsi" w:cstheme="minorHAnsi"/>
          <w:sz w:val="22"/>
          <w:szCs w:val="22"/>
        </w:rPr>
        <w:t xml:space="preserve">). </w:t>
      </w:r>
    </w:p>
    <w:p w14:paraId="157D0B3E" w14:textId="77777777" w:rsidR="00352B3A" w:rsidRDefault="00352B3A" w:rsidP="00352B3A">
      <w:pPr>
        <w:pStyle w:val="Prrafodelista"/>
        <w:rPr>
          <w:rFonts w:asciiTheme="minorHAnsi" w:hAnsiTheme="minorHAnsi" w:cstheme="minorHAnsi"/>
          <w:sz w:val="22"/>
          <w:szCs w:val="22"/>
        </w:rPr>
      </w:pPr>
    </w:p>
    <w:p w14:paraId="2C4AC7AC" w14:textId="75DAD3FE" w:rsidR="009D32AB" w:rsidRPr="00232A32" w:rsidRDefault="00300844" w:rsidP="00352B3A">
      <w:pPr>
        <w:pStyle w:val="Sangradetextonormal"/>
        <w:rPr>
          <w:rFonts w:asciiTheme="minorHAnsi" w:hAnsiTheme="minorHAnsi" w:cstheme="minorHAnsi"/>
          <w:sz w:val="22"/>
          <w:szCs w:val="22"/>
        </w:rPr>
      </w:pPr>
      <w:r w:rsidRPr="00232A32">
        <w:rPr>
          <w:rFonts w:asciiTheme="minorHAnsi" w:hAnsiTheme="minorHAnsi" w:cstheme="minorHAnsi"/>
          <w:sz w:val="22"/>
          <w:szCs w:val="22"/>
        </w:rPr>
        <w:br w:type="page"/>
      </w: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lastRenderedPageBreak/>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1744D258" w14:textId="3E8895CE"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5167901B" w14:textId="77E19B7A" w:rsidR="00CA3C87" w:rsidRDefault="00E53D92" w:rsidP="00313709">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5312B21B" w14:textId="77777777" w:rsidR="00352B3A" w:rsidRDefault="00352B3A">
      <w:pPr>
        <w:rPr>
          <w:rFonts w:asciiTheme="minorHAnsi" w:hAnsiTheme="minorHAnsi" w:cstheme="minorHAnsi"/>
          <w:sz w:val="22"/>
          <w:szCs w:val="22"/>
        </w:rPr>
      </w:pPr>
    </w:p>
    <w:p w14:paraId="2516A28A" w14:textId="67CA32FB"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4"/>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68171A31" w14:textId="77777777" w:rsidR="00AF3F44" w:rsidRDefault="00AF3F44" w:rsidP="00AF3F44">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 la composición porcentual de los Precios de Referencia de Combustibles, durante el periodo comprendido entre el 06/01/2023 y el 20/01/2023, se muestra en la Gráfica N°2.</w:t>
      </w:r>
    </w:p>
    <w:p w14:paraId="5BC0A457" w14:textId="77777777" w:rsidR="00A86191" w:rsidRDefault="00A86191" w:rsidP="00A86191">
      <w:pPr>
        <w:jc w:val="both"/>
        <w:rPr>
          <w:rFonts w:asciiTheme="minorHAnsi" w:hAnsiTheme="minorHAnsi" w:cstheme="minorHAnsi"/>
          <w:sz w:val="22"/>
          <w:szCs w:val="22"/>
        </w:rPr>
      </w:pPr>
      <w:r>
        <w:rPr>
          <w:rFonts w:asciiTheme="minorHAnsi" w:hAnsiTheme="minorHAnsi" w:cstheme="minorHAnsi"/>
          <w:sz w:val="22"/>
          <w:szCs w:val="22"/>
        </w:rPr>
        <w:t xml:space="preserve"> </w:t>
      </w:r>
    </w:p>
    <w:p w14:paraId="086D8755" w14:textId="63064DD8" w:rsidR="00A86191" w:rsidRPr="00884871" w:rsidRDefault="00A86191" w:rsidP="00A86191">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Pr="00884871">
        <w:rPr>
          <w:rFonts w:ascii="Calibri" w:hAnsi="Calibri" w:cs="Arial"/>
          <w:b/>
          <w:bCs/>
          <w:i/>
          <w:sz w:val="22"/>
          <w:szCs w:val="22"/>
          <w:lang w:eastAsia="es-PE"/>
        </w:rPr>
        <w:t>Composición del Precio de Referencia</w:t>
      </w:r>
      <w:r>
        <w:rPr>
          <w:rFonts w:ascii="Calibri" w:hAnsi="Calibri" w:cs="Arial"/>
          <w:b/>
          <w:bCs/>
          <w:i/>
          <w:sz w:val="22"/>
          <w:szCs w:val="22"/>
          <w:lang w:eastAsia="es-PE"/>
        </w:rPr>
        <w:t xml:space="preserve"> </w:t>
      </w:r>
      <w:r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w:t>
      </w:r>
      <w:r w:rsidR="00AF3F44">
        <w:rPr>
          <w:rFonts w:ascii="Calibri" w:hAnsi="Calibri" w:cs="Arial"/>
          <w:b/>
          <w:bCs/>
          <w:i/>
          <w:sz w:val="22"/>
          <w:szCs w:val="22"/>
          <w:lang w:eastAsia="es-PE"/>
        </w:rPr>
        <w:t>, al 20</w:t>
      </w:r>
      <w:r>
        <w:rPr>
          <w:rFonts w:ascii="Calibri" w:hAnsi="Calibri" w:cs="Arial"/>
          <w:b/>
          <w:bCs/>
          <w:i/>
          <w:sz w:val="22"/>
          <w:szCs w:val="22"/>
          <w:lang w:eastAsia="es-PE"/>
        </w:rPr>
        <w:t>-01-23</w:t>
      </w:r>
      <w:r w:rsidRPr="00884871">
        <w:rPr>
          <w:rFonts w:ascii="Calibri" w:hAnsi="Calibri" w:cs="Arial"/>
          <w:b/>
          <w:bCs/>
          <w:i/>
          <w:sz w:val="22"/>
          <w:szCs w:val="22"/>
          <w:lang w:eastAsia="es-PE"/>
        </w:rPr>
        <w:t>, en %</w:t>
      </w:r>
    </w:p>
    <w:p w14:paraId="6CED86AB" w14:textId="7FF77C2A" w:rsidR="00A86191" w:rsidRPr="00CC2A8A" w:rsidRDefault="00AF3F44" w:rsidP="00A86191">
      <w:pPr>
        <w:pBdr>
          <w:top w:val="single" w:sz="4" w:space="1" w:color="auto"/>
          <w:bottom w:val="single" w:sz="4" w:space="1" w:color="auto"/>
        </w:pBdr>
        <w:rPr>
          <w:rFonts w:ascii="Calibri" w:hAnsi="Calibri" w:cs="Arial"/>
          <w:bCs/>
          <w:sz w:val="32"/>
          <w:szCs w:val="32"/>
        </w:rPr>
      </w:pPr>
      <w:r>
        <w:rPr>
          <w:noProof/>
          <w:lang w:val="es-PE" w:eastAsia="es-PE"/>
        </w:rPr>
        <w:drawing>
          <wp:inline distT="0" distB="0" distL="0" distR="0" wp14:anchorId="546349F9" wp14:editId="11941F88">
            <wp:extent cx="5490845" cy="2922905"/>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3"/>
                    <a:stretch>
                      <a:fillRect/>
                    </a:stretch>
                  </pic:blipFill>
                  <pic:spPr>
                    <a:xfrm>
                      <a:off x="0" y="0"/>
                      <a:ext cx="5490845" cy="2922905"/>
                    </a:xfrm>
                    <a:prstGeom prst="rect">
                      <a:avLst/>
                    </a:prstGeom>
                  </pic:spPr>
                </pic:pic>
              </a:graphicData>
            </a:graphic>
          </wp:inline>
        </w:drawing>
      </w:r>
    </w:p>
    <w:p w14:paraId="6F543033" w14:textId="58F09ADD" w:rsidR="00A86191" w:rsidRPr="001A4F79" w:rsidRDefault="00A86191" w:rsidP="00A86191">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sidR="00AF3F44">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Elaboración: Propia</w:t>
      </w:r>
    </w:p>
    <w:p w14:paraId="0BCA0BE4" w14:textId="77777777" w:rsidR="00A86191" w:rsidRPr="001A4F79" w:rsidRDefault="00A86191" w:rsidP="00A86191">
      <w:pPr>
        <w:spacing w:line="276" w:lineRule="auto"/>
        <w:rPr>
          <w:rFonts w:ascii="Calibri" w:eastAsia="Calibri" w:hAnsi="Calibri"/>
          <w:sz w:val="22"/>
          <w:szCs w:val="22"/>
        </w:rPr>
      </w:pPr>
    </w:p>
    <w:p w14:paraId="5187EED7" w14:textId="77777777" w:rsidR="00AF3F44" w:rsidRDefault="00AF3F44" w:rsidP="00AF3F44">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 El Precio FOB y el Flete desde el mercado relevante al Callao, son los componentes que tienen un mayor impacto en el comportamiento de los precios de referencia de los combustibles.</w:t>
      </w:r>
    </w:p>
    <w:p w14:paraId="66E28CE3" w14:textId="77777777" w:rsidR="00AF3F44" w:rsidRDefault="00AF3F44" w:rsidP="00AF3F44">
      <w:pPr>
        <w:jc w:val="both"/>
        <w:rPr>
          <w:rFonts w:asciiTheme="minorHAnsi" w:hAnsiTheme="minorHAnsi" w:cstheme="minorHAnsi"/>
          <w:sz w:val="22"/>
          <w:szCs w:val="22"/>
        </w:rPr>
      </w:pPr>
      <w:r>
        <w:rPr>
          <w:rFonts w:asciiTheme="minorHAnsi" w:hAnsiTheme="minorHAnsi" w:cstheme="minorHAnsi"/>
          <w:sz w:val="22"/>
          <w:szCs w:val="22"/>
        </w:rPr>
        <w:t xml:space="preserve">  </w:t>
      </w:r>
    </w:p>
    <w:p w14:paraId="42FFA610" w14:textId="77777777" w:rsidR="00AF3F44" w:rsidRDefault="00AF3F44" w:rsidP="00AF3F44">
      <w:pPr>
        <w:jc w:val="both"/>
        <w:rPr>
          <w:rFonts w:asciiTheme="minorHAnsi" w:hAnsiTheme="minorHAnsi" w:cstheme="minorHAnsi"/>
          <w:sz w:val="22"/>
          <w:szCs w:val="22"/>
        </w:rPr>
      </w:pPr>
      <w:r>
        <w:rPr>
          <w:rFonts w:asciiTheme="minorHAnsi" w:hAnsiTheme="minorHAnsi" w:cstheme="minorHAnsi"/>
          <w:sz w:val="22"/>
          <w:szCs w:val="22"/>
        </w:rPr>
        <w:t>En la Gráfica N°2, se aprecia que el Precio FOB se ubicó en 78% del precio de referencia del GLP, 81% del precio de referencia del etanol, 78% del precio de los residuales R6 y R500; y fue igual o superior al 90% del precio de referencia de los demás combustibles. Cabe recalcar que el Precio FOB incluye la tarifa “Terminalling” del GLP; el descuento por concepto de RVO, aplicado al precio de las Gasolinas y Diésel 2; y los ajustes de calidad para las Gasolinas, Diésel y Residual 500.</w:t>
      </w:r>
    </w:p>
    <w:p w14:paraId="1C43D80E" w14:textId="4EDB029A" w:rsidR="00AF3F44" w:rsidRDefault="00AF3F44" w:rsidP="00AF3F44">
      <w:pPr>
        <w:jc w:val="both"/>
        <w:rPr>
          <w:rFonts w:asciiTheme="minorHAnsi" w:hAnsiTheme="minorHAnsi" w:cstheme="minorHAnsi"/>
          <w:sz w:val="22"/>
          <w:szCs w:val="22"/>
        </w:rPr>
      </w:pPr>
      <w:r>
        <w:rPr>
          <w:rFonts w:asciiTheme="minorHAnsi" w:hAnsiTheme="minorHAnsi" w:cstheme="minorHAnsi"/>
          <w:sz w:val="22"/>
          <w:szCs w:val="22"/>
        </w:rPr>
        <w:t xml:space="preserve"> </w:t>
      </w:r>
    </w:p>
    <w:p w14:paraId="71C440AA" w14:textId="77777777" w:rsidR="00AF3F44" w:rsidRDefault="00AF3F44" w:rsidP="00AF3F44">
      <w:pPr>
        <w:jc w:val="both"/>
        <w:rPr>
          <w:rFonts w:asciiTheme="minorHAnsi" w:hAnsiTheme="minorHAnsi" w:cstheme="minorHAnsi"/>
          <w:sz w:val="22"/>
          <w:szCs w:val="22"/>
        </w:rPr>
      </w:pPr>
      <w:r>
        <w:rPr>
          <w:rFonts w:asciiTheme="minorHAnsi" w:hAnsiTheme="minorHAnsi" w:cstheme="minorHAnsi"/>
          <w:sz w:val="22"/>
          <w:szCs w:val="22"/>
        </w:rPr>
        <w:t xml:space="preserve">A continuación, se presenta una descripción del cálculo del Precio FOB de los Combustibles, indicando los valores obtenidos para cada uno de sus componentes al 20 de enero 2023. </w:t>
      </w:r>
    </w:p>
    <w:p w14:paraId="10F1A0B6" w14:textId="77777777" w:rsidR="00AF3F44" w:rsidRDefault="00AF3F44" w:rsidP="00AF3F44">
      <w:pPr>
        <w:jc w:val="both"/>
        <w:rPr>
          <w:rFonts w:asciiTheme="minorHAnsi" w:hAnsiTheme="minorHAnsi" w:cstheme="minorHAnsi"/>
          <w:sz w:val="22"/>
          <w:szCs w:val="22"/>
        </w:rPr>
      </w:pPr>
      <w:r>
        <w:rPr>
          <w:rFonts w:asciiTheme="minorHAnsi" w:hAnsiTheme="minorHAnsi" w:cstheme="minorHAnsi"/>
          <w:sz w:val="22"/>
          <w:szCs w:val="22"/>
        </w:rPr>
        <w:t xml:space="preserve">Los precios de los productos marcadores, el </w:t>
      </w:r>
      <w:proofErr w:type="spellStart"/>
      <w:r>
        <w:rPr>
          <w:rFonts w:asciiTheme="minorHAnsi" w:hAnsiTheme="minorHAnsi" w:cstheme="minorHAnsi"/>
          <w:sz w:val="22"/>
          <w:szCs w:val="22"/>
        </w:rPr>
        <w:t>terminalling</w:t>
      </w:r>
      <w:proofErr w:type="spellEnd"/>
      <w:r>
        <w:rPr>
          <w:rFonts w:asciiTheme="minorHAnsi" w:hAnsiTheme="minorHAnsi" w:cstheme="minorHAnsi"/>
          <w:sz w:val="22"/>
          <w:szCs w:val="22"/>
        </w:rPr>
        <w:t>, el descuento por RVO y los ajustes de calidad corresponden al promedio de las diez últimas cotizaciones diarias publicadas por Argus.</w:t>
      </w:r>
    </w:p>
    <w:p w14:paraId="3F95B49B" w14:textId="77777777" w:rsidR="00C80F8A" w:rsidRPr="00003F04" w:rsidRDefault="00C80F8A" w:rsidP="00F85D23">
      <w:pPr>
        <w:jc w:val="both"/>
        <w:rPr>
          <w:rFonts w:asciiTheme="minorHAnsi" w:hAnsiTheme="minorHAnsi" w:cstheme="minorHAnsi"/>
          <w:sz w:val="22"/>
          <w:szCs w:val="22"/>
        </w:rPr>
      </w:pPr>
    </w:p>
    <w:p w14:paraId="60396990" w14:textId="77777777" w:rsidR="00AF3F44" w:rsidRDefault="00AF3F44" w:rsidP="00AF3F44">
      <w:pPr>
        <w:pStyle w:val="Prrafodelista"/>
        <w:numPr>
          <w:ilvl w:val="0"/>
          <w:numId w:val="22"/>
        </w:numPr>
        <w:ind w:left="426" w:hanging="426"/>
        <w:jc w:val="both"/>
        <w:rPr>
          <w:rFonts w:asciiTheme="minorHAnsi" w:hAnsiTheme="minorHAnsi" w:cstheme="minorHAnsi"/>
          <w:b/>
          <w:sz w:val="22"/>
          <w:szCs w:val="22"/>
          <w:u w:val="single"/>
        </w:rPr>
      </w:pPr>
      <w:r>
        <w:rPr>
          <w:rFonts w:asciiTheme="minorHAnsi" w:hAnsiTheme="minorHAnsi" w:cstheme="minorHAnsi"/>
          <w:b/>
          <w:sz w:val="22"/>
          <w:szCs w:val="22"/>
          <w:u w:val="single"/>
        </w:rPr>
        <w:t>Precio FOB del GLP</w:t>
      </w:r>
    </w:p>
    <w:p w14:paraId="1593B41F" w14:textId="77777777" w:rsidR="00AF3F44" w:rsidRDefault="00AF3F44" w:rsidP="00AF3F44">
      <w:pPr>
        <w:pStyle w:val="Prrafodelista"/>
        <w:ind w:left="426" w:hanging="426"/>
        <w:jc w:val="both"/>
        <w:rPr>
          <w:rFonts w:asciiTheme="minorHAnsi" w:hAnsiTheme="minorHAnsi" w:cstheme="minorHAnsi"/>
          <w:b/>
          <w:sz w:val="22"/>
          <w:szCs w:val="22"/>
          <w:u w:val="single"/>
        </w:rPr>
      </w:pPr>
    </w:p>
    <w:p w14:paraId="5E71D7EF" w14:textId="77777777" w:rsidR="00AF3F44" w:rsidRDefault="00AF3F44" w:rsidP="00AF3F44">
      <w:pPr>
        <w:pStyle w:val="Prrafodelista"/>
        <w:numPr>
          <w:ilvl w:val="1"/>
          <w:numId w:val="23"/>
        </w:numPr>
        <w:tabs>
          <w:tab w:val="num" w:pos="993"/>
        </w:tabs>
        <w:ind w:left="851" w:hanging="426"/>
        <w:jc w:val="both"/>
        <w:rPr>
          <w:rFonts w:asciiTheme="minorHAnsi" w:hAnsiTheme="minorHAnsi" w:cstheme="minorHAnsi"/>
          <w:sz w:val="22"/>
          <w:szCs w:val="22"/>
        </w:rPr>
      </w:pPr>
      <w:r>
        <w:rPr>
          <w:rFonts w:asciiTheme="minorHAnsi" w:hAnsiTheme="minorHAnsi" w:cstheme="minorHAnsi"/>
          <w:b/>
          <w:sz w:val="22"/>
          <w:szCs w:val="22"/>
          <w:u w:val="single"/>
        </w:rPr>
        <w:t>Precio del Producto Marcador:</w:t>
      </w:r>
      <w:r>
        <w:rPr>
          <w:rFonts w:asciiTheme="minorHAnsi" w:hAnsiTheme="minorHAnsi" w:cstheme="minorHAnsi"/>
          <w:sz w:val="22"/>
          <w:szCs w:val="22"/>
        </w:rPr>
        <w:t xml:space="preserve"> Fue determinado, considerando la mezcla típica del GLP comercializado en nuestro país, cuya composición propano/butano es de 70%/30%.</w:t>
      </w:r>
    </w:p>
    <w:p w14:paraId="5075E163" w14:textId="77777777" w:rsidR="00AF3F44" w:rsidRDefault="00AF3F44" w:rsidP="00AF3F44">
      <w:pPr>
        <w:pStyle w:val="Prrafodelista"/>
        <w:numPr>
          <w:ilvl w:val="1"/>
          <w:numId w:val="23"/>
        </w:numPr>
        <w:tabs>
          <w:tab w:val="clear" w:pos="1185"/>
          <w:tab w:val="num" w:pos="1611"/>
        </w:tabs>
        <w:ind w:left="851" w:hanging="425"/>
        <w:jc w:val="both"/>
        <w:rPr>
          <w:rFonts w:asciiTheme="minorHAnsi" w:hAnsiTheme="minorHAnsi" w:cstheme="minorHAnsi"/>
          <w:sz w:val="22"/>
          <w:szCs w:val="22"/>
        </w:rPr>
      </w:pPr>
      <w:r>
        <w:rPr>
          <w:rFonts w:asciiTheme="minorHAnsi" w:hAnsiTheme="minorHAnsi" w:cstheme="minorHAnsi"/>
          <w:b/>
          <w:sz w:val="22"/>
          <w:szCs w:val="22"/>
        </w:rPr>
        <w:t>Terminalling</w:t>
      </w:r>
      <w:r>
        <w:rPr>
          <w:rFonts w:asciiTheme="minorHAnsi" w:hAnsiTheme="minorHAnsi" w:cstheme="minorHAnsi"/>
          <w:sz w:val="22"/>
          <w:szCs w:val="22"/>
        </w:rPr>
        <w:t xml:space="preserve">: Calculado en base al promedio de las 10 últimas cotizaciones del </w:t>
      </w:r>
      <w:proofErr w:type="spellStart"/>
      <w:r>
        <w:rPr>
          <w:rFonts w:asciiTheme="minorHAnsi" w:hAnsiTheme="minorHAnsi" w:cstheme="minorHAnsi"/>
          <w:sz w:val="22"/>
          <w:szCs w:val="22"/>
        </w:rPr>
        <w:t>terminalling</w:t>
      </w:r>
      <w:proofErr w:type="spellEnd"/>
      <w:r>
        <w:rPr>
          <w:rFonts w:asciiTheme="minorHAnsi" w:hAnsiTheme="minorHAnsi" w:cstheme="minorHAnsi"/>
          <w:sz w:val="22"/>
          <w:szCs w:val="22"/>
        </w:rPr>
        <w:t xml:space="preserve"> de propano refrigerado publicadas por Argus, igual a 9.20 cent$/galón. Para obtener la tarifa del </w:t>
      </w:r>
      <w:proofErr w:type="spellStart"/>
      <w:r>
        <w:rPr>
          <w:rFonts w:asciiTheme="minorHAnsi" w:hAnsiTheme="minorHAnsi" w:cstheme="minorHAnsi"/>
          <w:sz w:val="22"/>
          <w:szCs w:val="22"/>
        </w:rPr>
        <w:t>terminalling</w:t>
      </w:r>
      <w:proofErr w:type="spellEnd"/>
      <w:r>
        <w:rPr>
          <w:rFonts w:asciiTheme="minorHAnsi" w:hAnsiTheme="minorHAnsi" w:cstheme="minorHAnsi"/>
          <w:sz w:val="22"/>
          <w:szCs w:val="22"/>
        </w:rPr>
        <w:t xml:space="preserve"> del GLP a temperatura ambiente, usamos la siguiente ecuación: </w:t>
      </w:r>
    </w:p>
    <w:p w14:paraId="55546C94" w14:textId="77777777" w:rsidR="00AF3F44" w:rsidRDefault="00AF3F44" w:rsidP="00AF3F44">
      <w:pPr>
        <w:pStyle w:val="Prrafodelista"/>
        <w:ind w:left="426" w:hanging="426"/>
        <w:jc w:val="center"/>
        <w:rPr>
          <w:rFonts w:asciiTheme="minorHAnsi" w:hAnsiTheme="minorHAnsi" w:cstheme="minorHAnsi"/>
          <w:sz w:val="22"/>
          <w:szCs w:val="22"/>
          <w:lang w:val="es-MX"/>
        </w:rPr>
      </w:pPr>
    </w:p>
    <w:p w14:paraId="22D64CE6" w14:textId="77777777" w:rsidR="00AF3F44" w:rsidRDefault="00AF3F44" w:rsidP="00AF3F44">
      <w:pPr>
        <w:pStyle w:val="Prrafodelista"/>
        <w:ind w:left="426" w:hanging="426"/>
        <w:jc w:val="center"/>
        <w:rPr>
          <w:rFonts w:asciiTheme="minorHAnsi" w:hAnsiTheme="minorHAnsi" w:cstheme="minorHAnsi"/>
          <w:sz w:val="22"/>
          <w:szCs w:val="22"/>
          <w:lang w:val="en-US"/>
        </w:rPr>
      </w:pPr>
      <w:r>
        <w:rPr>
          <w:rFonts w:asciiTheme="minorHAnsi" w:hAnsiTheme="minorHAnsi" w:cstheme="minorHAnsi"/>
          <w:sz w:val="22"/>
          <w:szCs w:val="22"/>
          <w:lang w:val="en-US"/>
        </w:rPr>
        <w:t>T°A = 9.20 cent$/</w:t>
      </w:r>
      <w:proofErr w:type="spellStart"/>
      <w:r>
        <w:rPr>
          <w:rFonts w:asciiTheme="minorHAnsi" w:hAnsiTheme="minorHAnsi" w:cstheme="minorHAnsi"/>
          <w:sz w:val="22"/>
          <w:szCs w:val="22"/>
          <w:lang w:val="en-US"/>
        </w:rPr>
        <w:t>Galón</w:t>
      </w:r>
      <w:proofErr w:type="spellEnd"/>
      <w:r>
        <w:rPr>
          <w:rFonts w:asciiTheme="minorHAnsi" w:hAnsiTheme="minorHAnsi" w:cstheme="minorHAnsi"/>
          <w:sz w:val="22"/>
          <w:szCs w:val="22"/>
          <w:lang w:val="en-US"/>
        </w:rPr>
        <w:t>* (521.74/729.23) = 6.58 cent$/</w:t>
      </w:r>
      <w:proofErr w:type="spellStart"/>
      <w:r>
        <w:rPr>
          <w:rFonts w:asciiTheme="minorHAnsi" w:hAnsiTheme="minorHAnsi" w:cstheme="minorHAnsi"/>
          <w:sz w:val="22"/>
          <w:szCs w:val="22"/>
          <w:lang w:val="en-US"/>
        </w:rPr>
        <w:t>Galón</w:t>
      </w:r>
      <w:proofErr w:type="spellEnd"/>
    </w:p>
    <w:p w14:paraId="1250D2F2" w14:textId="77777777" w:rsidR="00AF3F44" w:rsidRDefault="00AF3F44" w:rsidP="00AF3F44">
      <w:pPr>
        <w:pStyle w:val="Prrafodelista"/>
        <w:ind w:left="426" w:hanging="426"/>
        <w:jc w:val="center"/>
        <w:rPr>
          <w:rFonts w:asciiTheme="minorHAnsi" w:hAnsiTheme="minorHAnsi" w:cstheme="minorHAnsi"/>
          <w:sz w:val="22"/>
          <w:szCs w:val="22"/>
          <w:lang w:val="en-US"/>
        </w:rPr>
      </w:pPr>
      <w:r>
        <w:rPr>
          <w:rFonts w:asciiTheme="minorHAnsi" w:hAnsiTheme="minorHAnsi" w:cstheme="minorHAnsi"/>
          <w:sz w:val="22"/>
          <w:szCs w:val="22"/>
          <w:lang w:val="en-US"/>
        </w:rPr>
        <w:t>T°A = = 2.76 US$/</w:t>
      </w:r>
      <w:proofErr w:type="spellStart"/>
      <w:r>
        <w:rPr>
          <w:rFonts w:asciiTheme="minorHAnsi" w:hAnsiTheme="minorHAnsi" w:cstheme="minorHAnsi"/>
          <w:sz w:val="22"/>
          <w:szCs w:val="22"/>
          <w:lang w:val="en-US"/>
        </w:rPr>
        <w:t>Bl</w:t>
      </w:r>
      <w:proofErr w:type="spellEnd"/>
    </w:p>
    <w:p w14:paraId="41B95B04" w14:textId="77777777" w:rsidR="00AF3F44" w:rsidRDefault="00AF3F44" w:rsidP="00AF3F44">
      <w:pPr>
        <w:pStyle w:val="Prrafodelista"/>
        <w:ind w:left="426" w:hanging="426"/>
        <w:jc w:val="center"/>
        <w:rPr>
          <w:rFonts w:asciiTheme="minorHAnsi" w:hAnsiTheme="minorHAnsi" w:cstheme="minorHAnsi"/>
          <w:sz w:val="22"/>
          <w:szCs w:val="22"/>
          <w:lang w:val="en-US"/>
        </w:rPr>
      </w:pPr>
    </w:p>
    <w:p w14:paraId="7EE57EC4" w14:textId="77777777" w:rsidR="00AF3F44" w:rsidRDefault="00AF3F44" w:rsidP="00AF3F44">
      <w:pPr>
        <w:pStyle w:val="Prrafodelista"/>
        <w:numPr>
          <w:ilvl w:val="0"/>
          <w:numId w:val="22"/>
        </w:numPr>
        <w:ind w:left="426" w:hanging="426"/>
        <w:jc w:val="both"/>
        <w:rPr>
          <w:rFonts w:asciiTheme="minorHAnsi" w:hAnsiTheme="minorHAnsi" w:cstheme="minorHAnsi"/>
          <w:b/>
          <w:sz w:val="22"/>
          <w:szCs w:val="22"/>
          <w:u w:val="single"/>
        </w:rPr>
      </w:pPr>
      <w:r>
        <w:rPr>
          <w:rFonts w:asciiTheme="minorHAnsi" w:hAnsiTheme="minorHAnsi" w:cstheme="minorHAnsi"/>
          <w:b/>
          <w:sz w:val="22"/>
          <w:szCs w:val="22"/>
          <w:u w:val="single"/>
        </w:rPr>
        <w:t>Precios FOB de las Gasolinas:</w:t>
      </w:r>
    </w:p>
    <w:p w14:paraId="453D2EFF" w14:textId="77777777" w:rsidR="00AF3F44" w:rsidRDefault="00AF3F44" w:rsidP="00AF3F44">
      <w:pPr>
        <w:ind w:left="426" w:hanging="426"/>
        <w:jc w:val="both"/>
        <w:rPr>
          <w:rFonts w:asciiTheme="minorHAnsi" w:hAnsiTheme="minorHAnsi" w:cstheme="minorHAnsi"/>
          <w:b/>
          <w:sz w:val="22"/>
          <w:szCs w:val="22"/>
          <w:u w:val="single"/>
        </w:rPr>
      </w:pPr>
    </w:p>
    <w:p w14:paraId="5740C7F9" w14:textId="77777777" w:rsidR="00AF3F44" w:rsidRDefault="00AF3F44" w:rsidP="00AF3F44">
      <w:pPr>
        <w:pStyle w:val="Prrafodelista"/>
        <w:numPr>
          <w:ilvl w:val="0"/>
          <w:numId w:val="24"/>
        </w:numPr>
        <w:jc w:val="both"/>
        <w:rPr>
          <w:rFonts w:asciiTheme="minorHAnsi" w:hAnsiTheme="minorHAnsi" w:cstheme="minorHAnsi"/>
          <w:sz w:val="22"/>
          <w:szCs w:val="22"/>
        </w:rPr>
      </w:pPr>
      <w:r>
        <w:rPr>
          <w:rFonts w:asciiTheme="minorHAnsi" w:hAnsiTheme="minorHAnsi" w:cstheme="minorHAnsi"/>
          <w:b/>
          <w:sz w:val="22"/>
          <w:szCs w:val="22"/>
          <w:u w:val="single"/>
        </w:rPr>
        <w:t>Precio del Producto Marcador:</w:t>
      </w:r>
      <w:r>
        <w:rPr>
          <w:rFonts w:asciiTheme="minorHAnsi" w:hAnsiTheme="minorHAnsi" w:cstheme="minorHAnsi"/>
          <w:sz w:val="22"/>
          <w:szCs w:val="22"/>
        </w:rPr>
        <w:t xml:space="preserve"> Para las gasolinas de 97 y 95 octanos, corresponde al precio </w:t>
      </w:r>
      <w:proofErr w:type="spellStart"/>
      <w:r>
        <w:rPr>
          <w:rFonts w:asciiTheme="minorHAnsi" w:hAnsiTheme="minorHAnsi" w:cstheme="minorHAnsi"/>
          <w:sz w:val="22"/>
          <w:szCs w:val="22"/>
        </w:rPr>
        <w:t>waterborne</w:t>
      </w:r>
      <w:proofErr w:type="spellEnd"/>
      <w:r>
        <w:rPr>
          <w:rFonts w:asciiTheme="minorHAnsi" w:hAnsiTheme="minorHAnsi" w:cstheme="minorHAnsi"/>
          <w:sz w:val="22"/>
          <w:szCs w:val="22"/>
        </w:rPr>
        <w:t xml:space="preserve"> sin RVO, calculado a partir de la mezcla de las gasolinas CBOB 97 y CBOB 93; mientras que, para las gasolinas de 90 y 84 octanos, es el precio </w:t>
      </w:r>
      <w:proofErr w:type="spellStart"/>
      <w:r>
        <w:rPr>
          <w:rFonts w:asciiTheme="minorHAnsi" w:hAnsiTheme="minorHAnsi" w:cstheme="minorHAnsi"/>
          <w:sz w:val="22"/>
          <w:szCs w:val="22"/>
        </w:rPr>
        <w:t>waterborne</w:t>
      </w:r>
      <w:proofErr w:type="spellEnd"/>
      <w:r>
        <w:rPr>
          <w:rFonts w:asciiTheme="minorHAnsi" w:hAnsiTheme="minorHAnsi" w:cstheme="minorHAnsi"/>
          <w:sz w:val="22"/>
          <w:szCs w:val="22"/>
        </w:rPr>
        <w:t xml:space="preserve"> sin RVO de la gasolina CBOB 87.</w:t>
      </w:r>
    </w:p>
    <w:p w14:paraId="6B448567" w14:textId="77777777" w:rsidR="00AF3F44" w:rsidRDefault="00AF3F44" w:rsidP="00AF3F44">
      <w:pPr>
        <w:pStyle w:val="Prrafodelista"/>
        <w:numPr>
          <w:ilvl w:val="0"/>
          <w:numId w:val="24"/>
        </w:numPr>
        <w:jc w:val="both"/>
        <w:rPr>
          <w:rFonts w:asciiTheme="minorHAnsi" w:hAnsiTheme="minorHAnsi" w:cstheme="minorHAnsi"/>
          <w:sz w:val="22"/>
          <w:szCs w:val="22"/>
        </w:rPr>
      </w:pPr>
      <w:r>
        <w:rPr>
          <w:rFonts w:asciiTheme="minorHAnsi" w:hAnsiTheme="minorHAnsi" w:cstheme="minorHAnsi"/>
          <w:b/>
          <w:sz w:val="22"/>
          <w:szCs w:val="22"/>
        </w:rPr>
        <w:t>Descuento por RVO:</w:t>
      </w:r>
      <w:r>
        <w:rPr>
          <w:rFonts w:asciiTheme="minorHAnsi" w:hAnsiTheme="minorHAnsi" w:cstheme="minorHAnsi"/>
          <w:sz w:val="22"/>
          <w:szCs w:val="22"/>
        </w:rPr>
        <w:t xml:space="preserve"> Está incluido en el precio del producto marcador. Su valor asciende en promedio a 8.63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w:t>
      </w:r>
    </w:p>
    <w:p w14:paraId="3EBEBA7A" w14:textId="77777777" w:rsidR="00AF3F44" w:rsidRDefault="00AF3F44" w:rsidP="00AF3F44">
      <w:pPr>
        <w:pStyle w:val="Prrafodelista"/>
        <w:numPr>
          <w:ilvl w:val="0"/>
          <w:numId w:val="24"/>
        </w:numPr>
        <w:jc w:val="both"/>
        <w:rPr>
          <w:rFonts w:asciiTheme="minorHAnsi" w:hAnsiTheme="minorHAnsi" w:cstheme="minorHAnsi"/>
          <w:sz w:val="22"/>
          <w:szCs w:val="22"/>
        </w:rPr>
      </w:pPr>
      <w:r>
        <w:rPr>
          <w:rFonts w:asciiTheme="minorHAnsi" w:hAnsiTheme="minorHAnsi" w:cstheme="minorHAnsi"/>
          <w:b/>
          <w:sz w:val="22"/>
          <w:szCs w:val="22"/>
        </w:rPr>
        <w:t>Ajuste de Calidad por RVP</w:t>
      </w:r>
      <w:r>
        <w:rPr>
          <w:rFonts w:asciiTheme="minorHAnsi" w:hAnsiTheme="minorHAnsi" w:cstheme="minorHAnsi"/>
          <w:sz w:val="22"/>
          <w:szCs w:val="22"/>
        </w:rPr>
        <w:t>: Se determinó un ajuste de 2.69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 xml:space="preserve"> para las gasolinas de 97 y 95 octanos y un ajuste de 2.23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 xml:space="preserve"> para las gasolinas de 90 y 84 octanos</w:t>
      </w:r>
    </w:p>
    <w:p w14:paraId="3604B01D" w14:textId="77777777" w:rsidR="00AF3F44" w:rsidRDefault="00AF3F44" w:rsidP="00AF3F44">
      <w:pPr>
        <w:pStyle w:val="Prrafodelista"/>
        <w:numPr>
          <w:ilvl w:val="0"/>
          <w:numId w:val="24"/>
        </w:numPr>
        <w:jc w:val="both"/>
        <w:rPr>
          <w:rFonts w:asciiTheme="minorHAnsi" w:hAnsiTheme="minorHAnsi" w:cstheme="minorHAnsi"/>
          <w:sz w:val="22"/>
          <w:szCs w:val="22"/>
        </w:rPr>
      </w:pPr>
      <w:r>
        <w:rPr>
          <w:rFonts w:asciiTheme="minorHAnsi" w:hAnsiTheme="minorHAnsi" w:cstheme="minorHAnsi"/>
          <w:b/>
          <w:sz w:val="22"/>
          <w:szCs w:val="22"/>
        </w:rPr>
        <w:t xml:space="preserve">Ajuste de Calidad por Octanaje:  </w:t>
      </w:r>
      <w:r>
        <w:rPr>
          <w:rFonts w:asciiTheme="minorHAnsi" w:hAnsiTheme="minorHAnsi" w:cstheme="minorHAnsi"/>
          <w:sz w:val="22"/>
          <w:szCs w:val="22"/>
        </w:rPr>
        <w:t>Se determinó un ajuste de 1.49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 xml:space="preserve"> para la gasolina de 90 octanos y un ajuste de -8.01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 xml:space="preserve"> para la gasolina de 84 octanos.</w:t>
      </w:r>
    </w:p>
    <w:p w14:paraId="6CE5218C" w14:textId="77777777" w:rsidR="00AF3F44" w:rsidRDefault="00AF3F44" w:rsidP="00AF3F44">
      <w:pPr>
        <w:ind w:left="426" w:hanging="426"/>
        <w:jc w:val="both"/>
        <w:rPr>
          <w:rFonts w:asciiTheme="minorHAnsi" w:hAnsiTheme="minorHAnsi" w:cstheme="minorHAnsi"/>
          <w:sz w:val="22"/>
          <w:szCs w:val="22"/>
          <w:u w:val="single"/>
        </w:rPr>
      </w:pPr>
    </w:p>
    <w:p w14:paraId="2D44EFF9" w14:textId="77777777" w:rsidR="00AF3F44" w:rsidRDefault="00AF3F44" w:rsidP="00AF3F44">
      <w:pPr>
        <w:pStyle w:val="Prrafodelista"/>
        <w:numPr>
          <w:ilvl w:val="0"/>
          <w:numId w:val="22"/>
        </w:numPr>
        <w:ind w:left="426" w:hanging="426"/>
        <w:jc w:val="both"/>
        <w:rPr>
          <w:rFonts w:asciiTheme="minorHAnsi" w:hAnsiTheme="minorHAnsi" w:cstheme="minorHAnsi"/>
          <w:b/>
          <w:sz w:val="22"/>
          <w:szCs w:val="22"/>
          <w:u w:val="single"/>
        </w:rPr>
      </w:pPr>
      <w:r>
        <w:rPr>
          <w:rFonts w:asciiTheme="minorHAnsi" w:hAnsiTheme="minorHAnsi" w:cstheme="minorHAnsi"/>
          <w:b/>
          <w:sz w:val="22"/>
          <w:szCs w:val="22"/>
          <w:u w:val="single"/>
        </w:rPr>
        <w:t>Precio FOB del Diésel:</w:t>
      </w:r>
    </w:p>
    <w:p w14:paraId="48B6DD87" w14:textId="77777777" w:rsidR="00AF3F44" w:rsidRDefault="00AF3F44" w:rsidP="00AF3F44">
      <w:pPr>
        <w:ind w:left="426" w:hanging="426"/>
        <w:jc w:val="both"/>
        <w:rPr>
          <w:rFonts w:asciiTheme="minorHAnsi" w:hAnsiTheme="minorHAnsi" w:cstheme="minorHAnsi"/>
          <w:b/>
          <w:sz w:val="22"/>
          <w:szCs w:val="22"/>
          <w:u w:val="single"/>
        </w:rPr>
      </w:pPr>
    </w:p>
    <w:p w14:paraId="2A5D551E" w14:textId="77777777" w:rsidR="00AF3F44" w:rsidRDefault="00AF3F44" w:rsidP="00AF3F44">
      <w:pPr>
        <w:pStyle w:val="Prrafodelista"/>
        <w:numPr>
          <w:ilvl w:val="1"/>
          <w:numId w:val="23"/>
        </w:numPr>
        <w:tabs>
          <w:tab w:val="num" w:pos="851"/>
        </w:tabs>
        <w:ind w:left="851" w:hanging="425"/>
        <w:jc w:val="both"/>
        <w:rPr>
          <w:rFonts w:asciiTheme="minorHAnsi" w:hAnsiTheme="minorHAnsi" w:cstheme="minorHAnsi"/>
          <w:sz w:val="22"/>
          <w:szCs w:val="22"/>
        </w:rPr>
      </w:pPr>
      <w:r>
        <w:rPr>
          <w:rFonts w:asciiTheme="minorHAnsi" w:hAnsiTheme="minorHAnsi" w:cstheme="minorHAnsi"/>
          <w:b/>
          <w:sz w:val="22"/>
          <w:szCs w:val="22"/>
          <w:u w:val="single"/>
        </w:rPr>
        <w:t>Precio del Producto Marcador:</w:t>
      </w:r>
      <w:r>
        <w:rPr>
          <w:rFonts w:asciiTheme="minorHAnsi" w:hAnsiTheme="minorHAnsi" w:cstheme="minorHAnsi"/>
          <w:sz w:val="22"/>
          <w:szCs w:val="22"/>
        </w:rPr>
        <w:t xml:space="preserve"> Para el Diésel de bajo contenido de azufre, se toma el precio </w:t>
      </w:r>
      <w:proofErr w:type="spellStart"/>
      <w:r>
        <w:rPr>
          <w:rFonts w:asciiTheme="minorHAnsi" w:hAnsiTheme="minorHAnsi" w:cstheme="minorHAnsi"/>
          <w:sz w:val="22"/>
          <w:szCs w:val="22"/>
        </w:rPr>
        <w:t>waterborne</w:t>
      </w:r>
      <w:proofErr w:type="spellEnd"/>
      <w:r>
        <w:rPr>
          <w:rFonts w:asciiTheme="minorHAnsi" w:hAnsiTheme="minorHAnsi" w:cstheme="minorHAnsi"/>
          <w:sz w:val="22"/>
          <w:szCs w:val="22"/>
        </w:rPr>
        <w:t xml:space="preserve"> sin RVO del Ultra </w:t>
      </w:r>
      <w:proofErr w:type="spellStart"/>
      <w:r>
        <w:rPr>
          <w:rFonts w:asciiTheme="minorHAnsi" w:hAnsiTheme="minorHAnsi" w:cstheme="minorHAnsi"/>
          <w:sz w:val="22"/>
          <w:szCs w:val="22"/>
        </w:rPr>
        <w:t>Sulfur</w:t>
      </w:r>
      <w:proofErr w:type="spellEnd"/>
      <w:r>
        <w:rPr>
          <w:rFonts w:asciiTheme="minorHAnsi" w:hAnsiTheme="minorHAnsi" w:cstheme="minorHAnsi"/>
          <w:sz w:val="22"/>
          <w:szCs w:val="22"/>
        </w:rPr>
        <w:t xml:space="preserve"> Diésel. Para el Diésel con alto contenido de azufre, se considera el Gasoil N°2, sin RVO.</w:t>
      </w:r>
    </w:p>
    <w:p w14:paraId="599727E7" w14:textId="77777777" w:rsidR="00AF3F44" w:rsidRDefault="00AF3F44" w:rsidP="00AF3F44">
      <w:pPr>
        <w:pStyle w:val="Prrafodelista"/>
        <w:numPr>
          <w:ilvl w:val="1"/>
          <w:numId w:val="23"/>
        </w:numPr>
        <w:tabs>
          <w:tab w:val="num" w:pos="851"/>
        </w:tabs>
        <w:ind w:left="851" w:hanging="425"/>
        <w:jc w:val="both"/>
        <w:rPr>
          <w:rFonts w:asciiTheme="minorHAnsi" w:hAnsiTheme="minorHAnsi" w:cstheme="minorHAnsi"/>
          <w:sz w:val="22"/>
          <w:szCs w:val="22"/>
        </w:rPr>
      </w:pPr>
      <w:r>
        <w:rPr>
          <w:rFonts w:asciiTheme="minorHAnsi" w:hAnsiTheme="minorHAnsi" w:cstheme="minorHAnsi"/>
          <w:b/>
          <w:sz w:val="22"/>
          <w:szCs w:val="22"/>
        </w:rPr>
        <w:t xml:space="preserve">Descuento por RVO: </w:t>
      </w:r>
      <w:r>
        <w:rPr>
          <w:rFonts w:asciiTheme="minorHAnsi" w:hAnsiTheme="minorHAnsi" w:cstheme="minorHAnsi"/>
          <w:sz w:val="22"/>
          <w:szCs w:val="22"/>
        </w:rPr>
        <w:t>Está incluido en el precio del producto marcador. Su valor promedio asciende a 8.63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w:t>
      </w:r>
    </w:p>
    <w:p w14:paraId="16E2B81D" w14:textId="77777777" w:rsidR="00AF3F44" w:rsidRDefault="00AF3F44" w:rsidP="00AF3F44">
      <w:pPr>
        <w:pStyle w:val="Prrafodelista"/>
        <w:numPr>
          <w:ilvl w:val="1"/>
          <w:numId w:val="23"/>
        </w:numPr>
        <w:tabs>
          <w:tab w:val="num" w:pos="851"/>
        </w:tabs>
        <w:ind w:left="851" w:hanging="425"/>
        <w:jc w:val="both"/>
        <w:rPr>
          <w:rFonts w:asciiTheme="minorHAnsi" w:hAnsiTheme="minorHAnsi" w:cstheme="minorHAnsi"/>
          <w:sz w:val="22"/>
          <w:szCs w:val="22"/>
        </w:rPr>
      </w:pPr>
      <w:r>
        <w:rPr>
          <w:rFonts w:asciiTheme="minorHAnsi" w:hAnsiTheme="minorHAnsi" w:cstheme="minorHAnsi"/>
          <w:b/>
          <w:sz w:val="22"/>
          <w:szCs w:val="22"/>
        </w:rPr>
        <w:t xml:space="preserve">Ajuste de Calidad por </w:t>
      </w:r>
      <w:proofErr w:type="spellStart"/>
      <w:r>
        <w:rPr>
          <w:rFonts w:asciiTheme="minorHAnsi" w:hAnsiTheme="minorHAnsi" w:cstheme="minorHAnsi"/>
          <w:b/>
          <w:sz w:val="22"/>
          <w:szCs w:val="22"/>
        </w:rPr>
        <w:t>Cetano</w:t>
      </w:r>
      <w:proofErr w:type="spellEnd"/>
      <w:r>
        <w:rPr>
          <w:rFonts w:asciiTheme="minorHAnsi" w:hAnsiTheme="minorHAnsi" w:cstheme="minorHAnsi"/>
          <w:sz w:val="22"/>
          <w:szCs w:val="22"/>
        </w:rPr>
        <w:t>: Se determinó un ajuste de 0.37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w:t>
      </w:r>
    </w:p>
    <w:p w14:paraId="12BDF94B" w14:textId="77777777" w:rsidR="00AF3F44" w:rsidRDefault="00AF3F44" w:rsidP="00AF3F44">
      <w:pPr>
        <w:ind w:left="426" w:hanging="426"/>
        <w:jc w:val="both"/>
        <w:rPr>
          <w:rFonts w:asciiTheme="minorHAnsi" w:hAnsiTheme="minorHAnsi" w:cstheme="minorHAnsi"/>
          <w:b/>
          <w:sz w:val="22"/>
          <w:szCs w:val="22"/>
          <w:u w:val="single"/>
        </w:rPr>
      </w:pPr>
    </w:p>
    <w:p w14:paraId="1D117409" w14:textId="77777777" w:rsidR="00AF3F44" w:rsidRDefault="00AF3F44" w:rsidP="00AF3F44">
      <w:pPr>
        <w:pStyle w:val="Prrafodelista"/>
        <w:numPr>
          <w:ilvl w:val="0"/>
          <w:numId w:val="22"/>
        </w:numPr>
        <w:ind w:left="426" w:hanging="426"/>
        <w:jc w:val="both"/>
        <w:rPr>
          <w:rFonts w:asciiTheme="minorHAnsi" w:hAnsiTheme="minorHAnsi" w:cstheme="minorHAnsi"/>
          <w:b/>
          <w:sz w:val="22"/>
          <w:szCs w:val="22"/>
          <w:u w:val="single"/>
        </w:rPr>
      </w:pPr>
      <w:r>
        <w:rPr>
          <w:rFonts w:asciiTheme="minorHAnsi" w:hAnsiTheme="minorHAnsi" w:cstheme="minorHAnsi"/>
          <w:b/>
          <w:sz w:val="22"/>
          <w:szCs w:val="22"/>
          <w:u w:val="single"/>
        </w:rPr>
        <w:t>Precio FOB de los Petróleos Industriales:</w:t>
      </w:r>
    </w:p>
    <w:p w14:paraId="419D432E" w14:textId="77777777" w:rsidR="00AF3F44" w:rsidRDefault="00AF3F44" w:rsidP="00AF3F44">
      <w:pPr>
        <w:ind w:left="426" w:hanging="426"/>
        <w:jc w:val="both"/>
        <w:rPr>
          <w:rFonts w:asciiTheme="minorHAnsi" w:hAnsiTheme="minorHAnsi" w:cstheme="minorHAnsi"/>
          <w:b/>
          <w:sz w:val="22"/>
          <w:szCs w:val="22"/>
          <w:u w:val="single"/>
        </w:rPr>
      </w:pPr>
    </w:p>
    <w:p w14:paraId="4927013F" w14:textId="77777777" w:rsidR="00AF3F44" w:rsidRDefault="00AF3F44" w:rsidP="00AF3F44">
      <w:pPr>
        <w:pStyle w:val="Prrafodelista"/>
        <w:numPr>
          <w:ilvl w:val="1"/>
          <w:numId w:val="23"/>
        </w:numPr>
        <w:ind w:left="851" w:hanging="426"/>
        <w:jc w:val="both"/>
        <w:rPr>
          <w:rFonts w:asciiTheme="minorHAnsi" w:hAnsiTheme="minorHAnsi" w:cstheme="minorHAnsi"/>
          <w:sz w:val="22"/>
          <w:szCs w:val="22"/>
        </w:rPr>
      </w:pPr>
      <w:r>
        <w:rPr>
          <w:rFonts w:asciiTheme="minorHAnsi" w:hAnsiTheme="minorHAnsi" w:cstheme="minorHAnsi"/>
          <w:b/>
          <w:sz w:val="22"/>
          <w:szCs w:val="22"/>
          <w:u w:val="single"/>
        </w:rPr>
        <w:t>Precio del Producto Marcador:</w:t>
      </w:r>
      <w:r>
        <w:rPr>
          <w:rFonts w:asciiTheme="minorHAnsi" w:hAnsiTheme="minorHAnsi" w:cstheme="minorHAnsi"/>
          <w:sz w:val="22"/>
          <w:szCs w:val="22"/>
        </w:rPr>
        <w:t xml:space="preserve"> Para el Residual 6 y Residual 500, se considera el precio </w:t>
      </w:r>
      <w:proofErr w:type="spellStart"/>
      <w:r>
        <w:rPr>
          <w:rFonts w:asciiTheme="minorHAnsi" w:hAnsiTheme="minorHAnsi" w:cstheme="minorHAnsi"/>
          <w:sz w:val="22"/>
          <w:szCs w:val="22"/>
        </w:rPr>
        <w:t>waterborne</w:t>
      </w:r>
      <w:proofErr w:type="spellEnd"/>
      <w:r>
        <w:rPr>
          <w:rFonts w:asciiTheme="minorHAnsi" w:hAnsiTheme="minorHAnsi" w:cstheme="minorHAnsi"/>
          <w:sz w:val="22"/>
          <w:szCs w:val="22"/>
        </w:rPr>
        <w:t xml:space="preserve"> del Fuel </w:t>
      </w:r>
      <w:proofErr w:type="spellStart"/>
      <w:r>
        <w:rPr>
          <w:rFonts w:asciiTheme="minorHAnsi" w:hAnsiTheme="minorHAnsi" w:cstheme="minorHAnsi"/>
          <w:sz w:val="22"/>
          <w:szCs w:val="22"/>
        </w:rPr>
        <w:t>Oil</w:t>
      </w:r>
      <w:proofErr w:type="spellEnd"/>
      <w:r>
        <w:rPr>
          <w:rFonts w:asciiTheme="minorHAnsi" w:hAnsiTheme="minorHAnsi" w:cstheme="minorHAnsi"/>
          <w:sz w:val="22"/>
          <w:szCs w:val="22"/>
        </w:rPr>
        <w:t xml:space="preserve"> N°6 con 3% S.</w:t>
      </w:r>
    </w:p>
    <w:p w14:paraId="786796F0" w14:textId="77777777" w:rsidR="00AF3F44" w:rsidRDefault="00AF3F44" w:rsidP="00AF3F44">
      <w:pPr>
        <w:pStyle w:val="Prrafodelista"/>
        <w:numPr>
          <w:ilvl w:val="1"/>
          <w:numId w:val="23"/>
        </w:numPr>
        <w:ind w:left="851" w:hanging="426"/>
        <w:jc w:val="both"/>
        <w:rPr>
          <w:rFonts w:asciiTheme="minorHAnsi" w:hAnsiTheme="minorHAnsi" w:cstheme="minorHAnsi"/>
          <w:sz w:val="22"/>
          <w:szCs w:val="22"/>
        </w:rPr>
      </w:pPr>
      <w:r>
        <w:rPr>
          <w:rFonts w:asciiTheme="minorHAnsi" w:hAnsiTheme="minorHAnsi" w:cstheme="minorHAnsi"/>
          <w:b/>
          <w:sz w:val="22"/>
          <w:szCs w:val="22"/>
        </w:rPr>
        <w:t>Ajuste de Calidad por Viscosidad</w:t>
      </w:r>
      <w:r>
        <w:rPr>
          <w:rFonts w:asciiTheme="minorHAnsi" w:hAnsiTheme="minorHAnsi" w:cstheme="minorHAnsi"/>
          <w:sz w:val="22"/>
          <w:szCs w:val="22"/>
        </w:rPr>
        <w:t>: Se determinó un ajuste de -1.00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 xml:space="preserve"> para el Petróleo Industrial 500.</w:t>
      </w:r>
    </w:p>
    <w:p w14:paraId="39167936" w14:textId="77777777" w:rsidR="00AF3F44" w:rsidRDefault="00AF3F44" w:rsidP="00AF3F44">
      <w:pPr>
        <w:pStyle w:val="Prrafodelista"/>
        <w:ind w:left="851"/>
        <w:jc w:val="both"/>
        <w:rPr>
          <w:rFonts w:asciiTheme="minorHAnsi" w:hAnsiTheme="minorHAnsi" w:cstheme="minorHAnsi"/>
          <w:sz w:val="22"/>
          <w:szCs w:val="22"/>
        </w:rPr>
      </w:pPr>
    </w:p>
    <w:p w14:paraId="117F1B95" w14:textId="2E34E88E" w:rsidR="00F85D23" w:rsidRPr="00B45C03" w:rsidRDefault="00AF3F44" w:rsidP="00AF3F44">
      <w:pPr>
        <w:pStyle w:val="Prrafodelista"/>
        <w:ind w:left="426"/>
        <w:jc w:val="both"/>
        <w:rPr>
          <w:rFonts w:asciiTheme="minorHAnsi" w:hAnsiTheme="minorHAnsi" w:cstheme="minorHAnsi"/>
          <w:sz w:val="22"/>
          <w:szCs w:val="22"/>
        </w:rPr>
      </w:pPr>
      <w:r>
        <w:rPr>
          <w:rFonts w:asciiTheme="minorHAnsi" w:hAnsiTheme="minorHAnsi" w:cstheme="minorHAnsi"/>
          <w:sz w:val="22"/>
          <w:szCs w:val="22"/>
        </w:rPr>
        <w:t>Los resultados del cálculo del Precio FOB y de los demás componentes que forman parte de los Precios de Referencia de Combustibles, se muestran en la Tabla N°1</w:t>
      </w:r>
      <w:r w:rsidR="007A4646" w:rsidRPr="006E3A77">
        <w:rPr>
          <w:rFonts w:asciiTheme="minorHAnsi" w:hAnsiTheme="minorHAnsi" w:cstheme="minorHAnsi"/>
          <w:sz w:val="22"/>
          <w:szCs w:val="22"/>
        </w:rPr>
        <w:t>.</w:t>
      </w:r>
    </w:p>
    <w:p w14:paraId="52F1DBA2" w14:textId="77777777" w:rsidR="00F85D23" w:rsidRDefault="00F85D23" w:rsidP="004F74EE">
      <w:pPr>
        <w:jc w:val="both"/>
        <w:rPr>
          <w:rFonts w:ascii="Arial" w:hAnsi="Arial" w:cs="Arial"/>
          <w:sz w:val="22"/>
          <w:szCs w:val="22"/>
          <w:u w:val="single"/>
          <w:lang w:eastAsia="en-US"/>
        </w:rPr>
      </w:pPr>
    </w:p>
    <w:p w14:paraId="260CC5BA" w14:textId="77777777" w:rsidR="00352B3A" w:rsidRDefault="00352B3A" w:rsidP="004F74EE">
      <w:pPr>
        <w:jc w:val="both"/>
        <w:rPr>
          <w:rFonts w:ascii="Arial" w:hAnsi="Arial" w:cs="Arial"/>
          <w:sz w:val="22"/>
          <w:szCs w:val="22"/>
          <w:u w:val="single"/>
          <w:lang w:eastAsia="en-US"/>
        </w:rPr>
      </w:pPr>
    </w:p>
    <w:p w14:paraId="49B933A4" w14:textId="77777777" w:rsidR="00352B3A" w:rsidRDefault="00352B3A" w:rsidP="004F74EE">
      <w:pPr>
        <w:jc w:val="both"/>
        <w:rPr>
          <w:rFonts w:ascii="Arial" w:hAnsi="Arial" w:cs="Arial"/>
          <w:sz w:val="22"/>
          <w:szCs w:val="22"/>
          <w:u w:val="single"/>
          <w:lang w:eastAsia="en-US"/>
        </w:rPr>
      </w:pPr>
    </w:p>
    <w:p w14:paraId="5451DFF8" w14:textId="530A35A7" w:rsidR="00352B3A" w:rsidRPr="00F85D23" w:rsidRDefault="00352B3A" w:rsidP="004F74EE">
      <w:pPr>
        <w:jc w:val="both"/>
        <w:rPr>
          <w:rFonts w:ascii="Arial" w:hAnsi="Arial" w:cs="Arial"/>
          <w:sz w:val="22"/>
          <w:szCs w:val="22"/>
          <w:u w:val="single"/>
          <w:lang w:eastAsia="en-US"/>
        </w:rPr>
        <w:sectPr w:rsidR="00352B3A" w:rsidRPr="00F85D23" w:rsidSect="002A50E6">
          <w:headerReference w:type="default" r:id="rId14"/>
          <w:footerReference w:type="default" r:id="rId15"/>
          <w:headerReference w:type="first" r:id="rId16"/>
          <w:footerReference w:type="first" r:id="rId17"/>
          <w:type w:val="continuous"/>
          <w:pgSz w:w="11907" w:h="16840" w:code="9"/>
          <w:pgMar w:top="1560" w:right="1559" w:bottom="1134"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756450E8" w:rsidR="004F74EE" w:rsidRDefault="00BB0B1F" w:rsidP="004F74EE">
      <w:pPr>
        <w:pBdr>
          <w:top w:val="single" w:sz="4" w:space="1" w:color="auto"/>
          <w:bottom w:val="single" w:sz="4" w:space="1" w:color="auto"/>
        </w:pBdr>
        <w:jc w:val="center"/>
        <w:rPr>
          <w:rFonts w:ascii="Calibri" w:hAnsi="Calibri" w:cs="Calibri"/>
          <w:sz w:val="22"/>
          <w:szCs w:val="22"/>
          <w:lang w:val="es-PE" w:eastAsia="en-US"/>
        </w:rPr>
      </w:pPr>
      <w:r>
        <w:rPr>
          <w:noProof/>
          <w:lang w:val="es-PE" w:eastAsia="es-PE"/>
        </w:rPr>
        <w:drawing>
          <wp:inline distT="0" distB="0" distL="0" distR="0" wp14:anchorId="2480DC47" wp14:editId="65293A40">
            <wp:extent cx="8173085" cy="295719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8"/>
                    <a:stretch>
                      <a:fillRect/>
                    </a:stretch>
                  </pic:blipFill>
                  <pic:spPr>
                    <a:xfrm>
                      <a:off x="0" y="0"/>
                      <a:ext cx="8173085" cy="2957195"/>
                    </a:xfrm>
                    <a:prstGeom prst="rect">
                      <a:avLst/>
                    </a:prstGeom>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5A1B8619"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 xml:space="preserve">sel , el ajuste de calidad por </w:t>
            </w:r>
            <w:proofErr w:type="spellStart"/>
            <w:r w:rsidR="00E33273">
              <w:rPr>
                <w:rFonts w:asciiTheme="minorHAnsi" w:hAnsiTheme="minorHAnsi" w:cstheme="minorHAnsi"/>
                <w:i/>
                <w:iCs/>
                <w:sz w:val="18"/>
                <w:szCs w:val="18"/>
                <w:lang w:val="es-MX" w:eastAsia="en-US"/>
              </w:rPr>
              <w:t>c</w:t>
            </w:r>
            <w:r w:rsidRPr="00352553">
              <w:rPr>
                <w:rFonts w:asciiTheme="minorHAnsi" w:hAnsiTheme="minorHAnsi" w:cstheme="minorHAnsi"/>
                <w:i/>
                <w:iCs/>
                <w:sz w:val="18"/>
                <w:szCs w:val="18"/>
                <w:lang w:val="es-MX" w:eastAsia="en-US"/>
              </w:rPr>
              <w:t>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6CF4620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(9) El Precio de Referencia del </w:t>
            </w:r>
            <w:proofErr w:type="spellStart"/>
            <w:r w:rsidRPr="00352553">
              <w:rPr>
                <w:rFonts w:asciiTheme="minorHAnsi" w:hAnsiTheme="minorHAnsi" w:cstheme="minorHAnsi"/>
                <w:i/>
                <w:iCs/>
                <w:sz w:val="18"/>
                <w:szCs w:val="18"/>
                <w:lang w:val="es-MX" w:eastAsia="en-US"/>
              </w:rPr>
              <w:t>Diesel</w:t>
            </w:r>
            <w:proofErr w:type="spellEnd"/>
            <w:r w:rsidRPr="00352553">
              <w:rPr>
                <w:rFonts w:asciiTheme="minorHAnsi" w:hAnsiTheme="minorHAnsi" w:cstheme="minorHAnsi"/>
                <w:i/>
                <w:iCs/>
                <w:sz w:val="18"/>
                <w:szCs w:val="18"/>
                <w:lang w:val="es-MX" w:eastAsia="en-US"/>
              </w:rPr>
              <w:t xml:space="preserve">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52B3A">
          <w:footerReference w:type="default" r:id="rId19"/>
          <w:headerReference w:type="first" r:id="rId20"/>
          <w:type w:val="nextColumn"/>
          <w:pgSz w:w="16840" w:h="11907" w:orient="landscape" w:code="9"/>
          <w:pgMar w:top="1843" w:right="2268" w:bottom="1276"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7010D">
        <w:trPr>
          <w:trHeight w:val="5052"/>
        </w:trPr>
        <w:tc>
          <w:tcPr>
            <w:tcW w:w="5693" w:type="dxa"/>
            <w:tcBorders>
              <w:top w:val="single" w:sz="4" w:space="0" w:color="auto"/>
              <w:bottom w:val="single" w:sz="4" w:space="0" w:color="auto"/>
            </w:tcBorders>
            <w:shd w:val="clear" w:color="auto" w:fill="auto"/>
          </w:tcPr>
          <w:p w14:paraId="5FE1CE67" w14:textId="4AE28C1C" w:rsidR="00F85D23" w:rsidRPr="002B3648" w:rsidRDefault="00BB0B1F" w:rsidP="00FB4E04">
            <w:pPr>
              <w:ind w:left="-618" w:right="-654"/>
              <w:jc w:val="center"/>
              <w:rPr>
                <w:rFonts w:asciiTheme="minorHAnsi" w:hAnsiTheme="minorHAnsi" w:cstheme="minorHAnsi"/>
              </w:rPr>
            </w:pPr>
            <w:r>
              <w:rPr>
                <w:noProof/>
                <w:lang w:val="es-PE" w:eastAsia="es-PE"/>
              </w:rPr>
              <w:drawing>
                <wp:inline distT="0" distB="0" distL="0" distR="0" wp14:anchorId="7025EB01" wp14:editId="79B58796">
                  <wp:extent cx="3526155" cy="2926080"/>
                  <wp:effectExtent l="0" t="0" r="0" b="7620"/>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21"/>
                          <a:stretch>
                            <a:fillRect/>
                          </a:stretch>
                        </pic:blipFill>
                        <pic:spPr>
                          <a:xfrm>
                            <a:off x="0" y="0"/>
                            <a:ext cx="3526155" cy="2926080"/>
                          </a:xfrm>
                          <a:prstGeom prst="rect">
                            <a:avLst/>
                          </a:prstGeom>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F7010D">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1D55C2E8" w:rsidR="00EF5671" w:rsidRPr="00CE793E" w:rsidRDefault="00BB0B1F" w:rsidP="00FB4E04">
            <w:pPr>
              <w:ind w:left="-634" w:right="-654"/>
              <w:jc w:val="center"/>
              <w:rPr>
                <w:rFonts w:asciiTheme="minorHAnsi" w:hAnsiTheme="minorHAnsi" w:cstheme="minorHAnsi"/>
                <w:lang w:val="es-MX"/>
              </w:rPr>
            </w:pPr>
            <w:r>
              <w:rPr>
                <w:noProof/>
                <w:lang w:val="es-PE" w:eastAsia="es-PE"/>
              </w:rPr>
              <w:drawing>
                <wp:inline distT="0" distB="0" distL="0" distR="0" wp14:anchorId="7E22F14E" wp14:editId="1D9031ED">
                  <wp:extent cx="5211445" cy="2138680"/>
                  <wp:effectExtent l="0" t="0" r="8255"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2"/>
                          <a:stretch>
                            <a:fillRect/>
                          </a:stretch>
                        </pic:blipFill>
                        <pic:spPr>
                          <a:xfrm>
                            <a:off x="0" y="0"/>
                            <a:ext cx="5211445" cy="2138680"/>
                          </a:xfrm>
                          <a:prstGeom prst="rect">
                            <a:avLst/>
                          </a:prstGeom>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109357E1" w:rsidR="000A6BC2" w:rsidRPr="00737F8F" w:rsidRDefault="00BB0B1F"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Pr>
          <w:noProof/>
          <w:lang w:val="es-PE" w:eastAsia="es-PE"/>
        </w:rPr>
        <w:drawing>
          <wp:inline distT="0" distB="0" distL="0" distR="0" wp14:anchorId="7F9F0A2F" wp14:editId="135696CD">
            <wp:extent cx="5638800" cy="2176145"/>
            <wp:effectExtent l="0" t="0" r="0" b="0"/>
            <wp:docPr id="14" name="Picture 14" descr="Table&#10;&#10;Description automatically generated"/>
            <wp:cNvGraphicFramePr/>
            <a:graphic xmlns:a="http://schemas.openxmlformats.org/drawingml/2006/main">
              <a:graphicData uri="http://schemas.openxmlformats.org/drawingml/2006/picture">
                <pic:pic xmlns:pic="http://schemas.openxmlformats.org/drawingml/2006/picture">
                  <pic:nvPicPr>
                    <pic:cNvPr id="14" name="Picture 14" descr="Table&#10;&#10;Description automatically generated"/>
                    <pic:cNvPicPr/>
                  </pic:nvPicPr>
                  <pic:blipFill>
                    <a:blip r:embed="rId23"/>
                    <a:stretch>
                      <a:fillRect/>
                    </a:stretch>
                  </pic:blipFill>
                  <pic:spPr>
                    <a:xfrm>
                      <a:off x="0" y="0"/>
                      <a:ext cx="5638800" cy="2176145"/>
                    </a:xfrm>
                    <a:prstGeom prst="rect">
                      <a:avLst/>
                    </a:prstGeom>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6E84805C" w14:textId="4F2E89DE" w:rsidR="005C4A97" w:rsidRDefault="00BB0B1F" w:rsidP="00604758">
      <w:pPr>
        <w:spacing w:line="0" w:lineRule="atLeast"/>
        <w:ind w:right="-567"/>
        <w:jc w:val="both"/>
        <w:rPr>
          <w:rFonts w:asciiTheme="minorHAnsi" w:hAnsiTheme="minorHAnsi" w:cstheme="minorHAnsi"/>
          <w:i/>
          <w:sz w:val="18"/>
          <w:szCs w:val="18"/>
        </w:rPr>
      </w:pPr>
      <w:r>
        <w:rPr>
          <w:noProof/>
          <w:lang w:val="es-PE" w:eastAsia="es-PE"/>
        </w:rPr>
        <w:drawing>
          <wp:inline distT="0" distB="0" distL="0" distR="0" wp14:anchorId="476BEAD5" wp14:editId="3950E22D">
            <wp:extent cx="5841629" cy="2424022"/>
            <wp:effectExtent l="0" t="0" r="6985" b="0"/>
            <wp:docPr id="27" name="Picture 27" descr="Graphical user interface, chart&#10;&#10;Description automatically generated"/>
            <wp:cNvGraphicFramePr/>
            <a:graphic xmlns:a="http://schemas.openxmlformats.org/drawingml/2006/main">
              <a:graphicData uri="http://schemas.openxmlformats.org/drawingml/2006/picture">
                <pic:pic xmlns:pic="http://schemas.openxmlformats.org/drawingml/2006/picture">
                  <pic:nvPicPr>
                    <pic:cNvPr id="27" name="Picture 27" descr="Graphical user interface, chart&#10;&#10;Description automatically generated"/>
                    <pic:cNvPicPr/>
                  </pic:nvPicPr>
                  <pic:blipFill>
                    <a:blip r:embed="rId24"/>
                    <a:stretch>
                      <a:fillRect/>
                    </a:stretch>
                  </pic:blipFill>
                  <pic:spPr>
                    <a:xfrm>
                      <a:off x="0" y="0"/>
                      <a:ext cx="5856232" cy="2430082"/>
                    </a:xfrm>
                    <a:prstGeom prst="rect">
                      <a:avLst/>
                    </a:prstGeom>
                  </pic:spPr>
                </pic:pic>
              </a:graphicData>
            </a:graphic>
          </wp:inline>
        </w:drawing>
      </w:r>
    </w:p>
    <w:p w14:paraId="6C3D2D4D" w14:textId="1027E1CA" w:rsidR="00475D7F" w:rsidRPr="002B3648" w:rsidRDefault="00946505" w:rsidP="006220EA">
      <w:pPr>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01FFC1C3" w14:textId="77777777" w:rsidR="008D40C4" w:rsidRDefault="00DC168B" w:rsidP="006220EA">
      <w:pPr>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4BB900C6" w14:textId="150F1552" w:rsidR="007B04A3" w:rsidRPr="00C2751F" w:rsidRDefault="00BB0B1F" w:rsidP="00C2751F">
      <w:pPr>
        <w:spacing w:line="0" w:lineRule="atLeast"/>
        <w:ind w:right="-567"/>
        <w:jc w:val="both"/>
        <w:rPr>
          <w:noProof/>
          <w:lang w:val="es-PE" w:eastAsia="es-PE"/>
        </w:rPr>
      </w:pPr>
      <w:r>
        <w:rPr>
          <w:noProof/>
          <w:lang w:val="es-PE" w:eastAsia="es-PE"/>
        </w:rPr>
        <w:drawing>
          <wp:inline distT="0" distB="0" distL="0" distR="0" wp14:anchorId="7EB1A5AE" wp14:editId="64744E65">
            <wp:extent cx="5850255" cy="7487728"/>
            <wp:effectExtent l="0" t="0" r="0" b="0"/>
            <wp:docPr id="3" name="Imagen 3"/>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51412" cy="7489209"/>
                    </a:xfrm>
                    <a:prstGeom prst="rect">
                      <a:avLst/>
                    </a:prstGeom>
                    <a:noFill/>
                    <a:ln>
                      <a:noFill/>
                    </a:ln>
                  </pic:spPr>
                </pic:pic>
              </a:graphicData>
            </a:graphic>
          </wp:inline>
        </w:drawing>
      </w:r>
    </w:p>
    <w:p w14:paraId="6E7D3449" w14:textId="77777777" w:rsidR="00C80F8A" w:rsidRPr="00C2751F" w:rsidRDefault="00DC168B" w:rsidP="00C2751F">
      <w:pPr>
        <w:jc w:val="both"/>
        <w:rPr>
          <w:rFonts w:asciiTheme="minorHAnsi" w:hAnsiTheme="minorHAnsi" w:cstheme="minorHAnsi"/>
          <w:i/>
          <w:iCs/>
          <w:sz w:val="16"/>
          <w:szCs w:val="16"/>
        </w:rPr>
      </w:pPr>
      <w:r w:rsidRPr="00DC168B">
        <w:rPr>
          <w:rFonts w:asciiTheme="minorHAnsi" w:hAnsiTheme="minorHAnsi" w:cstheme="minorHAnsi"/>
          <w:i/>
          <w:iCs/>
          <w:sz w:val="16"/>
          <w:szCs w:val="16"/>
        </w:rPr>
        <w:t xml:space="preserve"> </w:t>
      </w:r>
      <w:r w:rsidR="0022589A">
        <w:rPr>
          <w:rFonts w:asciiTheme="minorHAnsi" w:hAnsiTheme="minorHAnsi" w:cstheme="minorHAnsi"/>
          <w:i/>
          <w:iCs/>
          <w:sz w:val="16"/>
          <w:szCs w:val="16"/>
        </w:rPr>
        <w:t xml:space="preserve">   </w:t>
      </w:r>
      <w:r w:rsidRPr="002B3648">
        <w:rPr>
          <w:rFonts w:asciiTheme="minorHAnsi" w:hAnsiTheme="minorHAnsi" w:cstheme="minorHAnsi"/>
          <w:i/>
          <w:iCs/>
          <w:sz w:val="16"/>
          <w:szCs w:val="16"/>
        </w:rPr>
        <w:t>Fuente</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034F5B">
        <w:rPr>
          <w:rFonts w:asciiTheme="minorHAnsi" w:hAnsiTheme="minorHAnsi" w:cstheme="minorHAnsi"/>
          <w:i/>
          <w:iCs/>
          <w:sz w:val="16"/>
          <w:szCs w:val="16"/>
        </w:rPr>
        <w:t xml:space="preserve"> </w:t>
      </w:r>
      <w:r w:rsidR="009011EA">
        <w:rPr>
          <w:rFonts w:asciiTheme="minorHAnsi" w:hAnsiTheme="minorHAnsi" w:cstheme="minorHAnsi"/>
          <w:i/>
          <w:iCs/>
          <w:sz w:val="16"/>
          <w:szCs w:val="16"/>
        </w:rPr>
        <w:t>y Petroperú</w:t>
      </w:r>
    </w:p>
    <w:p w14:paraId="1667552F" w14:textId="298AC37A" w:rsidR="00C80F8A" w:rsidRDefault="00C80F8A" w:rsidP="00C2751F">
      <w:pPr>
        <w:jc w:val="both"/>
        <w:rPr>
          <w:rFonts w:asciiTheme="minorHAnsi" w:hAnsiTheme="minorHAnsi" w:cstheme="minorHAnsi"/>
          <w:i/>
          <w:iCs/>
          <w:sz w:val="16"/>
          <w:szCs w:val="16"/>
        </w:rPr>
      </w:pPr>
    </w:p>
    <w:p w14:paraId="4B79F497" w14:textId="77777777" w:rsidR="00C80F8A" w:rsidRDefault="00C80F8A" w:rsidP="00C2751F">
      <w:pPr>
        <w:jc w:val="both"/>
        <w:rPr>
          <w:rFonts w:asciiTheme="minorHAnsi" w:hAnsiTheme="minorHAnsi" w:cstheme="minorHAnsi"/>
          <w:i/>
          <w:iCs/>
          <w:sz w:val="16"/>
          <w:szCs w:val="16"/>
        </w:rPr>
      </w:pPr>
    </w:p>
    <w:p w14:paraId="2B78D4FE" w14:textId="290F6DFB" w:rsidR="00C80F8A" w:rsidRPr="00C2751F" w:rsidRDefault="00C2751F" w:rsidP="00C2751F">
      <w:pPr>
        <w:jc w:val="both"/>
        <w:rPr>
          <w:rFonts w:asciiTheme="minorHAnsi" w:hAnsiTheme="minorHAnsi" w:cstheme="minorHAnsi"/>
          <w:i/>
          <w:iCs/>
          <w:sz w:val="16"/>
          <w:szCs w:val="16"/>
        </w:rPr>
      </w:pPr>
      <w:r>
        <w:rPr>
          <w:rFonts w:asciiTheme="minorHAnsi" w:hAnsiTheme="minorHAnsi" w:cstheme="minorHAnsi"/>
          <w:i/>
          <w:iCs/>
          <w:sz w:val="16"/>
          <w:szCs w:val="16"/>
        </w:rPr>
        <w:t xml:space="preserve"> </w:t>
      </w:r>
      <w:r w:rsidR="00C80F8A" w:rsidRPr="00C2751F">
        <w:rPr>
          <w:rFonts w:asciiTheme="minorHAnsi" w:hAnsiTheme="minorHAnsi" w:cstheme="minorHAnsi"/>
          <w:i/>
          <w:iCs/>
          <w:sz w:val="16"/>
          <w:szCs w:val="16"/>
        </w:rPr>
        <w:t>MMC / MMT / ASC</w:t>
      </w:r>
    </w:p>
    <w:p w14:paraId="094AB2C7" w14:textId="77777777" w:rsidR="00C80F8A" w:rsidRDefault="00C80F8A" w:rsidP="00C2751F">
      <w:pPr>
        <w:jc w:val="both"/>
        <w:rPr>
          <w:rFonts w:asciiTheme="minorHAnsi" w:hAnsiTheme="minorHAnsi" w:cstheme="minorHAnsi"/>
          <w:i/>
          <w:iCs/>
          <w:sz w:val="16"/>
          <w:szCs w:val="16"/>
        </w:rPr>
      </w:pPr>
    </w:p>
    <w:p w14:paraId="57C88BDA" w14:textId="77777777" w:rsidR="00C80F8A" w:rsidRDefault="00C80F8A" w:rsidP="00550489">
      <w:pPr>
        <w:pStyle w:val="xl37"/>
        <w:spacing w:before="0" w:beforeAutospacing="0" w:after="0" w:afterAutospacing="0"/>
        <w:ind w:left="-851"/>
        <w:rPr>
          <w:rFonts w:asciiTheme="minorHAnsi" w:hAnsiTheme="minorHAnsi" w:cstheme="minorHAnsi"/>
          <w:i/>
          <w:iCs/>
          <w:sz w:val="16"/>
          <w:szCs w:val="16"/>
        </w:rPr>
      </w:pPr>
    </w:p>
    <w:p w14:paraId="00F47A69" w14:textId="4CB85CAF" w:rsidR="00DB4BFD" w:rsidRDefault="00DB4BFD" w:rsidP="00550489">
      <w:pPr>
        <w:pStyle w:val="xl37"/>
        <w:spacing w:before="0" w:beforeAutospacing="0" w:after="0" w:afterAutospacing="0"/>
        <w:ind w:left="-851"/>
        <w:rPr>
          <w:rFonts w:asciiTheme="minorHAnsi" w:hAnsiTheme="minorHAnsi" w:cstheme="minorHAnsi"/>
          <w:b w:val="0"/>
          <w:i/>
          <w:iCs/>
          <w:sz w:val="16"/>
          <w:szCs w:val="16"/>
        </w:rPr>
      </w:pPr>
      <w:r>
        <w:rPr>
          <w:rFonts w:asciiTheme="minorHAnsi" w:hAnsiTheme="minorHAnsi" w:cstheme="minorHAnsi"/>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5"/>
      </w:r>
    </w:p>
    <w:p w14:paraId="1A959533" w14:textId="77777777" w:rsidR="00214BFB" w:rsidRDefault="00214BFB" w:rsidP="00214BFB">
      <w:pPr>
        <w:jc w:val="both"/>
        <w:rPr>
          <w:rFonts w:asciiTheme="minorHAnsi" w:hAnsiTheme="minorHAnsi" w:cstheme="minorHAnsi"/>
          <w:sz w:val="22"/>
          <w:szCs w:val="22"/>
        </w:rPr>
      </w:pPr>
    </w:p>
    <w:p w14:paraId="31252B3F" w14:textId="7E4C55AD" w:rsidR="009D445C" w:rsidRDefault="00BB0B1F" w:rsidP="00214BFB">
      <w:pPr>
        <w:jc w:val="center"/>
        <w:rPr>
          <w:rFonts w:asciiTheme="minorHAnsi" w:hAnsiTheme="minorHAnsi" w:cstheme="minorHAnsi"/>
          <w:sz w:val="22"/>
          <w:szCs w:val="22"/>
        </w:rPr>
      </w:pPr>
      <w:r>
        <w:rPr>
          <w:noProof/>
          <w:lang w:val="es-PE" w:eastAsia="es-PE"/>
        </w:rPr>
        <w:drawing>
          <wp:inline distT="0" distB="0" distL="0" distR="0" wp14:anchorId="517FD31B" wp14:editId="2FD2A1C7">
            <wp:extent cx="4560570" cy="2434590"/>
            <wp:effectExtent l="19050" t="19050" r="11430" b="22860"/>
            <wp:docPr id="31" name="Picture 31" descr="U.S. crude oil stocks graph"/>
            <wp:cNvGraphicFramePr/>
            <a:graphic xmlns:a="http://schemas.openxmlformats.org/drawingml/2006/main">
              <a:graphicData uri="http://schemas.openxmlformats.org/drawingml/2006/picture">
                <pic:pic xmlns:pic="http://schemas.openxmlformats.org/drawingml/2006/picture">
                  <pic:nvPicPr>
                    <pic:cNvPr id="31" name="Picture 31" descr="U.S. crude oil stocks graph"/>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60570" cy="2434590"/>
                    </a:xfrm>
                    <a:prstGeom prst="rect">
                      <a:avLst/>
                    </a:prstGeom>
                    <a:noFill/>
                    <a:ln>
                      <a:solidFill>
                        <a:schemeClr val="accent1"/>
                      </a:solidFill>
                    </a:ln>
                  </pic:spPr>
                </pic:pic>
              </a:graphicData>
            </a:graphic>
          </wp:inline>
        </w:drawing>
      </w:r>
    </w:p>
    <w:p w14:paraId="0E4C4954" w14:textId="2612F7B7" w:rsidR="00243B98" w:rsidRDefault="00243B98" w:rsidP="00214BFB">
      <w:pPr>
        <w:jc w:val="center"/>
        <w:rPr>
          <w:rFonts w:asciiTheme="minorHAnsi" w:hAnsiTheme="minorHAnsi" w:cstheme="minorHAnsi"/>
          <w:sz w:val="22"/>
          <w:szCs w:val="22"/>
        </w:rPr>
      </w:pPr>
    </w:p>
    <w:p w14:paraId="40B5F734" w14:textId="190D274F" w:rsidR="00243B98" w:rsidRDefault="00BB0B1F" w:rsidP="00214BFB">
      <w:pPr>
        <w:jc w:val="center"/>
        <w:rPr>
          <w:rFonts w:asciiTheme="minorHAnsi" w:hAnsiTheme="minorHAnsi" w:cstheme="minorHAnsi"/>
          <w:sz w:val="22"/>
          <w:szCs w:val="22"/>
        </w:rPr>
      </w:pPr>
      <w:r>
        <w:rPr>
          <w:noProof/>
          <w:lang w:val="es-PE" w:eastAsia="es-PE"/>
        </w:rPr>
        <w:drawing>
          <wp:inline distT="0" distB="0" distL="0" distR="0" wp14:anchorId="28A9CA15" wp14:editId="14BA4CF1">
            <wp:extent cx="4522470" cy="2414905"/>
            <wp:effectExtent l="19050" t="19050" r="11430" b="23495"/>
            <wp:docPr id="32" name="Picture 32" descr="U.S. gasoline stocks graph"/>
            <wp:cNvGraphicFramePr/>
            <a:graphic xmlns:a="http://schemas.openxmlformats.org/drawingml/2006/main">
              <a:graphicData uri="http://schemas.openxmlformats.org/drawingml/2006/picture">
                <pic:pic xmlns:pic="http://schemas.openxmlformats.org/drawingml/2006/picture">
                  <pic:nvPicPr>
                    <pic:cNvPr id="32" name="Picture 32" descr="U.S. gasoline stocks graph"/>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22470" cy="2414905"/>
                    </a:xfrm>
                    <a:prstGeom prst="rect">
                      <a:avLst/>
                    </a:prstGeom>
                    <a:noFill/>
                    <a:ln>
                      <a:solidFill>
                        <a:schemeClr val="accent1"/>
                      </a:solidFill>
                    </a:ln>
                  </pic:spPr>
                </pic:pic>
              </a:graphicData>
            </a:graphic>
          </wp:inline>
        </w:drawing>
      </w:r>
    </w:p>
    <w:p w14:paraId="105484E7" w14:textId="433F83E1" w:rsidR="00536E42" w:rsidRDefault="00536E42" w:rsidP="00214BFB">
      <w:pPr>
        <w:jc w:val="center"/>
        <w:rPr>
          <w:rFonts w:asciiTheme="minorHAnsi" w:hAnsiTheme="minorHAnsi" w:cstheme="minorHAnsi"/>
          <w:sz w:val="22"/>
          <w:szCs w:val="22"/>
        </w:rPr>
      </w:pPr>
    </w:p>
    <w:p w14:paraId="76B31578" w14:textId="56D10C08" w:rsidR="00536E42" w:rsidRDefault="00BB0B1F" w:rsidP="00214BFB">
      <w:pPr>
        <w:jc w:val="center"/>
        <w:rPr>
          <w:rFonts w:asciiTheme="minorHAnsi" w:hAnsiTheme="minorHAnsi" w:cstheme="minorHAnsi"/>
          <w:sz w:val="22"/>
          <w:szCs w:val="22"/>
        </w:rPr>
      </w:pPr>
      <w:r>
        <w:rPr>
          <w:noProof/>
          <w:lang w:val="es-PE" w:eastAsia="es-PE"/>
        </w:rPr>
        <w:drawing>
          <wp:inline distT="0" distB="0" distL="0" distR="0" wp14:anchorId="2CC760A8" wp14:editId="77D3C706">
            <wp:extent cx="4580890" cy="2446020"/>
            <wp:effectExtent l="19050" t="19050" r="10160" b="11430"/>
            <wp:docPr id="33" name="Picture 33" descr="U.S. distillate stocks graph"/>
            <wp:cNvGraphicFramePr/>
            <a:graphic xmlns:a="http://schemas.openxmlformats.org/drawingml/2006/main">
              <a:graphicData uri="http://schemas.openxmlformats.org/drawingml/2006/picture">
                <pic:pic xmlns:pic="http://schemas.openxmlformats.org/drawingml/2006/picture">
                  <pic:nvPicPr>
                    <pic:cNvPr id="33" name="Picture 33" descr="U.S. distillate stocks graph"/>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80890" cy="2446020"/>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5BD38C01" w:rsidR="005932D3" w:rsidRDefault="00BB0B1F" w:rsidP="00214BFB">
      <w:pPr>
        <w:jc w:val="center"/>
        <w:rPr>
          <w:rFonts w:asciiTheme="minorHAnsi" w:hAnsiTheme="minorHAnsi" w:cstheme="minorHAnsi"/>
          <w:sz w:val="22"/>
          <w:szCs w:val="22"/>
        </w:rPr>
      </w:pPr>
      <w:r>
        <w:rPr>
          <w:noProof/>
          <w:lang w:val="es-PE" w:eastAsia="es-PE"/>
        </w:rPr>
        <w:drawing>
          <wp:inline distT="0" distB="0" distL="0" distR="0" wp14:anchorId="5DAEFB85" wp14:editId="1CF41282">
            <wp:extent cx="4502150" cy="2403475"/>
            <wp:effectExtent l="19050" t="19050" r="12700" b="15875"/>
            <wp:docPr id="2" name="Picture 2" descr="U.S. propane/propylene stocks graph"/>
            <wp:cNvGraphicFramePr/>
            <a:graphic xmlns:a="http://schemas.openxmlformats.org/drawingml/2006/main">
              <a:graphicData uri="http://schemas.openxmlformats.org/drawingml/2006/picture">
                <pic:pic xmlns:pic="http://schemas.openxmlformats.org/drawingml/2006/picture">
                  <pic:nvPicPr>
                    <pic:cNvPr id="2" name="Picture 2" descr="U.S. propane/propylene stocks graph"/>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02150" cy="2403475"/>
                    </a:xfrm>
                    <a:prstGeom prst="rect">
                      <a:avLst/>
                    </a:prstGeom>
                    <a:noFill/>
                    <a:ln>
                      <a:solidFill>
                        <a:schemeClr val="accent1"/>
                      </a:solidFill>
                    </a:ln>
                  </pic:spPr>
                </pic:pic>
              </a:graphicData>
            </a:graphic>
          </wp:inline>
        </w:drawing>
      </w:r>
    </w:p>
    <w:p w14:paraId="3F332F86" w14:textId="25B4D9B7" w:rsidR="00352B3A" w:rsidRDefault="00352B3A" w:rsidP="00AF2226">
      <w:pPr>
        <w:ind w:left="993"/>
        <w:jc w:val="both"/>
        <w:rPr>
          <w:rFonts w:asciiTheme="minorHAnsi" w:hAnsiTheme="minorHAnsi" w:cstheme="minorHAnsi"/>
          <w:b/>
          <w:bCs/>
          <w:i/>
          <w:iCs/>
          <w:sz w:val="16"/>
          <w:szCs w:val="16"/>
        </w:rPr>
      </w:pPr>
    </w:p>
    <w:p w14:paraId="524B68A0" w14:textId="77777777" w:rsidR="00352B3A" w:rsidRDefault="00352B3A" w:rsidP="00AF2226">
      <w:pPr>
        <w:ind w:left="993"/>
        <w:jc w:val="both"/>
        <w:rPr>
          <w:rFonts w:asciiTheme="minorHAnsi" w:hAnsiTheme="minorHAnsi" w:cstheme="minorHAnsi"/>
          <w:b/>
          <w:bCs/>
          <w:i/>
          <w:iCs/>
          <w:sz w:val="16"/>
          <w:szCs w:val="16"/>
        </w:rPr>
      </w:pPr>
    </w:p>
    <w:p w14:paraId="53A6F8F3" w14:textId="77777777" w:rsidR="00352B3A" w:rsidRDefault="00352B3A" w:rsidP="00AF2226">
      <w:pPr>
        <w:ind w:left="993"/>
        <w:jc w:val="both"/>
        <w:rPr>
          <w:rFonts w:asciiTheme="minorHAnsi" w:hAnsiTheme="minorHAnsi" w:cstheme="minorHAnsi"/>
          <w:b/>
          <w:bCs/>
          <w:i/>
          <w:iCs/>
          <w:sz w:val="16"/>
          <w:szCs w:val="16"/>
        </w:rPr>
      </w:pPr>
    </w:p>
    <w:p w14:paraId="46A4838E" w14:textId="77777777" w:rsidR="00352B3A" w:rsidRDefault="00352B3A" w:rsidP="00AF2226">
      <w:pPr>
        <w:ind w:left="993"/>
        <w:jc w:val="both"/>
        <w:rPr>
          <w:rFonts w:asciiTheme="minorHAnsi" w:hAnsiTheme="minorHAnsi" w:cstheme="minorHAnsi"/>
          <w:b/>
          <w:bCs/>
          <w:i/>
          <w:iCs/>
          <w:sz w:val="16"/>
          <w:szCs w:val="16"/>
        </w:rPr>
      </w:pPr>
    </w:p>
    <w:p w14:paraId="2F148D3D" w14:textId="77777777" w:rsidR="00352B3A" w:rsidRDefault="00352B3A" w:rsidP="00AF2226">
      <w:pPr>
        <w:ind w:left="993"/>
        <w:jc w:val="both"/>
        <w:rPr>
          <w:rFonts w:asciiTheme="minorHAnsi" w:hAnsiTheme="minorHAnsi" w:cstheme="minorHAnsi"/>
          <w:b/>
          <w:bCs/>
          <w:i/>
          <w:iCs/>
          <w:sz w:val="16"/>
          <w:szCs w:val="16"/>
        </w:rPr>
      </w:pP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7A61CEAE" w:rsidR="006D325E" w:rsidRDefault="006D325E" w:rsidP="00C5246D">
      <w:pPr>
        <w:jc w:val="cente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270A34D0" w:rsidR="008F7A15" w:rsidRDefault="008F7A15">
      <w:pPr>
        <w:rPr>
          <w:rFonts w:asciiTheme="minorHAnsi" w:hAnsiTheme="minorHAnsi" w:cstheme="minorHAnsi"/>
          <w:b/>
          <w:iCs/>
          <w:u w:val="single"/>
        </w:rPr>
      </w:pPr>
      <w:r>
        <w:rPr>
          <w:rFonts w:asciiTheme="minorHAnsi" w:hAnsiTheme="minorHAnsi" w:cstheme="minorHAnsi"/>
          <w:b/>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bookmarkStart w:id="3" w:name="_GoBack"/>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0255" cy="3219450"/>
                    </a:xfrm>
                    <a:prstGeom prst="rect">
                      <a:avLst/>
                    </a:prstGeom>
                  </pic:spPr>
                </pic:pic>
              </a:graphicData>
            </a:graphic>
          </wp:inline>
        </w:drawing>
      </w:r>
      <w:bookmarkEnd w:id="3"/>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BB0B1F" w:rsidP="00CA3C87">
      <w:pPr>
        <w:rPr>
          <w:rFonts w:asciiTheme="minorHAnsi" w:hAnsiTheme="minorHAnsi" w:cstheme="minorHAnsi"/>
          <w:b/>
          <w:bCs/>
          <w:i/>
          <w:iCs/>
          <w:sz w:val="16"/>
          <w:szCs w:val="16"/>
        </w:rPr>
      </w:pPr>
      <w:hyperlink r:id="rId32"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352B3A">
      <w:headerReference w:type="default" r:id="rId33"/>
      <w:footerReference w:type="default" r:id="rId34"/>
      <w:type w:val="continuous"/>
      <w:pgSz w:w="11907" w:h="16839" w:code="9"/>
      <w:pgMar w:top="1760" w:right="1134" w:bottom="851"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0851B" w14:textId="77777777" w:rsidR="005D35A5" w:rsidRDefault="005D35A5" w:rsidP="006502B5">
      <w:r>
        <w:separator/>
      </w:r>
    </w:p>
  </w:endnote>
  <w:endnote w:type="continuationSeparator" w:id="0">
    <w:p w14:paraId="485BDBC3" w14:textId="77777777" w:rsidR="005D35A5" w:rsidRDefault="005D35A5"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662666A5"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BB0B1F">
          <w:rPr>
            <w:rFonts w:asciiTheme="minorHAnsi" w:hAnsiTheme="minorHAnsi" w:cstheme="minorHAnsi"/>
            <w:b/>
            <w:noProof/>
            <w:color w:val="002060"/>
          </w:rPr>
          <w:t>8</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38B486AA"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BB0B1F">
          <w:rPr>
            <w:rFonts w:asciiTheme="minorHAnsi" w:hAnsiTheme="minorHAnsi" w:cstheme="minorHAnsi"/>
            <w:b/>
            <w:noProof/>
            <w:color w:val="002060"/>
          </w:rPr>
          <w:t>9</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71C89AF2"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BB0B1F">
          <w:rPr>
            <w:rFonts w:asciiTheme="minorHAnsi" w:hAnsiTheme="minorHAnsi" w:cstheme="minorHAnsi"/>
            <w:b/>
            <w:noProof/>
            <w:color w:val="002060"/>
            <w:lang w:val="en-US"/>
          </w:rPr>
          <w:t>15</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A38D1" w14:textId="77777777" w:rsidR="005D35A5" w:rsidRDefault="005D35A5" w:rsidP="006502B5">
      <w:r>
        <w:separator/>
      </w:r>
    </w:p>
  </w:footnote>
  <w:footnote w:type="continuationSeparator" w:id="0">
    <w:p w14:paraId="1D118DD4" w14:textId="77777777" w:rsidR="005D35A5" w:rsidRDefault="005D35A5"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5E4FDEEB" w14:textId="77777777" w:rsidR="00AF3F44" w:rsidRDefault="00AF3F44" w:rsidP="00AF3F44">
      <w:pPr>
        <w:pStyle w:val="Textonotapie"/>
        <w:rPr>
          <w:rFonts w:asciiTheme="minorHAnsi" w:hAnsiTheme="minorHAnsi" w:cstheme="minorHAnsi"/>
          <w:i/>
          <w:sz w:val="18"/>
          <w:szCs w:val="18"/>
        </w:rPr>
      </w:pPr>
      <w:r>
        <w:rPr>
          <w:rStyle w:val="Refdenotaalpie"/>
        </w:rPr>
        <w:footnoteRef/>
      </w:r>
      <w:r>
        <w:rPr>
          <w:rFonts w:asciiTheme="minorHAnsi" w:hAnsiTheme="minorHAnsi" w:cstheme="minorHAnsi"/>
          <w:i/>
          <w:sz w:val="18"/>
          <w:szCs w:val="18"/>
        </w:rPr>
        <w:t>El período de evaluación comprende los diez últimos días hábiles en los que se publican las cotizaciones internacionales de petróleo crudo y combustibles.</w:t>
      </w:r>
    </w:p>
  </w:footnote>
  <w:footnote w:id="3">
    <w:p w14:paraId="3927BF9A" w14:textId="77777777" w:rsidR="00AF3F44" w:rsidRDefault="00AF3F44" w:rsidP="00AF3F44">
      <w:pPr>
        <w:pStyle w:val="Prrafodelista"/>
        <w:ind w:left="426"/>
        <w:jc w:val="both"/>
        <w:rPr>
          <w:rFonts w:asciiTheme="minorHAnsi" w:hAnsiTheme="minorHAnsi" w:cstheme="minorHAnsi"/>
          <w:sz w:val="18"/>
          <w:szCs w:val="18"/>
          <w:highlight w:val="yellow"/>
        </w:rPr>
      </w:pPr>
      <w:r>
        <w:rPr>
          <w:rStyle w:val="Refdenotaalpie"/>
        </w:rPr>
        <w:footnoteRef/>
      </w:r>
      <w:r>
        <w:t xml:space="preserve"> </w:t>
      </w:r>
      <w:r>
        <w:rPr>
          <w:rFonts w:asciiTheme="minorHAnsi" w:hAnsiTheme="minorHAnsi" w:cstheme="minorHAnsi"/>
          <w:sz w:val="18"/>
          <w:szCs w:val="18"/>
        </w:rPr>
        <w:t>Las cuotas de importación</w:t>
      </w:r>
      <w:r>
        <w:rPr>
          <w:rFonts w:asciiTheme="minorHAnsi" w:hAnsiTheme="minorHAnsi" w:cstheme="minorHAnsi"/>
          <w:color w:val="333333"/>
          <w:sz w:val="18"/>
          <w:szCs w:val="18"/>
          <w:shd w:val="clear" w:color="auto" w:fill="FFFFFF"/>
        </w:rPr>
        <w:t xml:space="preserve"> de crudo aumentaron en un +20%.</w:t>
      </w:r>
    </w:p>
    <w:p w14:paraId="44EE55CE" w14:textId="77777777" w:rsidR="00AF3F44" w:rsidRDefault="00AF3F44" w:rsidP="00AF3F44">
      <w:pPr>
        <w:pStyle w:val="Textonotapie"/>
        <w:rPr>
          <w:rFonts w:asciiTheme="minorHAnsi" w:hAnsiTheme="minorHAnsi" w:cstheme="minorHAnsi"/>
          <w:sz w:val="18"/>
          <w:szCs w:val="18"/>
        </w:rPr>
      </w:pPr>
    </w:p>
  </w:footnote>
  <w:footnote w:id="4">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5">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Energy</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Information</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Administration</w:t>
      </w:r>
      <w:proofErr w:type="spellEnd"/>
      <w:r w:rsidRPr="004244D7">
        <w:rPr>
          <w:rFonts w:asciiTheme="minorHAnsi" w:hAnsiTheme="minorHAnsi" w:cstheme="minorHAnsi"/>
          <w:i/>
          <w:sz w:val="16"/>
          <w:szCs w:val="16"/>
        </w:rPr>
        <w:t>)</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41268" w14:textId="77777777" w:rsidR="00352B3A" w:rsidRDefault="00FF1622" w:rsidP="00FF1622">
    <w:pPr>
      <w:pStyle w:val="Encabezado"/>
      <w:tabs>
        <w:tab w:val="clear" w:pos="8838"/>
        <w:tab w:val="right" w:pos="8646"/>
      </w:tabs>
      <w:ind w:left="-1418"/>
      <w:rPr>
        <w:noProof/>
        <w:lang w:val="es-PE" w:eastAsia="es-PE"/>
      </w:rPr>
    </w:pPr>
    <w:bookmarkStart w:id="1" w:name="_Hlk68946101"/>
    <w:bookmarkStart w:id="2" w:name="_Hlk68946102"/>
    <w:r>
      <w:rPr>
        <w:noProof/>
        <w:lang w:val="es-PE" w:eastAsia="es-PE"/>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7B123DA5" w14:textId="77777777" w:rsidTr="00EC58B2">
      <w:trPr>
        <w:trHeight w:val="1275"/>
      </w:trPr>
      <w:tc>
        <w:tcPr>
          <w:tcW w:w="4679" w:type="dxa"/>
          <w:vAlign w:val="center"/>
        </w:tcPr>
        <w:p w14:paraId="3392DBCD" w14:textId="77777777"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05D3CC72" wp14:editId="2956DB4D">
                <wp:extent cx="1955165" cy="362585"/>
                <wp:effectExtent l="0" t="0" r="6985"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24070DE8"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3DAD4D3B"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C78A301" w14:textId="14253320" w:rsidR="00352B3A" w:rsidRPr="00352B3A" w:rsidRDefault="00352B3A" w:rsidP="00AF3F44">
          <w:pPr>
            <w:jc w:val="center"/>
            <w:rPr>
              <w:rFonts w:ascii="Calibri" w:hAnsi="Calibri" w:cs="Calibri"/>
              <w:sz w:val="26"/>
              <w:szCs w:val="26"/>
              <w:lang w:val="it-IT"/>
            </w:rPr>
          </w:pPr>
          <w:r w:rsidRPr="00352B3A">
            <w:rPr>
              <w:rFonts w:ascii="Calibri" w:hAnsi="Calibri" w:cs="Calibri"/>
              <w:b/>
              <w:sz w:val="26"/>
              <w:szCs w:val="26"/>
              <w:lang w:val="it-IT"/>
            </w:rPr>
            <w:t>Informe N° PR- 0</w:t>
          </w:r>
          <w:r w:rsidR="00C823A9">
            <w:rPr>
              <w:rFonts w:ascii="Calibri" w:hAnsi="Calibri" w:cs="Calibri"/>
              <w:b/>
              <w:sz w:val="26"/>
              <w:szCs w:val="26"/>
              <w:lang w:val="it-IT"/>
            </w:rPr>
            <w:t>4</w:t>
          </w:r>
          <w:r w:rsidRPr="00352B3A">
            <w:rPr>
              <w:rFonts w:ascii="Calibri" w:hAnsi="Calibri" w:cs="Calibri"/>
              <w:b/>
              <w:sz w:val="26"/>
              <w:szCs w:val="26"/>
              <w:lang w:val="it-IT"/>
            </w:rPr>
            <w:t>-2023-DGN/GRT</w:t>
          </w:r>
        </w:p>
      </w:tc>
    </w:tr>
  </w:tbl>
  <w:p w14:paraId="5441F31C" w14:textId="732C610D" w:rsidR="00FF1622" w:rsidRPr="00352B3A" w:rsidRDefault="00FF1622" w:rsidP="00FF1622">
    <w:pPr>
      <w:pStyle w:val="Encabezado"/>
      <w:tabs>
        <w:tab w:val="clear" w:pos="8838"/>
        <w:tab w:val="right" w:pos="8646"/>
      </w:tabs>
      <w:ind w:left="-1418"/>
      <w:rPr>
        <w:lang w:val="it-IT"/>
      </w:rPr>
    </w:pPr>
    <w:r w:rsidRPr="00352B3A">
      <w:rPr>
        <w:noProof/>
        <w:lang w:val="it-IT" w:eastAsia="es-PE"/>
      </w:rPr>
      <w:t xml:space="preserve">                                    </w:t>
    </w:r>
    <w:r w:rsidR="005A0113" w:rsidRPr="00352B3A">
      <w:rPr>
        <w:noProof/>
        <w:lang w:val="it-IT" w:eastAsia="es-PE"/>
      </w:rPr>
      <w:t xml:space="preserve">                               </w:t>
    </w:r>
  </w:p>
  <w:bookmarkEnd w:id="1"/>
  <w:bookmarkEnd w:id="2"/>
  <w:p w14:paraId="1C9A32BF" w14:textId="4E046723" w:rsidR="004F74EE" w:rsidRPr="00376371" w:rsidRDefault="004F74EE" w:rsidP="00352553">
    <w:pPr>
      <w:tabs>
        <w:tab w:val="left" w:pos="2120"/>
        <w:tab w:val="right" w:pos="8364"/>
      </w:tabs>
      <w:ind w:right="283"/>
      <w:rPr>
        <w:lang w:val="x-non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DE5AB" w14:textId="77777777" w:rsidR="00352B3A" w:rsidRDefault="00FD404B" w:rsidP="005A0113">
    <w:pPr>
      <w:pStyle w:val="Encabezado"/>
      <w:tabs>
        <w:tab w:val="clear" w:pos="8838"/>
        <w:tab w:val="right" w:pos="426"/>
      </w:tabs>
      <w:ind w:left="-1276"/>
      <w:rPr>
        <w:noProof/>
        <w:lang w:val="en-US" w:eastAsia="en-US"/>
      </w:rPr>
    </w:pPr>
    <w:r>
      <w:rPr>
        <w:noProof/>
        <w:lang w:val="es-PE" w:eastAsia="es-PE"/>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2D3EEF13" w14:textId="77777777" w:rsidTr="00352B3A">
      <w:trPr>
        <w:trHeight w:val="1275"/>
      </w:trPr>
      <w:tc>
        <w:tcPr>
          <w:tcW w:w="4679" w:type="dxa"/>
          <w:vAlign w:val="center"/>
        </w:tcPr>
        <w:p w14:paraId="542012AA" w14:textId="53FA8649"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45E0977B" wp14:editId="1E2A3330">
                <wp:extent cx="1955165" cy="362585"/>
                <wp:effectExtent l="0" t="0" r="6985" b="0"/>
                <wp:docPr id="128" name="Imagen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6D78DA73"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50614DAF"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FEE1F98" w14:textId="74D6787F" w:rsidR="00352B3A" w:rsidRPr="00352B3A" w:rsidRDefault="00C823A9" w:rsidP="00C823A9">
          <w:pPr>
            <w:jc w:val="center"/>
            <w:rPr>
              <w:rFonts w:ascii="Calibri" w:hAnsi="Calibri" w:cs="Calibri"/>
              <w:sz w:val="26"/>
              <w:szCs w:val="26"/>
              <w:lang w:val="it-IT"/>
            </w:rPr>
          </w:pPr>
          <w:r>
            <w:rPr>
              <w:rFonts w:ascii="Calibri" w:hAnsi="Calibri" w:cs="Calibri"/>
              <w:b/>
              <w:sz w:val="26"/>
              <w:szCs w:val="26"/>
              <w:lang w:val="it-IT"/>
            </w:rPr>
            <w:t>Informe N° PR-</w:t>
          </w:r>
          <w:r w:rsidR="00352B3A" w:rsidRPr="00352B3A">
            <w:rPr>
              <w:rFonts w:ascii="Calibri" w:hAnsi="Calibri" w:cs="Calibri"/>
              <w:b/>
              <w:sz w:val="26"/>
              <w:szCs w:val="26"/>
              <w:lang w:val="it-IT"/>
            </w:rPr>
            <w:t>0</w:t>
          </w:r>
          <w:r>
            <w:rPr>
              <w:rFonts w:ascii="Calibri" w:hAnsi="Calibri" w:cs="Calibri"/>
              <w:b/>
              <w:sz w:val="26"/>
              <w:szCs w:val="26"/>
              <w:lang w:val="it-IT"/>
            </w:rPr>
            <w:t>4</w:t>
          </w:r>
          <w:r w:rsidR="00352B3A" w:rsidRPr="00352B3A">
            <w:rPr>
              <w:rFonts w:ascii="Calibri" w:hAnsi="Calibri" w:cs="Calibri"/>
              <w:b/>
              <w:sz w:val="26"/>
              <w:szCs w:val="26"/>
              <w:lang w:val="it-IT"/>
            </w:rPr>
            <w:t>-2023-DGN/GRT</w:t>
          </w:r>
        </w:p>
      </w:tc>
    </w:tr>
  </w:tbl>
  <w:p w14:paraId="1BF2ED61" w14:textId="49B14A58" w:rsidR="00FD404B" w:rsidRPr="00352B3A" w:rsidRDefault="00580CBC" w:rsidP="005A0113">
    <w:pPr>
      <w:pStyle w:val="Encabezado"/>
      <w:tabs>
        <w:tab w:val="clear" w:pos="8838"/>
        <w:tab w:val="right" w:pos="426"/>
      </w:tabs>
      <w:ind w:left="-1276"/>
      <w:rPr>
        <w:lang w:val="it-IT"/>
      </w:rPr>
    </w:pPr>
    <w:r>
      <w:rPr>
        <w:noProof/>
        <w:lang w:val="en-US" w:eastAsia="en-US"/>
      </w:rPr>
      <w:t xml:space="preserve">                                                            </w:t>
    </w:r>
  </w:p>
  <w:p w14:paraId="51896AD8" w14:textId="77777777" w:rsidR="00CF6BA7" w:rsidRPr="00352B3A" w:rsidRDefault="00CF6BA7" w:rsidP="00FD404B">
    <w:pPr>
      <w:tabs>
        <w:tab w:val="center" w:pos="4320"/>
        <w:tab w:val="right" w:pos="8498"/>
      </w:tabs>
      <w:ind w:right="283"/>
      <w:jc w:val="right"/>
      <w:rPr>
        <w:lang w:val="it-IT"/>
      </w:rPr>
    </w:pPr>
    <w:r w:rsidRPr="00352B3A">
      <w:rPr>
        <w:noProof/>
        <w:lang w:val="it-IT"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0D3C1" w14:textId="77777777" w:rsidR="00352B3A" w:rsidRDefault="00352B3A" w:rsidP="005A0113">
    <w:pPr>
      <w:pStyle w:val="Encabezado"/>
      <w:tabs>
        <w:tab w:val="clear" w:pos="8838"/>
        <w:tab w:val="right" w:pos="426"/>
      </w:tabs>
      <w:ind w:left="-1276"/>
      <w:rPr>
        <w:noProof/>
        <w:lang w:val="en-US" w:eastAsia="en-US"/>
      </w:rPr>
    </w:pPr>
    <w:r>
      <w:rPr>
        <w:noProof/>
        <w:lang w:val="es-PE" w:eastAsia="es-PE"/>
      </w:rPr>
      <w:t xml:space="preserve">   </w:t>
    </w:r>
  </w:p>
  <w:tbl>
    <w:tblPr>
      <w:tblW w:w="1275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0"/>
      <w:gridCol w:w="6308"/>
    </w:tblGrid>
    <w:tr w:rsidR="00352B3A" w:rsidRPr="00352B3A" w14:paraId="331BBDAF" w14:textId="77777777" w:rsidTr="00352B3A">
      <w:trPr>
        <w:trHeight w:val="1100"/>
      </w:trPr>
      <w:tc>
        <w:tcPr>
          <w:tcW w:w="6450" w:type="dxa"/>
          <w:vAlign w:val="center"/>
        </w:tcPr>
        <w:p w14:paraId="0558507C" w14:textId="77777777" w:rsidR="00352B3A" w:rsidRPr="00352B3A" w:rsidRDefault="00352B3A" w:rsidP="00352B3A">
          <w:pPr>
            <w:pStyle w:val="Prrafodelista"/>
            <w:ind w:left="39"/>
            <w:jc w:val="center"/>
            <w:rPr>
              <w:rFonts w:ascii="Calibri" w:hAnsi="Calibri" w:cs="Calibri"/>
            </w:rPr>
          </w:pPr>
          <w:r w:rsidRPr="00352B3A">
            <w:rPr>
              <w:rFonts w:ascii="Calibri" w:hAnsi="Calibri" w:cs="Calibri"/>
              <w:noProof/>
              <w:lang w:val="es-PE" w:eastAsia="es-PE"/>
            </w:rPr>
            <w:drawing>
              <wp:inline distT="0" distB="0" distL="0" distR="0" wp14:anchorId="368BBAA5" wp14:editId="29840EB4">
                <wp:extent cx="1955165" cy="362585"/>
                <wp:effectExtent l="0" t="0" r="6985" b="0"/>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28144F75" w14:textId="77777777" w:rsidR="00352B3A" w:rsidRPr="00352B3A" w:rsidRDefault="00352B3A" w:rsidP="00352B3A">
          <w:pPr>
            <w:ind w:left="39"/>
            <w:jc w:val="center"/>
            <w:rPr>
              <w:rFonts w:ascii="Calibri" w:hAnsi="Calibri" w:cs="Calibri"/>
              <w:b/>
              <w:sz w:val="18"/>
            </w:rPr>
          </w:pPr>
          <w:r w:rsidRPr="00352B3A">
            <w:rPr>
              <w:rFonts w:ascii="Calibri" w:hAnsi="Calibri" w:cs="Calibri"/>
              <w:b/>
              <w:sz w:val="18"/>
            </w:rPr>
            <w:t>Gerencia de Regulación de Tarifas</w:t>
          </w:r>
        </w:p>
        <w:p w14:paraId="2E390E00" w14:textId="77777777" w:rsidR="00352B3A" w:rsidRPr="00352B3A" w:rsidRDefault="00352B3A" w:rsidP="00352B3A">
          <w:pPr>
            <w:ind w:left="39"/>
            <w:jc w:val="center"/>
            <w:rPr>
              <w:rFonts w:ascii="Calibri" w:hAnsi="Calibri" w:cs="Calibri"/>
              <w:sz w:val="22"/>
            </w:rPr>
          </w:pPr>
          <w:r w:rsidRPr="00352B3A">
            <w:rPr>
              <w:rFonts w:ascii="Calibri" w:hAnsi="Calibri" w:cs="Calibri"/>
              <w:b/>
              <w:sz w:val="18"/>
            </w:rPr>
            <w:t>División de Gas Natural</w:t>
          </w:r>
        </w:p>
      </w:tc>
      <w:tc>
        <w:tcPr>
          <w:tcW w:w="6308" w:type="dxa"/>
          <w:vAlign w:val="center"/>
        </w:tcPr>
        <w:p w14:paraId="5DDAEF50" w14:textId="5F912703" w:rsidR="00352B3A" w:rsidRPr="00352B3A" w:rsidRDefault="00C823A9" w:rsidP="00C823A9">
          <w:pPr>
            <w:jc w:val="center"/>
            <w:rPr>
              <w:rFonts w:ascii="Calibri" w:hAnsi="Calibri" w:cs="Calibri"/>
              <w:sz w:val="26"/>
              <w:szCs w:val="26"/>
              <w:lang w:val="it-IT"/>
            </w:rPr>
          </w:pPr>
          <w:r>
            <w:rPr>
              <w:rFonts w:ascii="Calibri" w:hAnsi="Calibri" w:cs="Calibri"/>
              <w:b/>
              <w:sz w:val="26"/>
              <w:szCs w:val="26"/>
              <w:lang w:val="it-IT"/>
            </w:rPr>
            <w:t>Informe N° PR -</w:t>
          </w:r>
          <w:r w:rsidR="00352B3A" w:rsidRPr="00352B3A">
            <w:rPr>
              <w:rFonts w:ascii="Calibri" w:hAnsi="Calibri" w:cs="Calibri"/>
              <w:b/>
              <w:sz w:val="26"/>
              <w:szCs w:val="26"/>
              <w:lang w:val="it-IT"/>
            </w:rPr>
            <w:t>0</w:t>
          </w:r>
          <w:r>
            <w:rPr>
              <w:rFonts w:ascii="Calibri" w:hAnsi="Calibri" w:cs="Calibri"/>
              <w:b/>
              <w:sz w:val="26"/>
              <w:szCs w:val="26"/>
              <w:lang w:val="it-IT"/>
            </w:rPr>
            <w:t>4</w:t>
          </w:r>
          <w:r w:rsidR="00352B3A" w:rsidRPr="00352B3A">
            <w:rPr>
              <w:rFonts w:ascii="Calibri" w:hAnsi="Calibri" w:cs="Calibri"/>
              <w:b/>
              <w:sz w:val="26"/>
              <w:szCs w:val="26"/>
              <w:lang w:val="it-IT"/>
            </w:rPr>
            <w:t>-2023-DGN/GRT</w:t>
          </w:r>
        </w:p>
      </w:tc>
    </w:tr>
  </w:tbl>
  <w:p w14:paraId="4A48B273" w14:textId="77777777" w:rsidR="00352B3A" w:rsidRPr="00352B3A" w:rsidRDefault="00352B3A" w:rsidP="005A0113">
    <w:pPr>
      <w:pStyle w:val="Encabezado"/>
      <w:tabs>
        <w:tab w:val="clear" w:pos="8838"/>
        <w:tab w:val="right" w:pos="426"/>
      </w:tabs>
      <w:ind w:left="-1276"/>
      <w:rPr>
        <w:lang w:val="it-IT"/>
      </w:rPr>
    </w:pPr>
    <w:r>
      <w:rPr>
        <w:noProof/>
        <w:lang w:val="en-US" w:eastAsia="en-US"/>
      </w:rPr>
      <w:t xml:space="preserve">                                                            </w:t>
    </w:r>
  </w:p>
  <w:p w14:paraId="61F2B161" w14:textId="77777777" w:rsidR="00352B3A" w:rsidRPr="00352B3A" w:rsidRDefault="00352B3A" w:rsidP="00FD404B">
    <w:pPr>
      <w:tabs>
        <w:tab w:val="center" w:pos="4320"/>
        <w:tab w:val="right" w:pos="8498"/>
      </w:tabs>
      <w:ind w:right="283"/>
      <w:jc w:val="right"/>
      <w:rPr>
        <w:lang w:val="it-IT"/>
      </w:rPr>
    </w:pPr>
    <w:r w:rsidRPr="00352B3A">
      <w:rPr>
        <w:noProof/>
        <w:lang w:val="it-IT" w:eastAsia="en-U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52C1CAAB" w:rsidR="00494331" w:rsidRPr="002E3C90" w:rsidRDefault="0087334C" w:rsidP="0081371D">
    <w:pPr>
      <w:pStyle w:val="Encabezado"/>
      <w:tabs>
        <w:tab w:val="clear" w:pos="8838"/>
        <w:tab w:val="right" w:pos="8646"/>
      </w:tabs>
      <w:ind w:left="-1418"/>
    </w:pPr>
    <w:r>
      <w:rPr>
        <w:noProof/>
        <w:lang w:val="es-PE" w:eastAsia="es-PE"/>
      </w:rPr>
      <w:t xml:space="preserve">                                                                       </w:t>
    </w:r>
    <w:r w:rsidR="00DB3C4F">
      <w:rPr>
        <w:noProof/>
        <w:lang w:val="es-PE" w:eastAsia="es-PE"/>
      </w:rPr>
      <w:t xml:space="preserve">              </w:t>
    </w:r>
    <w:r>
      <w:rPr>
        <w:noProof/>
        <w:lang w:val="es-PE" w:eastAsia="es-PE"/>
      </w:rPr>
      <w:t xml:space="preserve">  </w:t>
    </w:r>
  </w:p>
  <w:p w14:paraId="61B03780" w14:textId="64B44676" w:rsidR="0087334C" w:rsidRDefault="001556E0" w:rsidP="00287F9F">
    <w:pPr>
      <w:pStyle w:val="Piedepgina"/>
      <w:tabs>
        <w:tab w:val="clear" w:pos="8838"/>
      </w:tabs>
      <w:ind w:left="-851" w:right="-207"/>
      <w:rPr>
        <w:rFonts w:ascii="Arial" w:hAnsi="Arial" w:cs="Arial"/>
        <w:b/>
        <w:color w:val="1F497D"/>
        <w:lang w:val="en-US"/>
      </w:rPr>
    </w:pPr>
    <w:r>
      <w:rPr>
        <w:rFonts w:ascii="Arial" w:hAnsi="Arial" w:cs="Arial"/>
        <w:b/>
        <w:color w:val="1F497D"/>
        <w:lang w:val="en-US"/>
      </w:rPr>
      <w:t xml:space="preserve">                                           </w:t>
    </w:r>
    <w:r w:rsidR="00287F9F">
      <w:rPr>
        <w:rFonts w:ascii="Arial" w:hAnsi="Arial" w:cs="Arial"/>
        <w:b/>
        <w:color w:val="1F497D"/>
        <w:lang w:val="en-US"/>
      </w:rPr>
      <w:t xml:space="preserve"> </w:t>
    </w:r>
    <w:r w:rsidR="003E5F90">
      <w:rPr>
        <w:rFonts w:ascii="Arial" w:hAnsi="Arial" w:cs="Arial"/>
        <w:b/>
        <w:color w:val="1F497D"/>
        <w:lang w:val="en-US"/>
      </w:rPr>
      <w:t xml:space="preserve"> </w:t>
    </w:r>
    <w:r w:rsidR="00287F9F">
      <w:rPr>
        <w:rFonts w:ascii="Arial" w:hAnsi="Arial" w:cs="Arial"/>
        <w:b/>
        <w:color w:val="1F497D"/>
        <w:lang w:val="en-US"/>
      </w:rPr>
      <w:t xml:space="preserve">  </w:t>
    </w:r>
    <w:r>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26F4E8F4" w14:textId="77777777" w:rsidTr="00EC58B2">
      <w:trPr>
        <w:trHeight w:val="1275"/>
      </w:trPr>
      <w:tc>
        <w:tcPr>
          <w:tcW w:w="4679" w:type="dxa"/>
          <w:vAlign w:val="center"/>
        </w:tcPr>
        <w:p w14:paraId="468BBADA" w14:textId="77777777"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1C999AA8" wp14:editId="4BCED37B">
                <wp:extent cx="1955165" cy="362585"/>
                <wp:effectExtent l="0" t="0" r="6985"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798C0619"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0BD2E32C"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461CCA7" w14:textId="001E6F74" w:rsidR="00352B3A" w:rsidRPr="00352B3A" w:rsidRDefault="00352B3A" w:rsidP="00BB0B1F">
          <w:pPr>
            <w:jc w:val="center"/>
            <w:rPr>
              <w:rFonts w:ascii="Calibri" w:hAnsi="Calibri" w:cs="Calibri"/>
              <w:sz w:val="26"/>
              <w:szCs w:val="26"/>
              <w:lang w:val="it-IT"/>
            </w:rPr>
          </w:pPr>
          <w:r w:rsidRPr="00352B3A">
            <w:rPr>
              <w:rFonts w:ascii="Calibri" w:hAnsi="Calibri" w:cs="Calibri"/>
              <w:b/>
              <w:sz w:val="26"/>
              <w:szCs w:val="26"/>
              <w:lang w:val="it-IT"/>
            </w:rPr>
            <w:t>Informe N° PR-0</w:t>
          </w:r>
          <w:r w:rsidR="00C823A9">
            <w:rPr>
              <w:rFonts w:ascii="Calibri" w:hAnsi="Calibri" w:cs="Calibri"/>
              <w:b/>
              <w:sz w:val="26"/>
              <w:szCs w:val="26"/>
              <w:lang w:val="it-IT"/>
            </w:rPr>
            <w:t>4</w:t>
          </w:r>
          <w:r w:rsidRPr="00352B3A">
            <w:rPr>
              <w:rFonts w:ascii="Calibri" w:hAnsi="Calibri" w:cs="Calibri"/>
              <w:b/>
              <w:sz w:val="26"/>
              <w:szCs w:val="26"/>
              <w:lang w:val="it-IT"/>
            </w:rPr>
            <w:t>-2023-DGN/GRT</w:t>
          </w:r>
        </w:p>
      </w:tc>
    </w:tr>
  </w:tbl>
  <w:p w14:paraId="0E8C33A1" w14:textId="77777777" w:rsidR="0081371D" w:rsidRPr="00352B3A" w:rsidRDefault="0081371D" w:rsidP="00DB3C4F">
    <w:pPr>
      <w:pStyle w:val="Piedepgina"/>
      <w:tabs>
        <w:tab w:val="clear" w:pos="8838"/>
      </w:tabs>
      <w:ind w:right="-207"/>
      <w:jc w:val="cent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E1585A"/>
    <w:multiLevelType w:val="hybridMultilevel"/>
    <w:tmpl w:val="8F18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10C2B"/>
    <w:multiLevelType w:val="hybridMultilevel"/>
    <w:tmpl w:val="EC2A94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259160E2"/>
    <w:multiLevelType w:val="hybridMultilevel"/>
    <w:tmpl w:val="2E20C620"/>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6" w15:restartNumberingAfterBreak="0">
    <w:nsid w:val="25FA2369"/>
    <w:multiLevelType w:val="hybridMultilevel"/>
    <w:tmpl w:val="6B7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863B5"/>
    <w:multiLevelType w:val="hybridMultilevel"/>
    <w:tmpl w:val="C908B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B82F0A"/>
    <w:multiLevelType w:val="hybridMultilevel"/>
    <w:tmpl w:val="78444F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0"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1"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5"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6"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4E1BB1"/>
    <w:multiLevelType w:val="hybridMultilevel"/>
    <w:tmpl w:val="6E2645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CB17283"/>
    <w:multiLevelType w:val="hybridMultilevel"/>
    <w:tmpl w:val="38C8A1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0"/>
  </w:num>
  <w:num w:numId="3">
    <w:abstractNumId w:val="11"/>
  </w:num>
  <w:num w:numId="4">
    <w:abstractNumId w:val="0"/>
  </w:num>
  <w:num w:numId="5">
    <w:abstractNumId w:val="13"/>
  </w:num>
  <w:num w:numId="6">
    <w:abstractNumId w:val="16"/>
  </w:num>
  <w:num w:numId="7">
    <w:abstractNumId w:val="15"/>
  </w:num>
  <w:num w:numId="8">
    <w:abstractNumId w:val="9"/>
  </w:num>
  <w:num w:numId="9">
    <w:abstractNumId w:val="14"/>
  </w:num>
  <w:num w:numId="10">
    <w:abstractNumId w:val="5"/>
  </w:num>
  <w:num w:numId="11">
    <w:abstractNumId w:val="12"/>
  </w:num>
  <w:num w:numId="12">
    <w:abstractNumId w:val="4"/>
  </w:num>
  <w:num w:numId="13">
    <w:abstractNumId w:val="2"/>
  </w:num>
  <w:num w:numId="14">
    <w:abstractNumId w:val="6"/>
  </w:num>
  <w:num w:numId="15">
    <w:abstractNumId w:val="8"/>
  </w:num>
  <w:num w:numId="16">
    <w:abstractNumId w:val="17"/>
  </w:num>
  <w:num w:numId="17">
    <w:abstractNumId w:val="18"/>
  </w:num>
  <w:num w:numId="18">
    <w:abstractNumId w:val="7"/>
  </w:num>
  <w:num w:numId="19">
    <w:abstractNumId w:val="1"/>
  </w:num>
  <w:num w:numId="20">
    <w:abstractNumId w:val="2"/>
    <w:lvlOverride w:ilvl="0"/>
    <w:lvlOverride w:ilvl="1"/>
    <w:lvlOverride w:ilvl="2"/>
    <w:lvlOverride w:ilvl="3"/>
    <w:lvlOverride w:ilvl="4"/>
    <w:lvlOverride w:ilvl="5"/>
    <w:lvlOverride w:ilvl="6"/>
    <w:lvlOverride w:ilvl="7"/>
    <w:lvlOverride w:ilvl="8"/>
  </w:num>
  <w:num w:numId="21">
    <w:abstractNumId w:val="17"/>
    <w:lvlOverride w:ilvl="0"/>
    <w:lvlOverride w:ilvl="1"/>
    <w:lvlOverride w:ilvl="2"/>
    <w:lvlOverride w:ilvl="3"/>
    <w:lvlOverride w:ilvl="4"/>
    <w:lvlOverride w:ilvl="5"/>
    <w:lvlOverride w:ilvl="6"/>
    <w:lvlOverride w:ilvl="7"/>
    <w:lvlOverride w:ilvl="8"/>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s-ES" w:vendorID="64" w:dllVersion="6" w:nlCheck="1" w:checkStyle="0"/>
  <w:activeWritingStyle w:appName="MSWord" w:lang="es-MX" w:vendorID="64" w:dllVersion="6" w:nlCheck="1" w:checkStyle="0"/>
  <w:activeWritingStyle w:appName="MSWord" w:lang="es-PE" w:vendorID="64" w:dllVersion="6" w:nlCheck="1" w:checkStyle="0"/>
  <w:activeWritingStyle w:appName="MSWord" w:lang="en-US" w:vendorID="64" w:dllVersion="6" w:nlCheck="1" w:checkStyle="0"/>
  <w:activeWritingStyle w:appName="MSWord" w:lang="es-ES" w:vendorID="64" w:dllVersion="0" w:nlCheck="1" w:checkStyle="0"/>
  <w:activeWritingStyle w:appName="MSWord" w:lang="en-US" w:vendorID="64" w:dllVersion="0" w:nlCheck="1" w:checkStyle="0"/>
  <w:activeWritingStyle w:appName="MSWord" w:lang="es-MX" w:vendorID="64" w:dllVersion="0" w:nlCheck="1" w:checkStyle="0"/>
  <w:activeWritingStyle w:appName="MSWord" w:lang="es-PE" w:vendorID="64" w:dllVersion="0" w:nlCheck="1" w:checkStyle="0"/>
  <w:activeWritingStyle w:appName="MSWord" w:lang="es-ES" w:vendorID="64" w:dllVersion="4096" w:nlCheck="1" w:checkStyle="0"/>
  <w:activeWritingStyle w:appName="MSWord" w:lang="en-US" w:vendorID="64" w:dllVersion="4096" w:nlCheck="1" w:checkStyle="0"/>
  <w:activeWritingStyle w:appName="MSWord" w:lang="es-MX" w:vendorID="64" w:dllVersion="4096" w:nlCheck="1" w:checkStyle="0"/>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activeWritingStyle w:appName="MSWord" w:lang="es-PE" w:vendorID="64" w:dllVersion="131078" w:nlCheck="1" w:checkStyle="0"/>
  <w:proofState w:spelling="clean" w:grammar="clean"/>
  <w:defaultTabStop w:val="567"/>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1E7C"/>
    <w:rsid w:val="000120B0"/>
    <w:rsid w:val="00012440"/>
    <w:rsid w:val="00012703"/>
    <w:rsid w:val="00012814"/>
    <w:rsid w:val="000128A2"/>
    <w:rsid w:val="000129B4"/>
    <w:rsid w:val="00012CC9"/>
    <w:rsid w:val="00012DE6"/>
    <w:rsid w:val="00012DEC"/>
    <w:rsid w:val="00012EAD"/>
    <w:rsid w:val="000130F8"/>
    <w:rsid w:val="000135CB"/>
    <w:rsid w:val="0001369D"/>
    <w:rsid w:val="000138FB"/>
    <w:rsid w:val="00013C01"/>
    <w:rsid w:val="00013D05"/>
    <w:rsid w:val="00013D52"/>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0F6C"/>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9F"/>
    <w:rsid w:val="00023EC8"/>
    <w:rsid w:val="00024039"/>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B8E"/>
    <w:rsid w:val="00032C99"/>
    <w:rsid w:val="000332A7"/>
    <w:rsid w:val="000337AC"/>
    <w:rsid w:val="00033C0A"/>
    <w:rsid w:val="00033C3B"/>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01"/>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0FC8"/>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5C8"/>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2ECF"/>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5F3"/>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700"/>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D1D"/>
    <w:rsid w:val="00067D4B"/>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59"/>
    <w:rsid w:val="000727C3"/>
    <w:rsid w:val="000728B3"/>
    <w:rsid w:val="00072C0F"/>
    <w:rsid w:val="00072CAD"/>
    <w:rsid w:val="00072CEA"/>
    <w:rsid w:val="000730D5"/>
    <w:rsid w:val="00073235"/>
    <w:rsid w:val="00073491"/>
    <w:rsid w:val="000734BC"/>
    <w:rsid w:val="000735BE"/>
    <w:rsid w:val="0007364A"/>
    <w:rsid w:val="00073727"/>
    <w:rsid w:val="000738E0"/>
    <w:rsid w:val="0007393C"/>
    <w:rsid w:val="00073953"/>
    <w:rsid w:val="0007396D"/>
    <w:rsid w:val="00073BA8"/>
    <w:rsid w:val="00073C17"/>
    <w:rsid w:val="00073D21"/>
    <w:rsid w:val="00073D5F"/>
    <w:rsid w:val="00073F13"/>
    <w:rsid w:val="0007407C"/>
    <w:rsid w:val="0007432E"/>
    <w:rsid w:val="00074465"/>
    <w:rsid w:val="00074531"/>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2F5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2FB7"/>
    <w:rsid w:val="000931DC"/>
    <w:rsid w:val="00093852"/>
    <w:rsid w:val="00093973"/>
    <w:rsid w:val="00093C66"/>
    <w:rsid w:val="00093E91"/>
    <w:rsid w:val="00094185"/>
    <w:rsid w:val="00094297"/>
    <w:rsid w:val="00094571"/>
    <w:rsid w:val="000947F3"/>
    <w:rsid w:val="000948D9"/>
    <w:rsid w:val="00094BAE"/>
    <w:rsid w:val="00094DE1"/>
    <w:rsid w:val="00095047"/>
    <w:rsid w:val="0009539C"/>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344"/>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4CA"/>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CCD"/>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8AC"/>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0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2EDF"/>
    <w:rsid w:val="000D30D1"/>
    <w:rsid w:val="000D312C"/>
    <w:rsid w:val="000D34D0"/>
    <w:rsid w:val="000D3D7A"/>
    <w:rsid w:val="000D41FE"/>
    <w:rsid w:val="000D48B1"/>
    <w:rsid w:val="000D4C6E"/>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59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1FE"/>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02F"/>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6B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05E"/>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0D4"/>
    <w:rsid w:val="0010675D"/>
    <w:rsid w:val="00106A56"/>
    <w:rsid w:val="00106C3B"/>
    <w:rsid w:val="00106EA3"/>
    <w:rsid w:val="001070CF"/>
    <w:rsid w:val="001073D1"/>
    <w:rsid w:val="0010788C"/>
    <w:rsid w:val="0010792F"/>
    <w:rsid w:val="00107BA4"/>
    <w:rsid w:val="0011008C"/>
    <w:rsid w:val="0011050C"/>
    <w:rsid w:val="00110598"/>
    <w:rsid w:val="00110634"/>
    <w:rsid w:val="00110839"/>
    <w:rsid w:val="00110917"/>
    <w:rsid w:val="00110C2A"/>
    <w:rsid w:val="00110C48"/>
    <w:rsid w:val="00110F45"/>
    <w:rsid w:val="001112A6"/>
    <w:rsid w:val="00111731"/>
    <w:rsid w:val="00111790"/>
    <w:rsid w:val="001119BA"/>
    <w:rsid w:val="00111C9E"/>
    <w:rsid w:val="00111DB6"/>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A9D"/>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129"/>
    <w:rsid w:val="00130294"/>
    <w:rsid w:val="00130362"/>
    <w:rsid w:val="0013038E"/>
    <w:rsid w:val="001304E6"/>
    <w:rsid w:val="0013057D"/>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326"/>
    <w:rsid w:val="00133671"/>
    <w:rsid w:val="001338BB"/>
    <w:rsid w:val="00133C62"/>
    <w:rsid w:val="00133E1F"/>
    <w:rsid w:val="00133FAF"/>
    <w:rsid w:val="00133FFF"/>
    <w:rsid w:val="00134150"/>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6C19"/>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1D2"/>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AF6"/>
    <w:rsid w:val="00161BBF"/>
    <w:rsid w:val="00161EA0"/>
    <w:rsid w:val="00161FC2"/>
    <w:rsid w:val="00162126"/>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A87"/>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4FFC"/>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DD6"/>
    <w:rsid w:val="00182F17"/>
    <w:rsid w:val="00182FAF"/>
    <w:rsid w:val="001830A8"/>
    <w:rsid w:val="001831C3"/>
    <w:rsid w:val="001832CC"/>
    <w:rsid w:val="00183414"/>
    <w:rsid w:val="0018356C"/>
    <w:rsid w:val="00183714"/>
    <w:rsid w:val="00183819"/>
    <w:rsid w:val="001839E1"/>
    <w:rsid w:val="00183A33"/>
    <w:rsid w:val="00183CBE"/>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898"/>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3E8"/>
    <w:rsid w:val="001A056E"/>
    <w:rsid w:val="001A0605"/>
    <w:rsid w:val="001A0D54"/>
    <w:rsid w:val="001A0F94"/>
    <w:rsid w:val="001A0FCF"/>
    <w:rsid w:val="001A10A9"/>
    <w:rsid w:val="001A1170"/>
    <w:rsid w:val="001A126D"/>
    <w:rsid w:val="001A1708"/>
    <w:rsid w:val="001A1B0E"/>
    <w:rsid w:val="001A1E5F"/>
    <w:rsid w:val="001A26DF"/>
    <w:rsid w:val="001A2842"/>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A74"/>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0F70"/>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342"/>
    <w:rsid w:val="001B74A9"/>
    <w:rsid w:val="001B7779"/>
    <w:rsid w:val="001B7A9D"/>
    <w:rsid w:val="001B7B39"/>
    <w:rsid w:val="001B7B82"/>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69"/>
    <w:rsid w:val="001D677E"/>
    <w:rsid w:val="001D6991"/>
    <w:rsid w:val="001D6B90"/>
    <w:rsid w:val="001D6C5B"/>
    <w:rsid w:val="001D6D75"/>
    <w:rsid w:val="001D7162"/>
    <w:rsid w:val="001D71A6"/>
    <w:rsid w:val="001D728C"/>
    <w:rsid w:val="001D7419"/>
    <w:rsid w:val="001D74A5"/>
    <w:rsid w:val="001D77AA"/>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2E86"/>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66"/>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6B4"/>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25C"/>
    <w:rsid w:val="001F6A04"/>
    <w:rsid w:val="001F6D04"/>
    <w:rsid w:val="001F7129"/>
    <w:rsid w:val="001F713E"/>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118"/>
    <w:rsid w:val="00202318"/>
    <w:rsid w:val="0020265B"/>
    <w:rsid w:val="0020274B"/>
    <w:rsid w:val="00202810"/>
    <w:rsid w:val="00202843"/>
    <w:rsid w:val="00202A21"/>
    <w:rsid w:val="00202C6C"/>
    <w:rsid w:val="00202C6D"/>
    <w:rsid w:val="00202D6A"/>
    <w:rsid w:val="00202F5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25C"/>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2C4B"/>
    <w:rsid w:val="00213640"/>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C81"/>
    <w:rsid w:val="00216F28"/>
    <w:rsid w:val="00216FF3"/>
    <w:rsid w:val="00217161"/>
    <w:rsid w:val="002172E1"/>
    <w:rsid w:val="00217569"/>
    <w:rsid w:val="002175C0"/>
    <w:rsid w:val="0021785C"/>
    <w:rsid w:val="00217D7C"/>
    <w:rsid w:val="002202D0"/>
    <w:rsid w:val="002207D1"/>
    <w:rsid w:val="00220A69"/>
    <w:rsid w:val="00220B36"/>
    <w:rsid w:val="00220E44"/>
    <w:rsid w:val="00220E88"/>
    <w:rsid w:val="00220EB6"/>
    <w:rsid w:val="002212B6"/>
    <w:rsid w:val="00221A03"/>
    <w:rsid w:val="00221CD1"/>
    <w:rsid w:val="00221E46"/>
    <w:rsid w:val="00222142"/>
    <w:rsid w:val="00222149"/>
    <w:rsid w:val="00222384"/>
    <w:rsid w:val="002225FA"/>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5D8"/>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1BC"/>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32"/>
    <w:rsid w:val="00232A97"/>
    <w:rsid w:val="00232B80"/>
    <w:rsid w:val="00232BB0"/>
    <w:rsid w:val="00232BF5"/>
    <w:rsid w:val="00232FAA"/>
    <w:rsid w:val="00233065"/>
    <w:rsid w:val="00233124"/>
    <w:rsid w:val="0023353F"/>
    <w:rsid w:val="0023355E"/>
    <w:rsid w:val="00233596"/>
    <w:rsid w:val="002336CC"/>
    <w:rsid w:val="002338B3"/>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B98"/>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47EF8"/>
    <w:rsid w:val="00250093"/>
    <w:rsid w:val="002502F9"/>
    <w:rsid w:val="002509AE"/>
    <w:rsid w:val="002509CE"/>
    <w:rsid w:val="0025130B"/>
    <w:rsid w:val="00251528"/>
    <w:rsid w:val="002515D6"/>
    <w:rsid w:val="002516EF"/>
    <w:rsid w:val="00251793"/>
    <w:rsid w:val="002517E5"/>
    <w:rsid w:val="002519C1"/>
    <w:rsid w:val="00251AF6"/>
    <w:rsid w:val="00251DD4"/>
    <w:rsid w:val="00251F52"/>
    <w:rsid w:val="0025221B"/>
    <w:rsid w:val="002522AA"/>
    <w:rsid w:val="002527E1"/>
    <w:rsid w:val="00252A28"/>
    <w:rsid w:val="00252C51"/>
    <w:rsid w:val="00252C7B"/>
    <w:rsid w:val="00252CA4"/>
    <w:rsid w:val="00252F56"/>
    <w:rsid w:val="0025332B"/>
    <w:rsid w:val="00253793"/>
    <w:rsid w:val="0025386E"/>
    <w:rsid w:val="0025393F"/>
    <w:rsid w:val="00253B1E"/>
    <w:rsid w:val="00253DCB"/>
    <w:rsid w:val="00253EF0"/>
    <w:rsid w:val="00253F46"/>
    <w:rsid w:val="00253FC1"/>
    <w:rsid w:val="00254424"/>
    <w:rsid w:val="00254478"/>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566"/>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6DA"/>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9AD"/>
    <w:rsid w:val="00266D30"/>
    <w:rsid w:val="00267540"/>
    <w:rsid w:val="002675F1"/>
    <w:rsid w:val="00267685"/>
    <w:rsid w:val="00267989"/>
    <w:rsid w:val="00267B36"/>
    <w:rsid w:val="00267C2E"/>
    <w:rsid w:val="00267DA4"/>
    <w:rsid w:val="00267EFF"/>
    <w:rsid w:val="00270608"/>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29"/>
    <w:rsid w:val="002846E5"/>
    <w:rsid w:val="00284AD1"/>
    <w:rsid w:val="00284B15"/>
    <w:rsid w:val="00284DE6"/>
    <w:rsid w:val="00285596"/>
    <w:rsid w:val="00285BF0"/>
    <w:rsid w:val="00286148"/>
    <w:rsid w:val="0028627B"/>
    <w:rsid w:val="00286440"/>
    <w:rsid w:val="00286597"/>
    <w:rsid w:val="0028667B"/>
    <w:rsid w:val="00286833"/>
    <w:rsid w:val="0028688E"/>
    <w:rsid w:val="002869F7"/>
    <w:rsid w:val="00286B9C"/>
    <w:rsid w:val="00286ECB"/>
    <w:rsid w:val="00286FB3"/>
    <w:rsid w:val="00287186"/>
    <w:rsid w:val="002878EB"/>
    <w:rsid w:val="00287BCB"/>
    <w:rsid w:val="00287F7C"/>
    <w:rsid w:val="00287F91"/>
    <w:rsid w:val="00287F9F"/>
    <w:rsid w:val="00290070"/>
    <w:rsid w:val="00290416"/>
    <w:rsid w:val="002905B1"/>
    <w:rsid w:val="002908E6"/>
    <w:rsid w:val="002909B5"/>
    <w:rsid w:val="00290AAC"/>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84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552"/>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0E6"/>
    <w:rsid w:val="002A559A"/>
    <w:rsid w:val="002A55A4"/>
    <w:rsid w:val="002A59D0"/>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827"/>
    <w:rsid w:val="002B3B3C"/>
    <w:rsid w:val="002B3CF0"/>
    <w:rsid w:val="002B4223"/>
    <w:rsid w:val="002B456F"/>
    <w:rsid w:val="002B46DA"/>
    <w:rsid w:val="002B490D"/>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9C1"/>
    <w:rsid w:val="002C4D76"/>
    <w:rsid w:val="002C4E83"/>
    <w:rsid w:val="002C4EE9"/>
    <w:rsid w:val="002C4FAB"/>
    <w:rsid w:val="002C505C"/>
    <w:rsid w:val="002C52A3"/>
    <w:rsid w:val="002C5564"/>
    <w:rsid w:val="002C5840"/>
    <w:rsid w:val="002C599F"/>
    <w:rsid w:val="002C5D9B"/>
    <w:rsid w:val="002C6665"/>
    <w:rsid w:val="002C6F38"/>
    <w:rsid w:val="002C71F9"/>
    <w:rsid w:val="002C7274"/>
    <w:rsid w:val="002C76D4"/>
    <w:rsid w:val="002C7977"/>
    <w:rsid w:val="002C79F6"/>
    <w:rsid w:val="002C7A09"/>
    <w:rsid w:val="002C7DD0"/>
    <w:rsid w:val="002C7E98"/>
    <w:rsid w:val="002D0104"/>
    <w:rsid w:val="002D0283"/>
    <w:rsid w:val="002D03DC"/>
    <w:rsid w:val="002D0480"/>
    <w:rsid w:val="002D07F7"/>
    <w:rsid w:val="002D080D"/>
    <w:rsid w:val="002D0B52"/>
    <w:rsid w:val="002D0B72"/>
    <w:rsid w:val="002D0C01"/>
    <w:rsid w:val="002D11B2"/>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4F83"/>
    <w:rsid w:val="002D502E"/>
    <w:rsid w:val="002D51D1"/>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593"/>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8C9"/>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62C"/>
    <w:rsid w:val="002F7812"/>
    <w:rsid w:val="003001B0"/>
    <w:rsid w:val="003001FA"/>
    <w:rsid w:val="0030040C"/>
    <w:rsid w:val="00300844"/>
    <w:rsid w:val="00300CBA"/>
    <w:rsid w:val="00300DBC"/>
    <w:rsid w:val="00300F73"/>
    <w:rsid w:val="003010FF"/>
    <w:rsid w:val="0030130C"/>
    <w:rsid w:val="003014CF"/>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B42"/>
    <w:rsid w:val="00303DD9"/>
    <w:rsid w:val="00304368"/>
    <w:rsid w:val="00304462"/>
    <w:rsid w:val="0030448C"/>
    <w:rsid w:val="003045E7"/>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19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5D3"/>
    <w:rsid w:val="003116B5"/>
    <w:rsid w:val="00311987"/>
    <w:rsid w:val="00311D2A"/>
    <w:rsid w:val="00311FD6"/>
    <w:rsid w:val="00312A6F"/>
    <w:rsid w:val="00312E72"/>
    <w:rsid w:val="00313216"/>
    <w:rsid w:val="003135E6"/>
    <w:rsid w:val="00313672"/>
    <w:rsid w:val="00313709"/>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0CE"/>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9E9"/>
    <w:rsid w:val="00326CDC"/>
    <w:rsid w:val="00326CF9"/>
    <w:rsid w:val="00326E8D"/>
    <w:rsid w:val="00327194"/>
    <w:rsid w:val="00327201"/>
    <w:rsid w:val="003275C8"/>
    <w:rsid w:val="00330303"/>
    <w:rsid w:val="0033048B"/>
    <w:rsid w:val="0033073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447"/>
    <w:rsid w:val="003446BD"/>
    <w:rsid w:val="00344B48"/>
    <w:rsid w:val="00344DC9"/>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5F"/>
    <w:rsid w:val="00351E95"/>
    <w:rsid w:val="00352292"/>
    <w:rsid w:val="003524E8"/>
    <w:rsid w:val="00352517"/>
    <w:rsid w:val="00352553"/>
    <w:rsid w:val="00352A5D"/>
    <w:rsid w:val="00352B3A"/>
    <w:rsid w:val="00352CEF"/>
    <w:rsid w:val="00352F05"/>
    <w:rsid w:val="00353234"/>
    <w:rsid w:val="003533F1"/>
    <w:rsid w:val="00353611"/>
    <w:rsid w:val="00353624"/>
    <w:rsid w:val="00353669"/>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46D"/>
    <w:rsid w:val="003605C1"/>
    <w:rsid w:val="003606A6"/>
    <w:rsid w:val="003606BA"/>
    <w:rsid w:val="003608B6"/>
    <w:rsid w:val="003608E2"/>
    <w:rsid w:val="003609A5"/>
    <w:rsid w:val="00360BF4"/>
    <w:rsid w:val="00360FCD"/>
    <w:rsid w:val="003612E7"/>
    <w:rsid w:val="00361301"/>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294"/>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3BB7"/>
    <w:rsid w:val="0038409B"/>
    <w:rsid w:val="00384908"/>
    <w:rsid w:val="00384A23"/>
    <w:rsid w:val="00384D12"/>
    <w:rsid w:val="00385049"/>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075"/>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B0A"/>
    <w:rsid w:val="003C7C19"/>
    <w:rsid w:val="003C7CD4"/>
    <w:rsid w:val="003C7D5C"/>
    <w:rsid w:val="003C7DFB"/>
    <w:rsid w:val="003D09B5"/>
    <w:rsid w:val="003D0AE2"/>
    <w:rsid w:val="003D0FDC"/>
    <w:rsid w:val="003D1059"/>
    <w:rsid w:val="003D12CB"/>
    <w:rsid w:val="003D1427"/>
    <w:rsid w:val="003D16A2"/>
    <w:rsid w:val="003D1983"/>
    <w:rsid w:val="003D1A12"/>
    <w:rsid w:val="003D1D52"/>
    <w:rsid w:val="003D1DA1"/>
    <w:rsid w:val="003D1EC0"/>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8D"/>
    <w:rsid w:val="003D7FCC"/>
    <w:rsid w:val="003E0328"/>
    <w:rsid w:val="003E0735"/>
    <w:rsid w:val="003E0CCF"/>
    <w:rsid w:val="003E0CEB"/>
    <w:rsid w:val="003E0FD2"/>
    <w:rsid w:val="003E10B3"/>
    <w:rsid w:val="003E111F"/>
    <w:rsid w:val="003E112E"/>
    <w:rsid w:val="003E15C2"/>
    <w:rsid w:val="003E1882"/>
    <w:rsid w:val="003E18D8"/>
    <w:rsid w:val="003E1E0B"/>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35B"/>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0C3"/>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145"/>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17"/>
    <w:rsid w:val="00404E53"/>
    <w:rsid w:val="00404F24"/>
    <w:rsid w:val="004054A9"/>
    <w:rsid w:val="0040564E"/>
    <w:rsid w:val="004056A1"/>
    <w:rsid w:val="00405873"/>
    <w:rsid w:val="00405B55"/>
    <w:rsid w:val="00405E7D"/>
    <w:rsid w:val="004062D7"/>
    <w:rsid w:val="004063AE"/>
    <w:rsid w:val="00406604"/>
    <w:rsid w:val="004067F3"/>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C71"/>
    <w:rsid w:val="00412EBA"/>
    <w:rsid w:val="004131D7"/>
    <w:rsid w:val="0041327D"/>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426"/>
    <w:rsid w:val="0042056F"/>
    <w:rsid w:val="00420747"/>
    <w:rsid w:val="00420A01"/>
    <w:rsid w:val="004212A2"/>
    <w:rsid w:val="0042173B"/>
    <w:rsid w:val="00421841"/>
    <w:rsid w:val="00421B53"/>
    <w:rsid w:val="00421E5E"/>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2C"/>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0FBC"/>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0A9"/>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442"/>
    <w:rsid w:val="0045158F"/>
    <w:rsid w:val="00451CBB"/>
    <w:rsid w:val="00451E96"/>
    <w:rsid w:val="0045211E"/>
    <w:rsid w:val="0045227F"/>
    <w:rsid w:val="004533B3"/>
    <w:rsid w:val="004533BC"/>
    <w:rsid w:val="0045342B"/>
    <w:rsid w:val="0045359E"/>
    <w:rsid w:val="00453630"/>
    <w:rsid w:val="004536B0"/>
    <w:rsid w:val="00453710"/>
    <w:rsid w:val="00453913"/>
    <w:rsid w:val="00453E23"/>
    <w:rsid w:val="004540E0"/>
    <w:rsid w:val="0045411F"/>
    <w:rsid w:val="0045414A"/>
    <w:rsid w:val="004541B9"/>
    <w:rsid w:val="0045457B"/>
    <w:rsid w:val="00454895"/>
    <w:rsid w:val="00454AD2"/>
    <w:rsid w:val="00454C5E"/>
    <w:rsid w:val="00454C9B"/>
    <w:rsid w:val="0045524F"/>
    <w:rsid w:val="00455397"/>
    <w:rsid w:val="004553C1"/>
    <w:rsid w:val="004554F9"/>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88"/>
    <w:rsid w:val="0046259C"/>
    <w:rsid w:val="00462622"/>
    <w:rsid w:val="004626DC"/>
    <w:rsid w:val="0046288F"/>
    <w:rsid w:val="00462CEB"/>
    <w:rsid w:val="00462F77"/>
    <w:rsid w:val="004631E1"/>
    <w:rsid w:val="004631F8"/>
    <w:rsid w:val="00463287"/>
    <w:rsid w:val="0046339F"/>
    <w:rsid w:val="004636D8"/>
    <w:rsid w:val="00463951"/>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4A"/>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51"/>
    <w:rsid w:val="004761F2"/>
    <w:rsid w:val="0047678F"/>
    <w:rsid w:val="00476B4F"/>
    <w:rsid w:val="00476B6D"/>
    <w:rsid w:val="00476C74"/>
    <w:rsid w:val="00476DCA"/>
    <w:rsid w:val="00477238"/>
    <w:rsid w:val="00477B7F"/>
    <w:rsid w:val="00477D2D"/>
    <w:rsid w:val="00477DDD"/>
    <w:rsid w:val="00480283"/>
    <w:rsid w:val="004802B7"/>
    <w:rsid w:val="00480938"/>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57"/>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3E33"/>
    <w:rsid w:val="00493E8C"/>
    <w:rsid w:val="00494331"/>
    <w:rsid w:val="004943FF"/>
    <w:rsid w:val="00494C1E"/>
    <w:rsid w:val="00494E4C"/>
    <w:rsid w:val="00494FCE"/>
    <w:rsid w:val="00495022"/>
    <w:rsid w:val="00495377"/>
    <w:rsid w:val="004954CA"/>
    <w:rsid w:val="00495614"/>
    <w:rsid w:val="00495D1A"/>
    <w:rsid w:val="00495F58"/>
    <w:rsid w:val="0049600B"/>
    <w:rsid w:val="004962B8"/>
    <w:rsid w:val="004962D7"/>
    <w:rsid w:val="00496822"/>
    <w:rsid w:val="00496869"/>
    <w:rsid w:val="00496B90"/>
    <w:rsid w:val="00496D80"/>
    <w:rsid w:val="00496E8E"/>
    <w:rsid w:val="00496F80"/>
    <w:rsid w:val="0049709C"/>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5C7"/>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4F55"/>
    <w:rsid w:val="004A5064"/>
    <w:rsid w:val="004A5363"/>
    <w:rsid w:val="004A5654"/>
    <w:rsid w:val="004A5849"/>
    <w:rsid w:val="004A59D4"/>
    <w:rsid w:val="004A5E02"/>
    <w:rsid w:val="004A64E6"/>
    <w:rsid w:val="004A658F"/>
    <w:rsid w:val="004A6711"/>
    <w:rsid w:val="004A6B1A"/>
    <w:rsid w:val="004A6DA2"/>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073"/>
    <w:rsid w:val="004B1AB7"/>
    <w:rsid w:val="004B20E0"/>
    <w:rsid w:val="004B20EA"/>
    <w:rsid w:val="004B212F"/>
    <w:rsid w:val="004B22BB"/>
    <w:rsid w:val="004B2347"/>
    <w:rsid w:val="004B2438"/>
    <w:rsid w:val="004B2473"/>
    <w:rsid w:val="004B2706"/>
    <w:rsid w:val="004B2D78"/>
    <w:rsid w:val="004B2F8A"/>
    <w:rsid w:val="004B2FE5"/>
    <w:rsid w:val="004B3090"/>
    <w:rsid w:val="004B32A5"/>
    <w:rsid w:val="004B3349"/>
    <w:rsid w:val="004B36AF"/>
    <w:rsid w:val="004B3823"/>
    <w:rsid w:val="004B3A5A"/>
    <w:rsid w:val="004B3A8C"/>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04"/>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D26"/>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999"/>
    <w:rsid w:val="004C4AB1"/>
    <w:rsid w:val="004C4AF3"/>
    <w:rsid w:val="004C4EB7"/>
    <w:rsid w:val="004C50DD"/>
    <w:rsid w:val="004C5499"/>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31B"/>
    <w:rsid w:val="004D360E"/>
    <w:rsid w:val="004D36AF"/>
    <w:rsid w:val="004D377A"/>
    <w:rsid w:val="004D399E"/>
    <w:rsid w:val="004D3AC0"/>
    <w:rsid w:val="004D3E13"/>
    <w:rsid w:val="004D3E81"/>
    <w:rsid w:val="004D407F"/>
    <w:rsid w:val="004D4747"/>
    <w:rsid w:val="004D4865"/>
    <w:rsid w:val="004D4999"/>
    <w:rsid w:val="004D4A2F"/>
    <w:rsid w:val="004D4A70"/>
    <w:rsid w:val="004D4B92"/>
    <w:rsid w:val="004D4D51"/>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D7E1E"/>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39D"/>
    <w:rsid w:val="004F1436"/>
    <w:rsid w:val="004F144E"/>
    <w:rsid w:val="004F1770"/>
    <w:rsid w:val="004F177D"/>
    <w:rsid w:val="004F19C6"/>
    <w:rsid w:val="004F1B80"/>
    <w:rsid w:val="004F1CFE"/>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4F792F"/>
    <w:rsid w:val="00500094"/>
    <w:rsid w:val="005002A3"/>
    <w:rsid w:val="00500660"/>
    <w:rsid w:val="00500778"/>
    <w:rsid w:val="00500989"/>
    <w:rsid w:val="00500B7D"/>
    <w:rsid w:val="00500C63"/>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0F3"/>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0E"/>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123"/>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779"/>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3CC"/>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42"/>
    <w:rsid w:val="00536E63"/>
    <w:rsid w:val="00536F5E"/>
    <w:rsid w:val="00537082"/>
    <w:rsid w:val="00537228"/>
    <w:rsid w:val="00537528"/>
    <w:rsid w:val="005376DE"/>
    <w:rsid w:val="00537C2E"/>
    <w:rsid w:val="00537E28"/>
    <w:rsid w:val="0054043F"/>
    <w:rsid w:val="005405D6"/>
    <w:rsid w:val="00540655"/>
    <w:rsid w:val="00540A6B"/>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424"/>
    <w:rsid w:val="00550489"/>
    <w:rsid w:val="00550742"/>
    <w:rsid w:val="00550E9D"/>
    <w:rsid w:val="0055152C"/>
    <w:rsid w:val="005517D2"/>
    <w:rsid w:val="005517EC"/>
    <w:rsid w:val="005519FF"/>
    <w:rsid w:val="00551A87"/>
    <w:rsid w:val="00551D76"/>
    <w:rsid w:val="00552134"/>
    <w:rsid w:val="00552208"/>
    <w:rsid w:val="0055234A"/>
    <w:rsid w:val="00552618"/>
    <w:rsid w:val="00552670"/>
    <w:rsid w:val="00552C54"/>
    <w:rsid w:val="0055318F"/>
    <w:rsid w:val="005531E3"/>
    <w:rsid w:val="00553391"/>
    <w:rsid w:val="00553448"/>
    <w:rsid w:val="005536A9"/>
    <w:rsid w:val="00553846"/>
    <w:rsid w:val="005539A4"/>
    <w:rsid w:val="00553B71"/>
    <w:rsid w:val="005540AD"/>
    <w:rsid w:val="005542E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DCF"/>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D7A"/>
    <w:rsid w:val="00566EB1"/>
    <w:rsid w:val="0056702E"/>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2D0"/>
    <w:rsid w:val="005725F8"/>
    <w:rsid w:val="00572688"/>
    <w:rsid w:val="00572745"/>
    <w:rsid w:val="00572C56"/>
    <w:rsid w:val="00572E1C"/>
    <w:rsid w:val="00572FBD"/>
    <w:rsid w:val="0057315C"/>
    <w:rsid w:val="0057325B"/>
    <w:rsid w:val="00573417"/>
    <w:rsid w:val="005734EF"/>
    <w:rsid w:val="0057363C"/>
    <w:rsid w:val="0057385F"/>
    <w:rsid w:val="00573976"/>
    <w:rsid w:val="00573A2F"/>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6D"/>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97"/>
    <w:rsid w:val="005817C2"/>
    <w:rsid w:val="005818D9"/>
    <w:rsid w:val="00581942"/>
    <w:rsid w:val="00581A99"/>
    <w:rsid w:val="00581BC6"/>
    <w:rsid w:val="00581CB0"/>
    <w:rsid w:val="00582162"/>
    <w:rsid w:val="00582601"/>
    <w:rsid w:val="00582A3B"/>
    <w:rsid w:val="00582F8D"/>
    <w:rsid w:val="00583027"/>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5FD1"/>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012"/>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78"/>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5F5"/>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A11"/>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A5C"/>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4F72"/>
    <w:rsid w:val="005C51ED"/>
    <w:rsid w:val="005C5504"/>
    <w:rsid w:val="005C5674"/>
    <w:rsid w:val="005C5675"/>
    <w:rsid w:val="005C56EC"/>
    <w:rsid w:val="005C5707"/>
    <w:rsid w:val="005C5CD2"/>
    <w:rsid w:val="005C5D2A"/>
    <w:rsid w:val="005C5F4D"/>
    <w:rsid w:val="005C6265"/>
    <w:rsid w:val="005C62BB"/>
    <w:rsid w:val="005C6463"/>
    <w:rsid w:val="005C6468"/>
    <w:rsid w:val="005C64ED"/>
    <w:rsid w:val="005C67BE"/>
    <w:rsid w:val="005C6BC1"/>
    <w:rsid w:val="005C6DC6"/>
    <w:rsid w:val="005C6E20"/>
    <w:rsid w:val="005C7456"/>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61"/>
    <w:rsid w:val="005D31D5"/>
    <w:rsid w:val="005D35A5"/>
    <w:rsid w:val="005D38FB"/>
    <w:rsid w:val="005D3BE6"/>
    <w:rsid w:val="005D4136"/>
    <w:rsid w:val="005D4AC4"/>
    <w:rsid w:val="005D4BAC"/>
    <w:rsid w:val="005D4DAF"/>
    <w:rsid w:val="005D50F6"/>
    <w:rsid w:val="005D5273"/>
    <w:rsid w:val="005D531D"/>
    <w:rsid w:val="005D5806"/>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CCD"/>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026"/>
    <w:rsid w:val="0060708F"/>
    <w:rsid w:val="0060712A"/>
    <w:rsid w:val="00607284"/>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0EA"/>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2D6"/>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B8"/>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1C6"/>
    <w:rsid w:val="00644B09"/>
    <w:rsid w:val="00644EC7"/>
    <w:rsid w:val="00645199"/>
    <w:rsid w:val="006453DF"/>
    <w:rsid w:val="00645511"/>
    <w:rsid w:val="00645815"/>
    <w:rsid w:val="00645B41"/>
    <w:rsid w:val="00645B6B"/>
    <w:rsid w:val="00645BF8"/>
    <w:rsid w:val="00645C39"/>
    <w:rsid w:val="00645D04"/>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7F4"/>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336"/>
    <w:rsid w:val="006735DA"/>
    <w:rsid w:val="00673BBA"/>
    <w:rsid w:val="00673D40"/>
    <w:rsid w:val="00673D91"/>
    <w:rsid w:val="00673EC7"/>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AFD"/>
    <w:rsid w:val="00682B4C"/>
    <w:rsid w:val="00682D48"/>
    <w:rsid w:val="00682EB5"/>
    <w:rsid w:val="00682FC9"/>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55B"/>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2CB"/>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13"/>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0C6F"/>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A8C"/>
    <w:rsid w:val="006A4B3F"/>
    <w:rsid w:val="006A4E22"/>
    <w:rsid w:val="006A51B1"/>
    <w:rsid w:val="006A5205"/>
    <w:rsid w:val="006A5221"/>
    <w:rsid w:val="006A5258"/>
    <w:rsid w:val="006A5549"/>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3A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ED2"/>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4B9A"/>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5C"/>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9F"/>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29C"/>
    <w:rsid w:val="006D0384"/>
    <w:rsid w:val="006D0436"/>
    <w:rsid w:val="006D0D2A"/>
    <w:rsid w:val="006D0D87"/>
    <w:rsid w:val="006D0DC4"/>
    <w:rsid w:val="006D11DB"/>
    <w:rsid w:val="006D12A6"/>
    <w:rsid w:val="006D13B1"/>
    <w:rsid w:val="006D1675"/>
    <w:rsid w:val="006D1CCB"/>
    <w:rsid w:val="006D1E4E"/>
    <w:rsid w:val="006D2313"/>
    <w:rsid w:val="006D243A"/>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0D"/>
    <w:rsid w:val="006D64D1"/>
    <w:rsid w:val="006D6533"/>
    <w:rsid w:val="006D66CE"/>
    <w:rsid w:val="006D670B"/>
    <w:rsid w:val="006D695E"/>
    <w:rsid w:val="006D6A03"/>
    <w:rsid w:val="006D6E39"/>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E77"/>
    <w:rsid w:val="006E1F1A"/>
    <w:rsid w:val="006E21F1"/>
    <w:rsid w:val="006E22EA"/>
    <w:rsid w:val="006E24CF"/>
    <w:rsid w:val="006E2830"/>
    <w:rsid w:val="006E29DA"/>
    <w:rsid w:val="006E2ADD"/>
    <w:rsid w:val="006E2DB3"/>
    <w:rsid w:val="006E2FFB"/>
    <w:rsid w:val="006E31CD"/>
    <w:rsid w:val="006E334E"/>
    <w:rsid w:val="006E3496"/>
    <w:rsid w:val="006E3649"/>
    <w:rsid w:val="006E37C4"/>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85F"/>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8B0"/>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8EC"/>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332"/>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A6E"/>
    <w:rsid w:val="00726BD2"/>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76A"/>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493"/>
    <w:rsid w:val="007475C9"/>
    <w:rsid w:val="007476BE"/>
    <w:rsid w:val="00747907"/>
    <w:rsid w:val="00747CFC"/>
    <w:rsid w:val="00747ED9"/>
    <w:rsid w:val="00747F91"/>
    <w:rsid w:val="007500EB"/>
    <w:rsid w:val="00750115"/>
    <w:rsid w:val="007501BF"/>
    <w:rsid w:val="007502F0"/>
    <w:rsid w:val="00750349"/>
    <w:rsid w:val="007505A8"/>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913"/>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97F"/>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BC4"/>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51"/>
    <w:rsid w:val="00782FF3"/>
    <w:rsid w:val="007830DB"/>
    <w:rsid w:val="0078318C"/>
    <w:rsid w:val="0078322A"/>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148"/>
    <w:rsid w:val="007876B1"/>
    <w:rsid w:val="0078798F"/>
    <w:rsid w:val="00787A10"/>
    <w:rsid w:val="00787C77"/>
    <w:rsid w:val="007900FE"/>
    <w:rsid w:val="007901C6"/>
    <w:rsid w:val="0079038D"/>
    <w:rsid w:val="007903AC"/>
    <w:rsid w:val="0079048D"/>
    <w:rsid w:val="0079062F"/>
    <w:rsid w:val="00790B83"/>
    <w:rsid w:val="007911ED"/>
    <w:rsid w:val="00791279"/>
    <w:rsid w:val="007912EB"/>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49D7"/>
    <w:rsid w:val="007956AF"/>
    <w:rsid w:val="00795B3B"/>
    <w:rsid w:val="00795D52"/>
    <w:rsid w:val="007960D3"/>
    <w:rsid w:val="00796332"/>
    <w:rsid w:val="0079634E"/>
    <w:rsid w:val="00796578"/>
    <w:rsid w:val="0079696B"/>
    <w:rsid w:val="00797412"/>
    <w:rsid w:val="007978F1"/>
    <w:rsid w:val="007979EE"/>
    <w:rsid w:val="00797B4F"/>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162"/>
    <w:rsid w:val="007A4646"/>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2F02"/>
    <w:rsid w:val="007B305F"/>
    <w:rsid w:val="007B326E"/>
    <w:rsid w:val="007B3681"/>
    <w:rsid w:val="007B3FB4"/>
    <w:rsid w:val="007B405F"/>
    <w:rsid w:val="007B40AE"/>
    <w:rsid w:val="007B40DF"/>
    <w:rsid w:val="007B44BB"/>
    <w:rsid w:val="007B46BC"/>
    <w:rsid w:val="007B4E62"/>
    <w:rsid w:val="007B52C2"/>
    <w:rsid w:val="007B5325"/>
    <w:rsid w:val="007B541B"/>
    <w:rsid w:val="007B560E"/>
    <w:rsid w:val="007B568A"/>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AF6"/>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A8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C4A"/>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7D"/>
    <w:rsid w:val="007D62B6"/>
    <w:rsid w:val="007D63AE"/>
    <w:rsid w:val="007D661E"/>
    <w:rsid w:val="007D68A9"/>
    <w:rsid w:val="007D6DAE"/>
    <w:rsid w:val="007D70E9"/>
    <w:rsid w:val="007D76B5"/>
    <w:rsid w:val="007D7807"/>
    <w:rsid w:val="007D7838"/>
    <w:rsid w:val="007D7852"/>
    <w:rsid w:val="007D7AA3"/>
    <w:rsid w:val="007D7D18"/>
    <w:rsid w:val="007E037A"/>
    <w:rsid w:val="007E0805"/>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ECE"/>
    <w:rsid w:val="007E3FAE"/>
    <w:rsid w:val="007E4559"/>
    <w:rsid w:val="007E4886"/>
    <w:rsid w:val="007E4A73"/>
    <w:rsid w:val="007E4C7C"/>
    <w:rsid w:val="007E4EF1"/>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58"/>
    <w:rsid w:val="007F6466"/>
    <w:rsid w:val="007F67B8"/>
    <w:rsid w:val="007F6DC4"/>
    <w:rsid w:val="007F6ED0"/>
    <w:rsid w:val="007F6F7D"/>
    <w:rsid w:val="007F701B"/>
    <w:rsid w:val="007F705F"/>
    <w:rsid w:val="007F794A"/>
    <w:rsid w:val="007F799D"/>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3A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9B4"/>
    <w:rsid w:val="00806AA4"/>
    <w:rsid w:val="00806BE0"/>
    <w:rsid w:val="00806CC1"/>
    <w:rsid w:val="00807021"/>
    <w:rsid w:val="00807089"/>
    <w:rsid w:val="008072D1"/>
    <w:rsid w:val="0080786E"/>
    <w:rsid w:val="00807A7C"/>
    <w:rsid w:val="00807B7B"/>
    <w:rsid w:val="00807CC8"/>
    <w:rsid w:val="00807FD5"/>
    <w:rsid w:val="00810057"/>
    <w:rsid w:val="00810A61"/>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918"/>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5E1A"/>
    <w:rsid w:val="0081609B"/>
    <w:rsid w:val="008160CC"/>
    <w:rsid w:val="00816120"/>
    <w:rsid w:val="00816217"/>
    <w:rsid w:val="00816477"/>
    <w:rsid w:val="00816500"/>
    <w:rsid w:val="00816591"/>
    <w:rsid w:val="00816882"/>
    <w:rsid w:val="008169C1"/>
    <w:rsid w:val="00816A1B"/>
    <w:rsid w:val="00816A55"/>
    <w:rsid w:val="00816A6F"/>
    <w:rsid w:val="00816D53"/>
    <w:rsid w:val="00816F37"/>
    <w:rsid w:val="008171D9"/>
    <w:rsid w:val="008176C4"/>
    <w:rsid w:val="00817876"/>
    <w:rsid w:val="00817986"/>
    <w:rsid w:val="00817D3B"/>
    <w:rsid w:val="00817E3E"/>
    <w:rsid w:val="00817F6B"/>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AB9"/>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8AC"/>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6EE"/>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D0"/>
    <w:rsid w:val="00861FF9"/>
    <w:rsid w:val="008622FC"/>
    <w:rsid w:val="008624ED"/>
    <w:rsid w:val="00862617"/>
    <w:rsid w:val="00862679"/>
    <w:rsid w:val="00862A4A"/>
    <w:rsid w:val="00862C4A"/>
    <w:rsid w:val="00862E59"/>
    <w:rsid w:val="00862E5B"/>
    <w:rsid w:val="00862EFB"/>
    <w:rsid w:val="00862F81"/>
    <w:rsid w:val="008633C3"/>
    <w:rsid w:val="008636F7"/>
    <w:rsid w:val="00863D34"/>
    <w:rsid w:val="00863D85"/>
    <w:rsid w:val="00863E4C"/>
    <w:rsid w:val="00864382"/>
    <w:rsid w:val="00864987"/>
    <w:rsid w:val="0086498D"/>
    <w:rsid w:val="008656E5"/>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9EE"/>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1F6"/>
    <w:rsid w:val="008723C1"/>
    <w:rsid w:val="0087290B"/>
    <w:rsid w:val="00872F5F"/>
    <w:rsid w:val="00872FD5"/>
    <w:rsid w:val="00873053"/>
    <w:rsid w:val="00873156"/>
    <w:rsid w:val="0087334C"/>
    <w:rsid w:val="0087348A"/>
    <w:rsid w:val="008735C9"/>
    <w:rsid w:val="008737A7"/>
    <w:rsid w:val="0087382E"/>
    <w:rsid w:val="0087386D"/>
    <w:rsid w:val="00873A73"/>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734"/>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2A3"/>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034"/>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2"/>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A6F"/>
    <w:rsid w:val="008A5C7D"/>
    <w:rsid w:val="008A5E56"/>
    <w:rsid w:val="008A605E"/>
    <w:rsid w:val="008A6171"/>
    <w:rsid w:val="008A6302"/>
    <w:rsid w:val="008A6438"/>
    <w:rsid w:val="008A6B63"/>
    <w:rsid w:val="008A6BA0"/>
    <w:rsid w:val="008A6C6A"/>
    <w:rsid w:val="008A6F4A"/>
    <w:rsid w:val="008A70F1"/>
    <w:rsid w:val="008A71BB"/>
    <w:rsid w:val="008A7224"/>
    <w:rsid w:val="008A725B"/>
    <w:rsid w:val="008A73BD"/>
    <w:rsid w:val="008A748B"/>
    <w:rsid w:val="008A7544"/>
    <w:rsid w:val="008A78D8"/>
    <w:rsid w:val="008A7A4D"/>
    <w:rsid w:val="008A7AF2"/>
    <w:rsid w:val="008A7B40"/>
    <w:rsid w:val="008A7DA7"/>
    <w:rsid w:val="008B0122"/>
    <w:rsid w:val="008B0959"/>
    <w:rsid w:val="008B0A3E"/>
    <w:rsid w:val="008B0AA4"/>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ABD"/>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B7EAD"/>
    <w:rsid w:val="008B7FED"/>
    <w:rsid w:val="008C0106"/>
    <w:rsid w:val="008C015A"/>
    <w:rsid w:val="008C01CD"/>
    <w:rsid w:val="008C01DB"/>
    <w:rsid w:val="008C0336"/>
    <w:rsid w:val="008C05B6"/>
    <w:rsid w:val="008C0670"/>
    <w:rsid w:val="008C06BD"/>
    <w:rsid w:val="008C073C"/>
    <w:rsid w:val="008C0A7C"/>
    <w:rsid w:val="008C0C0D"/>
    <w:rsid w:val="008C0DD8"/>
    <w:rsid w:val="008C0DEB"/>
    <w:rsid w:val="008C1130"/>
    <w:rsid w:val="008C1405"/>
    <w:rsid w:val="008C168A"/>
    <w:rsid w:val="008C1A01"/>
    <w:rsid w:val="008C2049"/>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9E1"/>
    <w:rsid w:val="008C4A65"/>
    <w:rsid w:val="008C4A90"/>
    <w:rsid w:val="008C4DBF"/>
    <w:rsid w:val="008C518A"/>
    <w:rsid w:val="008C51D5"/>
    <w:rsid w:val="008C57C7"/>
    <w:rsid w:val="008C5B34"/>
    <w:rsid w:val="008C60D2"/>
    <w:rsid w:val="008C6154"/>
    <w:rsid w:val="008C61D2"/>
    <w:rsid w:val="008C631D"/>
    <w:rsid w:val="008C6457"/>
    <w:rsid w:val="008C67BA"/>
    <w:rsid w:val="008C6889"/>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16"/>
    <w:rsid w:val="008D1375"/>
    <w:rsid w:val="008D18A5"/>
    <w:rsid w:val="008D1942"/>
    <w:rsid w:val="008D19D1"/>
    <w:rsid w:val="008D1A0E"/>
    <w:rsid w:val="008D1A8E"/>
    <w:rsid w:val="008D1F44"/>
    <w:rsid w:val="008D2052"/>
    <w:rsid w:val="008D210F"/>
    <w:rsid w:val="008D220A"/>
    <w:rsid w:val="008D246C"/>
    <w:rsid w:val="008D2803"/>
    <w:rsid w:val="008D2944"/>
    <w:rsid w:val="008D2AF6"/>
    <w:rsid w:val="008D2BCA"/>
    <w:rsid w:val="008D2C71"/>
    <w:rsid w:val="008D30E4"/>
    <w:rsid w:val="008D3104"/>
    <w:rsid w:val="008D323B"/>
    <w:rsid w:val="008D325B"/>
    <w:rsid w:val="008D364D"/>
    <w:rsid w:val="008D3A33"/>
    <w:rsid w:val="008D3DD6"/>
    <w:rsid w:val="008D3F1A"/>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1991"/>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01B"/>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1FD"/>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A15"/>
    <w:rsid w:val="008F7E4B"/>
    <w:rsid w:val="00900159"/>
    <w:rsid w:val="009001C6"/>
    <w:rsid w:val="00900243"/>
    <w:rsid w:val="009003E8"/>
    <w:rsid w:val="0090057D"/>
    <w:rsid w:val="00900773"/>
    <w:rsid w:val="00900801"/>
    <w:rsid w:val="00900A0B"/>
    <w:rsid w:val="00900B0A"/>
    <w:rsid w:val="00900E06"/>
    <w:rsid w:val="00900EBC"/>
    <w:rsid w:val="009011EA"/>
    <w:rsid w:val="0090195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3C2"/>
    <w:rsid w:val="00903477"/>
    <w:rsid w:val="009036EE"/>
    <w:rsid w:val="00903782"/>
    <w:rsid w:val="00903B03"/>
    <w:rsid w:val="00903E34"/>
    <w:rsid w:val="009042B3"/>
    <w:rsid w:val="0090491D"/>
    <w:rsid w:val="00904A56"/>
    <w:rsid w:val="00904F0E"/>
    <w:rsid w:val="00905083"/>
    <w:rsid w:val="009053BA"/>
    <w:rsid w:val="00905615"/>
    <w:rsid w:val="00905635"/>
    <w:rsid w:val="009056F1"/>
    <w:rsid w:val="009057A8"/>
    <w:rsid w:val="00905BC9"/>
    <w:rsid w:val="009060FB"/>
    <w:rsid w:val="00906255"/>
    <w:rsid w:val="00906819"/>
    <w:rsid w:val="009068A5"/>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14"/>
    <w:rsid w:val="00911FE0"/>
    <w:rsid w:val="009120EB"/>
    <w:rsid w:val="0091219E"/>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0B3"/>
    <w:rsid w:val="00915192"/>
    <w:rsid w:val="0091526D"/>
    <w:rsid w:val="00915324"/>
    <w:rsid w:val="00915556"/>
    <w:rsid w:val="009159D5"/>
    <w:rsid w:val="00915FF3"/>
    <w:rsid w:val="00916551"/>
    <w:rsid w:val="00916901"/>
    <w:rsid w:val="00916C25"/>
    <w:rsid w:val="009171AA"/>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4A8"/>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5EFB"/>
    <w:rsid w:val="009261C0"/>
    <w:rsid w:val="00926295"/>
    <w:rsid w:val="009262E8"/>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11B"/>
    <w:rsid w:val="0093132A"/>
    <w:rsid w:val="009314FE"/>
    <w:rsid w:val="0093158E"/>
    <w:rsid w:val="009315FB"/>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95B"/>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979"/>
    <w:rsid w:val="00937D00"/>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0C8"/>
    <w:rsid w:val="00944101"/>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C9C"/>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3AB"/>
    <w:rsid w:val="00952426"/>
    <w:rsid w:val="00952772"/>
    <w:rsid w:val="00952BF3"/>
    <w:rsid w:val="00952C49"/>
    <w:rsid w:val="00952DEB"/>
    <w:rsid w:val="00952E0E"/>
    <w:rsid w:val="00952F32"/>
    <w:rsid w:val="00953283"/>
    <w:rsid w:val="009535CD"/>
    <w:rsid w:val="0095384D"/>
    <w:rsid w:val="00953885"/>
    <w:rsid w:val="009538EB"/>
    <w:rsid w:val="00953ADB"/>
    <w:rsid w:val="00953B1F"/>
    <w:rsid w:val="009540E2"/>
    <w:rsid w:val="0095440A"/>
    <w:rsid w:val="009545C9"/>
    <w:rsid w:val="00954695"/>
    <w:rsid w:val="0095473B"/>
    <w:rsid w:val="00954A4F"/>
    <w:rsid w:val="00954B66"/>
    <w:rsid w:val="00954BAE"/>
    <w:rsid w:val="00954DC0"/>
    <w:rsid w:val="00954EFE"/>
    <w:rsid w:val="0095523A"/>
    <w:rsid w:val="00955351"/>
    <w:rsid w:val="00955392"/>
    <w:rsid w:val="009556F6"/>
    <w:rsid w:val="0095593B"/>
    <w:rsid w:val="00955D34"/>
    <w:rsid w:val="00955D6E"/>
    <w:rsid w:val="0095644A"/>
    <w:rsid w:val="009565F9"/>
    <w:rsid w:val="0095664F"/>
    <w:rsid w:val="009568FC"/>
    <w:rsid w:val="009569A8"/>
    <w:rsid w:val="00956A20"/>
    <w:rsid w:val="00956AB0"/>
    <w:rsid w:val="00956C9A"/>
    <w:rsid w:val="00956CFF"/>
    <w:rsid w:val="00956D52"/>
    <w:rsid w:val="00956F39"/>
    <w:rsid w:val="0095733C"/>
    <w:rsid w:val="0095791E"/>
    <w:rsid w:val="009579BD"/>
    <w:rsid w:val="009579C4"/>
    <w:rsid w:val="00957F40"/>
    <w:rsid w:val="00960395"/>
    <w:rsid w:val="009605CB"/>
    <w:rsid w:val="0096062D"/>
    <w:rsid w:val="00960643"/>
    <w:rsid w:val="00960A8E"/>
    <w:rsid w:val="00960DDF"/>
    <w:rsid w:val="00961057"/>
    <w:rsid w:val="00961074"/>
    <w:rsid w:val="00961190"/>
    <w:rsid w:val="00961615"/>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5D2"/>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6DEA"/>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0C0"/>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DE9"/>
    <w:rsid w:val="00973E53"/>
    <w:rsid w:val="00973F09"/>
    <w:rsid w:val="00973F3B"/>
    <w:rsid w:val="00974110"/>
    <w:rsid w:val="0097439D"/>
    <w:rsid w:val="009746D6"/>
    <w:rsid w:val="009747B7"/>
    <w:rsid w:val="00974AB0"/>
    <w:rsid w:val="00974C71"/>
    <w:rsid w:val="009750F0"/>
    <w:rsid w:val="009753C2"/>
    <w:rsid w:val="009755EC"/>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16A"/>
    <w:rsid w:val="009803D6"/>
    <w:rsid w:val="0098043C"/>
    <w:rsid w:val="00980592"/>
    <w:rsid w:val="00980A79"/>
    <w:rsid w:val="00980C11"/>
    <w:rsid w:val="00980DBF"/>
    <w:rsid w:val="00980E2F"/>
    <w:rsid w:val="009813E1"/>
    <w:rsid w:val="00981C58"/>
    <w:rsid w:val="00981D27"/>
    <w:rsid w:val="00981E59"/>
    <w:rsid w:val="00981FBB"/>
    <w:rsid w:val="0098262B"/>
    <w:rsid w:val="0098265E"/>
    <w:rsid w:val="00982A75"/>
    <w:rsid w:val="00982B80"/>
    <w:rsid w:val="00982F22"/>
    <w:rsid w:val="00983028"/>
    <w:rsid w:val="009833D8"/>
    <w:rsid w:val="0098409B"/>
    <w:rsid w:val="00984211"/>
    <w:rsid w:val="009844FC"/>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055"/>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D20"/>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2"/>
    <w:rsid w:val="009A7925"/>
    <w:rsid w:val="009A7A2D"/>
    <w:rsid w:val="009A7A55"/>
    <w:rsid w:val="009A7A7C"/>
    <w:rsid w:val="009A7AB9"/>
    <w:rsid w:val="009A7CBA"/>
    <w:rsid w:val="009A7D91"/>
    <w:rsid w:val="009B01F0"/>
    <w:rsid w:val="009B0273"/>
    <w:rsid w:val="009B0758"/>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4829"/>
    <w:rsid w:val="009B4FC4"/>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4B"/>
    <w:rsid w:val="009B7A99"/>
    <w:rsid w:val="009B7CF4"/>
    <w:rsid w:val="009B7D2B"/>
    <w:rsid w:val="009B7E89"/>
    <w:rsid w:val="009B7F91"/>
    <w:rsid w:val="009B7FF3"/>
    <w:rsid w:val="009C0052"/>
    <w:rsid w:val="009C00A3"/>
    <w:rsid w:val="009C0836"/>
    <w:rsid w:val="009C0925"/>
    <w:rsid w:val="009C09DA"/>
    <w:rsid w:val="009C0A02"/>
    <w:rsid w:val="009C0BFD"/>
    <w:rsid w:val="009C0CA2"/>
    <w:rsid w:val="009C0F59"/>
    <w:rsid w:val="009C0F9C"/>
    <w:rsid w:val="009C0FE9"/>
    <w:rsid w:val="009C116F"/>
    <w:rsid w:val="009C13D3"/>
    <w:rsid w:val="009C170C"/>
    <w:rsid w:val="009C1D92"/>
    <w:rsid w:val="009C1D9B"/>
    <w:rsid w:val="009C1F5F"/>
    <w:rsid w:val="009C2426"/>
    <w:rsid w:val="009C2626"/>
    <w:rsid w:val="009C268F"/>
    <w:rsid w:val="009C26CF"/>
    <w:rsid w:val="009C26FE"/>
    <w:rsid w:val="009C27D5"/>
    <w:rsid w:val="009C28B6"/>
    <w:rsid w:val="009C2EEF"/>
    <w:rsid w:val="009C31A9"/>
    <w:rsid w:val="009C3270"/>
    <w:rsid w:val="009C352E"/>
    <w:rsid w:val="009C37AF"/>
    <w:rsid w:val="009C3BDB"/>
    <w:rsid w:val="009C4284"/>
    <w:rsid w:val="009C45B2"/>
    <w:rsid w:val="009C45D6"/>
    <w:rsid w:val="009C460F"/>
    <w:rsid w:val="009C490A"/>
    <w:rsid w:val="009C49ED"/>
    <w:rsid w:val="009C4B90"/>
    <w:rsid w:val="009C4D48"/>
    <w:rsid w:val="009C4E5B"/>
    <w:rsid w:val="009C59A9"/>
    <w:rsid w:val="009C59BF"/>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E87"/>
    <w:rsid w:val="009D3081"/>
    <w:rsid w:val="009D3177"/>
    <w:rsid w:val="009D32AB"/>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B3C"/>
    <w:rsid w:val="009E0D27"/>
    <w:rsid w:val="009E1140"/>
    <w:rsid w:val="009E1350"/>
    <w:rsid w:val="009E1546"/>
    <w:rsid w:val="009E1677"/>
    <w:rsid w:val="009E1708"/>
    <w:rsid w:val="009E1840"/>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263"/>
    <w:rsid w:val="009E579C"/>
    <w:rsid w:val="009E595F"/>
    <w:rsid w:val="009E5963"/>
    <w:rsid w:val="009E5EFE"/>
    <w:rsid w:val="009E6253"/>
    <w:rsid w:val="009E6254"/>
    <w:rsid w:val="009E631F"/>
    <w:rsid w:val="009E6378"/>
    <w:rsid w:val="009E63F1"/>
    <w:rsid w:val="009E6504"/>
    <w:rsid w:val="009E6588"/>
    <w:rsid w:val="009E6DB1"/>
    <w:rsid w:val="009E6FDC"/>
    <w:rsid w:val="009E707E"/>
    <w:rsid w:val="009E73C2"/>
    <w:rsid w:val="009E7783"/>
    <w:rsid w:val="009E78C2"/>
    <w:rsid w:val="009E7C54"/>
    <w:rsid w:val="009E7E5A"/>
    <w:rsid w:val="009E7F84"/>
    <w:rsid w:val="009F01CB"/>
    <w:rsid w:val="009F034D"/>
    <w:rsid w:val="009F04A9"/>
    <w:rsid w:val="009F0937"/>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104"/>
    <w:rsid w:val="009F5261"/>
    <w:rsid w:val="009F52E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1D7"/>
    <w:rsid w:val="00A03710"/>
    <w:rsid w:val="00A0393C"/>
    <w:rsid w:val="00A03EBD"/>
    <w:rsid w:val="00A04A9C"/>
    <w:rsid w:val="00A04C3D"/>
    <w:rsid w:val="00A04D4F"/>
    <w:rsid w:val="00A04E81"/>
    <w:rsid w:val="00A04F0E"/>
    <w:rsid w:val="00A04F63"/>
    <w:rsid w:val="00A0508F"/>
    <w:rsid w:val="00A05217"/>
    <w:rsid w:val="00A053F2"/>
    <w:rsid w:val="00A054E7"/>
    <w:rsid w:val="00A0550E"/>
    <w:rsid w:val="00A055DF"/>
    <w:rsid w:val="00A056DF"/>
    <w:rsid w:val="00A05789"/>
    <w:rsid w:val="00A057A8"/>
    <w:rsid w:val="00A05DD0"/>
    <w:rsid w:val="00A06033"/>
    <w:rsid w:val="00A0636A"/>
    <w:rsid w:val="00A06631"/>
    <w:rsid w:val="00A0663B"/>
    <w:rsid w:val="00A06976"/>
    <w:rsid w:val="00A06E24"/>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019"/>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18B"/>
    <w:rsid w:val="00A162FB"/>
    <w:rsid w:val="00A16408"/>
    <w:rsid w:val="00A16500"/>
    <w:rsid w:val="00A1691A"/>
    <w:rsid w:val="00A16B43"/>
    <w:rsid w:val="00A1712B"/>
    <w:rsid w:val="00A17195"/>
    <w:rsid w:val="00A172AE"/>
    <w:rsid w:val="00A1746E"/>
    <w:rsid w:val="00A175C2"/>
    <w:rsid w:val="00A17702"/>
    <w:rsid w:val="00A17995"/>
    <w:rsid w:val="00A17AC0"/>
    <w:rsid w:val="00A17BD8"/>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8E2"/>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3CE"/>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801"/>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6AB"/>
    <w:rsid w:val="00A528FF"/>
    <w:rsid w:val="00A52989"/>
    <w:rsid w:val="00A53094"/>
    <w:rsid w:val="00A537EF"/>
    <w:rsid w:val="00A538A4"/>
    <w:rsid w:val="00A53984"/>
    <w:rsid w:val="00A53ABD"/>
    <w:rsid w:val="00A53B08"/>
    <w:rsid w:val="00A53BEB"/>
    <w:rsid w:val="00A53D07"/>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594"/>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181"/>
    <w:rsid w:val="00A742B8"/>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363"/>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A9E"/>
    <w:rsid w:val="00A83EA3"/>
    <w:rsid w:val="00A8403A"/>
    <w:rsid w:val="00A84459"/>
    <w:rsid w:val="00A8487C"/>
    <w:rsid w:val="00A848D0"/>
    <w:rsid w:val="00A84907"/>
    <w:rsid w:val="00A84AFA"/>
    <w:rsid w:val="00A84F28"/>
    <w:rsid w:val="00A853AC"/>
    <w:rsid w:val="00A8549B"/>
    <w:rsid w:val="00A854B5"/>
    <w:rsid w:val="00A8588A"/>
    <w:rsid w:val="00A858A3"/>
    <w:rsid w:val="00A85A34"/>
    <w:rsid w:val="00A85D1F"/>
    <w:rsid w:val="00A85EA8"/>
    <w:rsid w:val="00A85F4D"/>
    <w:rsid w:val="00A85FB6"/>
    <w:rsid w:val="00A86191"/>
    <w:rsid w:val="00A8627F"/>
    <w:rsid w:val="00A86283"/>
    <w:rsid w:val="00A86515"/>
    <w:rsid w:val="00A86554"/>
    <w:rsid w:val="00A86826"/>
    <w:rsid w:val="00A86835"/>
    <w:rsid w:val="00A868A4"/>
    <w:rsid w:val="00A86A12"/>
    <w:rsid w:val="00A86C5F"/>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3D2D"/>
    <w:rsid w:val="00AA4119"/>
    <w:rsid w:val="00AA4671"/>
    <w:rsid w:val="00AA4B34"/>
    <w:rsid w:val="00AA4B7C"/>
    <w:rsid w:val="00AA4BEC"/>
    <w:rsid w:val="00AA4E6E"/>
    <w:rsid w:val="00AA519D"/>
    <w:rsid w:val="00AA5324"/>
    <w:rsid w:val="00AA5329"/>
    <w:rsid w:val="00AA5396"/>
    <w:rsid w:val="00AA53C2"/>
    <w:rsid w:val="00AA5646"/>
    <w:rsid w:val="00AA5703"/>
    <w:rsid w:val="00AA5A89"/>
    <w:rsid w:val="00AA5ACA"/>
    <w:rsid w:val="00AA5AF3"/>
    <w:rsid w:val="00AA5B8A"/>
    <w:rsid w:val="00AA5BE3"/>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3EB2"/>
    <w:rsid w:val="00AB42D9"/>
    <w:rsid w:val="00AB435D"/>
    <w:rsid w:val="00AB4605"/>
    <w:rsid w:val="00AB46FA"/>
    <w:rsid w:val="00AB4ADE"/>
    <w:rsid w:val="00AB4B2C"/>
    <w:rsid w:val="00AB4C91"/>
    <w:rsid w:val="00AB4E8B"/>
    <w:rsid w:val="00AB517C"/>
    <w:rsid w:val="00AB52F7"/>
    <w:rsid w:val="00AB5565"/>
    <w:rsid w:val="00AB581E"/>
    <w:rsid w:val="00AB5875"/>
    <w:rsid w:val="00AB5A07"/>
    <w:rsid w:val="00AB5D13"/>
    <w:rsid w:val="00AB5F4C"/>
    <w:rsid w:val="00AB615E"/>
    <w:rsid w:val="00AB6306"/>
    <w:rsid w:val="00AB648E"/>
    <w:rsid w:val="00AB6555"/>
    <w:rsid w:val="00AB66AF"/>
    <w:rsid w:val="00AB66DB"/>
    <w:rsid w:val="00AB68D9"/>
    <w:rsid w:val="00AB700F"/>
    <w:rsid w:val="00AB724C"/>
    <w:rsid w:val="00AB75DE"/>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E1D"/>
    <w:rsid w:val="00AC2F02"/>
    <w:rsid w:val="00AC393B"/>
    <w:rsid w:val="00AC3F6D"/>
    <w:rsid w:val="00AC452A"/>
    <w:rsid w:val="00AC45A8"/>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57C"/>
    <w:rsid w:val="00AD4CB1"/>
    <w:rsid w:val="00AD4D10"/>
    <w:rsid w:val="00AD4F6E"/>
    <w:rsid w:val="00AD5127"/>
    <w:rsid w:val="00AD56DF"/>
    <w:rsid w:val="00AD57D7"/>
    <w:rsid w:val="00AD5A1A"/>
    <w:rsid w:val="00AD5A32"/>
    <w:rsid w:val="00AD5E0C"/>
    <w:rsid w:val="00AD5E63"/>
    <w:rsid w:val="00AD614D"/>
    <w:rsid w:val="00AD6299"/>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26"/>
    <w:rsid w:val="00AF22AC"/>
    <w:rsid w:val="00AF270F"/>
    <w:rsid w:val="00AF2950"/>
    <w:rsid w:val="00AF2B89"/>
    <w:rsid w:val="00AF2C49"/>
    <w:rsid w:val="00AF2C52"/>
    <w:rsid w:val="00AF2C97"/>
    <w:rsid w:val="00AF2D8C"/>
    <w:rsid w:val="00AF3321"/>
    <w:rsid w:val="00AF3335"/>
    <w:rsid w:val="00AF3618"/>
    <w:rsid w:val="00AF366E"/>
    <w:rsid w:val="00AF393E"/>
    <w:rsid w:val="00AF3947"/>
    <w:rsid w:val="00AF399F"/>
    <w:rsid w:val="00AF3F44"/>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2AD8"/>
    <w:rsid w:val="00B12D97"/>
    <w:rsid w:val="00B132CF"/>
    <w:rsid w:val="00B132F3"/>
    <w:rsid w:val="00B1331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76F"/>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46F"/>
    <w:rsid w:val="00B339AD"/>
    <w:rsid w:val="00B33B57"/>
    <w:rsid w:val="00B33C0C"/>
    <w:rsid w:val="00B33D44"/>
    <w:rsid w:val="00B33EFC"/>
    <w:rsid w:val="00B33FB1"/>
    <w:rsid w:val="00B34386"/>
    <w:rsid w:val="00B343A2"/>
    <w:rsid w:val="00B344C4"/>
    <w:rsid w:val="00B345D4"/>
    <w:rsid w:val="00B34672"/>
    <w:rsid w:val="00B3472E"/>
    <w:rsid w:val="00B34F8A"/>
    <w:rsid w:val="00B35879"/>
    <w:rsid w:val="00B35941"/>
    <w:rsid w:val="00B359B7"/>
    <w:rsid w:val="00B359F3"/>
    <w:rsid w:val="00B35EFB"/>
    <w:rsid w:val="00B36012"/>
    <w:rsid w:val="00B366C4"/>
    <w:rsid w:val="00B367D7"/>
    <w:rsid w:val="00B37064"/>
    <w:rsid w:val="00B37154"/>
    <w:rsid w:val="00B37176"/>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7A"/>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1E2"/>
    <w:rsid w:val="00B62592"/>
    <w:rsid w:val="00B62664"/>
    <w:rsid w:val="00B62797"/>
    <w:rsid w:val="00B62B1B"/>
    <w:rsid w:val="00B62C1E"/>
    <w:rsid w:val="00B62D95"/>
    <w:rsid w:val="00B62E8A"/>
    <w:rsid w:val="00B62EC7"/>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DA4"/>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9B0"/>
    <w:rsid w:val="00B77B4F"/>
    <w:rsid w:val="00B77CBA"/>
    <w:rsid w:val="00B77D4C"/>
    <w:rsid w:val="00B803E8"/>
    <w:rsid w:val="00B80552"/>
    <w:rsid w:val="00B807CB"/>
    <w:rsid w:val="00B809DC"/>
    <w:rsid w:val="00B80B31"/>
    <w:rsid w:val="00B80EEC"/>
    <w:rsid w:val="00B8104C"/>
    <w:rsid w:val="00B812B2"/>
    <w:rsid w:val="00B814AE"/>
    <w:rsid w:val="00B817BD"/>
    <w:rsid w:val="00B81A5B"/>
    <w:rsid w:val="00B81DAC"/>
    <w:rsid w:val="00B820E8"/>
    <w:rsid w:val="00B821DB"/>
    <w:rsid w:val="00B823C2"/>
    <w:rsid w:val="00B82434"/>
    <w:rsid w:val="00B82458"/>
    <w:rsid w:val="00B824E3"/>
    <w:rsid w:val="00B826EA"/>
    <w:rsid w:val="00B826EC"/>
    <w:rsid w:val="00B8281F"/>
    <w:rsid w:val="00B82B9F"/>
    <w:rsid w:val="00B83114"/>
    <w:rsid w:val="00B8350E"/>
    <w:rsid w:val="00B836E5"/>
    <w:rsid w:val="00B836FE"/>
    <w:rsid w:val="00B8372F"/>
    <w:rsid w:val="00B838E6"/>
    <w:rsid w:val="00B838F6"/>
    <w:rsid w:val="00B83CC3"/>
    <w:rsid w:val="00B83F30"/>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A89"/>
    <w:rsid w:val="00B86E35"/>
    <w:rsid w:val="00B875A9"/>
    <w:rsid w:val="00B87620"/>
    <w:rsid w:val="00B878F6"/>
    <w:rsid w:val="00B87AE3"/>
    <w:rsid w:val="00B87B5E"/>
    <w:rsid w:val="00B87DC8"/>
    <w:rsid w:val="00B9097B"/>
    <w:rsid w:val="00B90A1A"/>
    <w:rsid w:val="00B90B54"/>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3F53"/>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8BE"/>
    <w:rsid w:val="00BA2A26"/>
    <w:rsid w:val="00BA2ACE"/>
    <w:rsid w:val="00BA3029"/>
    <w:rsid w:val="00BA3470"/>
    <w:rsid w:val="00BA34F3"/>
    <w:rsid w:val="00BA37E3"/>
    <w:rsid w:val="00BA383A"/>
    <w:rsid w:val="00BA3B25"/>
    <w:rsid w:val="00BA3C61"/>
    <w:rsid w:val="00BA3F40"/>
    <w:rsid w:val="00BA4322"/>
    <w:rsid w:val="00BA43A8"/>
    <w:rsid w:val="00BA476A"/>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B1F"/>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B5B"/>
    <w:rsid w:val="00BB3EBF"/>
    <w:rsid w:val="00BB3FB5"/>
    <w:rsid w:val="00BB4038"/>
    <w:rsid w:val="00BB425D"/>
    <w:rsid w:val="00BB429F"/>
    <w:rsid w:val="00BB4337"/>
    <w:rsid w:val="00BB469D"/>
    <w:rsid w:val="00BB4712"/>
    <w:rsid w:val="00BB4748"/>
    <w:rsid w:val="00BB4B43"/>
    <w:rsid w:val="00BB516E"/>
    <w:rsid w:val="00BB55E9"/>
    <w:rsid w:val="00BB5653"/>
    <w:rsid w:val="00BB5943"/>
    <w:rsid w:val="00BB5DB8"/>
    <w:rsid w:val="00BB6021"/>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231"/>
    <w:rsid w:val="00BC529E"/>
    <w:rsid w:val="00BC555F"/>
    <w:rsid w:val="00BC556A"/>
    <w:rsid w:val="00BC59FA"/>
    <w:rsid w:val="00BC5C42"/>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4B3"/>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3D"/>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5C5"/>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5F6E"/>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10C"/>
    <w:rsid w:val="00C002F2"/>
    <w:rsid w:val="00C004A5"/>
    <w:rsid w:val="00C006BE"/>
    <w:rsid w:val="00C006F4"/>
    <w:rsid w:val="00C00936"/>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1D3"/>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9AA"/>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46"/>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8E"/>
    <w:rsid w:val="00C21EAE"/>
    <w:rsid w:val="00C22054"/>
    <w:rsid w:val="00C220E2"/>
    <w:rsid w:val="00C221BF"/>
    <w:rsid w:val="00C22212"/>
    <w:rsid w:val="00C22583"/>
    <w:rsid w:val="00C2283D"/>
    <w:rsid w:val="00C22DDC"/>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6397"/>
    <w:rsid w:val="00C267AB"/>
    <w:rsid w:val="00C27013"/>
    <w:rsid w:val="00C2712D"/>
    <w:rsid w:val="00C2715D"/>
    <w:rsid w:val="00C273E7"/>
    <w:rsid w:val="00C2742A"/>
    <w:rsid w:val="00C2751F"/>
    <w:rsid w:val="00C278C6"/>
    <w:rsid w:val="00C27962"/>
    <w:rsid w:val="00C27E74"/>
    <w:rsid w:val="00C301A8"/>
    <w:rsid w:val="00C302B6"/>
    <w:rsid w:val="00C30A64"/>
    <w:rsid w:val="00C30DDC"/>
    <w:rsid w:val="00C31086"/>
    <w:rsid w:val="00C317C1"/>
    <w:rsid w:val="00C31CA3"/>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4E7"/>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63"/>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46D"/>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BB4"/>
    <w:rsid w:val="00C55C98"/>
    <w:rsid w:val="00C5609B"/>
    <w:rsid w:val="00C5615A"/>
    <w:rsid w:val="00C56165"/>
    <w:rsid w:val="00C5619B"/>
    <w:rsid w:val="00C563D7"/>
    <w:rsid w:val="00C56965"/>
    <w:rsid w:val="00C569EA"/>
    <w:rsid w:val="00C56E12"/>
    <w:rsid w:val="00C571BC"/>
    <w:rsid w:val="00C57459"/>
    <w:rsid w:val="00C57623"/>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804"/>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6D"/>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0F8A"/>
    <w:rsid w:val="00C81170"/>
    <w:rsid w:val="00C81359"/>
    <w:rsid w:val="00C8145B"/>
    <w:rsid w:val="00C8147D"/>
    <w:rsid w:val="00C815E4"/>
    <w:rsid w:val="00C815EE"/>
    <w:rsid w:val="00C81791"/>
    <w:rsid w:val="00C81E51"/>
    <w:rsid w:val="00C823A9"/>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664"/>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603"/>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B6"/>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1D"/>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31"/>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251"/>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39C"/>
    <w:rsid w:val="00CB7746"/>
    <w:rsid w:val="00CB78CF"/>
    <w:rsid w:val="00CB7DE0"/>
    <w:rsid w:val="00CB7E4E"/>
    <w:rsid w:val="00CB7E82"/>
    <w:rsid w:val="00CC03FD"/>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A8A"/>
    <w:rsid w:val="00CC2F18"/>
    <w:rsid w:val="00CC2F32"/>
    <w:rsid w:val="00CC319E"/>
    <w:rsid w:val="00CC319F"/>
    <w:rsid w:val="00CC32F2"/>
    <w:rsid w:val="00CC3749"/>
    <w:rsid w:val="00CC39B5"/>
    <w:rsid w:val="00CC3BD2"/>
    <w:rsid w:val="00CC3CCF"/>
    <w:rsid w:val="00CC3D7B"/>
    <w:rsid w:val="00CC415F"/>
    <w:rsid w:val="00CC4A07"/>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487"/>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262"/>
    <w:rsid w:val="00CD535C"/>
    <w:rsid w:val="00CD53A9"/>
    <w:rsid w:val="00CD57BE"/>
    <w:rsid w:val="00CD5805"/>
    <w:rsid w:val="00CD590D"/>
    <w:rsid w:val="00CD5ED0"/>
    <w:rsid w:val="00CD62A9"/>
    <w:rsid w:val="00CD6483"/>
    <w:rsid w:val="00CD6846"/>
    <w:rsid w:val="00CD6ADF"/>
    <w:rsid w:val="00CD6D6D"/>
    <w:rsid w:val="00CD71A7"/>
    <w:rsid w:val="00CD7286"/>
    <w:rsid w:val="00CD766F"/>
    <w:rsid w:val="00CD7698"/>
    <w:rsid w:val="00CD771F"/>
    <w:rsid w:val="00CD796C"/>
    <w:rsid w:val="00CD7CA1"/>
    <w:rsid w:val="00CD7D93"/>
    <w:rsid w:val="00CE004F"/>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76"/>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24"/>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BF2"/>
    <w:rsid w:val="00CF4FCD"/>
    <w:rsid w:val="00CF50BE"/>
    <w:rsid w:val="00CF51C0"/>
    <w:rsid w:val="00CF5204"/>
    <w:rsid w:val="00CF5AA8"/>
    <w:rsid w:val="00CF64A1"/>
    <w:rsid w:val="00CF67F7"/>
    <w:rsid w:val="00CF6AD5"/>
    <w:rsid w:val="00CF6BA7"/>
    <w:rsid w:val="00CF7451"/>
    <w:rsid w:val="00CF74AC"/>
    <w:rsid w:val="00CF74F6"/>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9DA"/>
    <w:rsid w:val="00D07A15"/>
    <w:rsid w:val="00D07E9B"/>
    <w:rsid w:val="00D104B3"/>
    <w:rsid w:val="00D10704"/>
    <w:rsid w:val="00D10F03"/>
    <w:rsid w:val="00D10F10"/>
    <w:rsid w:val="00D10F3A"/>
    <w:rsid w:val="00D10FD0"/>
    <w:rsid w:val="00D11500"/>
    <w:rsid w:val="00D1158F"/>
    <w:rsid w:val="00D115A0"/>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D5A"/>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5B2"/>
    <w:rsid w:val="00D226AB"/>
    <w:rsid w:val="00D2285A"/>
    <w:rsid w:val="00D229ED"/>
    <w:rsid w:val="00D22F31"/>
    <w:rsid w:val="00D2333C"/>
    <w:rsid w:val="00D23507"/>
    <w:rsid w:val="00D235C8"/>
    <w:rsid w:val="00D23A65"/>
    <w:rsid w:val="00D23F4E"/>
    <w:rsid w:val="00D24399"/>
    <w:rsid w:val="00D24E4A"/>
    <w:rsid w:val="00D24F86"/>
    <w:rsid w:val="00D2506E"/>
    <w:rsid w:val="00D255D2"/>
    <w:rsid w:val="00D25DAE"/>
    <w:rsid w:val="00D25DEA"/>
    <w:rsid w:val="00D261B9"/>
    <w:rsid w:val="00D2631E"/>
    <w:rsid w:val="00D26803"/>
    <w:rsid w:val="00D26881"/>
    <w:rsid w:val="00D268C5"/>
    <w:rsid w:val="00D26BD8"/>
    <w:rsid w:val="00D26C42"/>
    <w:rsid w:val="00D26DA5"/>
    <w:rsid w:val="00D2708C"/>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84F"/>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B30"/>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8B"/>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57BE2"/>
    <w:rsid w:val="00D60111"/>
    <w:rsid w:val="00D60284"/>
    <w:rsid w:val="00D60533"/>
    <w:rsid w:val="00D60A7B"/>
    <w:rsid w:val="00D60D74"/>
    <w:rsid w:val="00D60E24"/>
    <w:rsid w:val="00D60F5B"/>
    <w:rsid w:val="00D60FBF"/>
    <w:rsid w:val="00D610F4"/>
    <w:rsid w:val="00D61299"/>
    <w:rsid w:val="00D6147F"/>
    <w:rsid w:val="00D616E3"/>
    <w:rsid w:val="00D617ED"/>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4FE"/>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17F"/>
    <w:rsid w:val="00D75234"/>
    <w:rsid w:val="00D753D3"/>
    <w:rsid w:val="00D75A20"/>
    <w:rsid w:val="00D75AAA"/>
    <w:rsid w:val="00D75C18"/>
    <w:rsid w:val="00D75DCD"/>
    <w:rsid w:val="00D75E3E"/>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2C2"/>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5DCD"/>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1F0F"/>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753"/>
    <w:rsid w:val="00DA69E6"/>
    <w:rsid w:val="00DA6D4B"/>
    <w:rsid w:val="00DA6EBE"/>
    <w:rsid w:val="00DA75F4"/>
    <w:rsid w:val="00DA7607"/>
    <w:rsid w:val="00DA7805"/>
    <w:rsid w:val="00DA78DD"/>
    <w:rsid w:val="00DA78ED"/>
    <w:rsid w:val="00DA7A3F"/>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3DE"/>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4BB"/>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61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4A8"/>
    <w:rsid w:val="00DD0514"/>
    <w:rsid w:val="00DD0590"/>
    <w:rsid w:val="00DD0614"/>
    <w:rsid w:val="00DD0764"/>
    <w:rsid w:val="00DD09BB"/>
    <w:rsid w:val="00DD0D69"/>
    <w:rsid w:val="00DD0F40"/>
    <w:rsid w:val="00DD12FE"/>
    <w:rsid w:val="00DD17B8"/>
    <w:rsid w:val="00DD19F4"/>
    <w:rsid w:val="00DD1CAB"/>
    <w:rsid w:val="00DD1D93"/>
    <w:rsid w:val="00DD2221"/>
    <w:rsid w:val="00DD2349"/>
    <w:rsid w:val="00DD2396"/>
    <w:rsid w:val="00DD2575"/>
    <w:rsid w:val="00DD29D4"/>
    <w:rsid w:val="00DD2E69"/>
    <w:rsid w:val="00DD337C"/>
    <w:rsid w:val="00DD3522"/>
    <w:rsid w:val="00DD3839"/>
    <w:rsid w:val="00DD3958"/>
    <w:rsid w:val="00DD3A74"/>
    <w:rsid w:val="00DD3DA8"/>
    <w:rsid w:val="00DD3E8A"/>
    <w:rsid w:val="00DD3FAA"/>
    <w:rsid w:val="00DD4014"/>
    <w:rsid w:val="00DD43BE"/>
    <w:rsid w:val="00DD4671"/>
    <w:rsid w:val="00DD4D73"/>
    <w:rsid w:val="00DD4DD0"/>
    <w:rsid w:val="00DD4E85"/>
    <w:rsid w:val="00DD4FAB"/>
    <w:rsid w:val="00DD51C7"/>
    <w:rsid w:val="00DD525B"/>
    <w:rsid w:val="00DD54BA"/>
    <w:rsid w:val="00DD5B27"/>
    <w:rsid w:val="00DD5F59"/>
    <w:rsid w:val="00DD6A5D"/>
    <w:rsid w:val="00DD6BA3"/>
    <w:rsid w:val="00DD6C13"/>
    <w:rsid w:val="00DD6D90"/>
    <w:rsid w:val="00DD7182"/>
    <w:rsid w:val="00DD74FB"/>
    <w:rsid w:val="00DD7555"/>
    <w:rsid w:val="00DD79E4"/>
    <w:rsid w:val="00DD7A58"/>
    <w:rsid w:val="00DD7A5E"/>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8F8"/>
    <w:rsid w:val="00DE19E2"/>
    <w:rsid w:val="00DE1E35"/>
    <w:rsid w:val="00DE1E79"/>
    <w:rsid w:val="00DE1F1A"/>
    <w:rsid w:val="00DE21DB"/>
    <w:rsid w:val="00DE25BD"/>
    <w:rsid w:val="00DE25F0"/>
    <w:rsid w:val="00DE279C"/>
    <w:rsid w:val="00DE2838"/>
    <w:rsid w:val="00DE29EA"/>
    <w:rsid w:val="00DE2BFD"/>
    <w:rsid w:val="00DE2F69"/>
    <w:rsid w:val="00DE2FB0"/>
    <w:rsid w:val="00DE2FF3"/>
    <w:rsid w:val="00DE31A8"/>
    <w:rsid w:val="00DE333D"/>
    <w:rsid w:val="00DE34E8"/>
    <w:rsid w:val="00DE4AA6"/>
    <w:rsid w:val="00DE4B51"/>
    <w:rsid w:val="00DE4B8F"/>
    <w:rsid w:val="00DE4E39"/>
    <w:rsid w:val="00DE539C"/>
    <w:rsid w:val="00DE5485"/>
    <w:rsid w:val="00DE5630"/>
    <w:rsid w:val="00DE5AA7"/>
    <w:rsid w:val="00DE5C3C"/>
    <w:rsid w:val="00DE6004"/>
    <w:rsid w:val="00DE65D2"/>
    <w:rsid w:val="00DE6640"/>
    <w:rsid w:val="00DE67F0"/>
    <w:rsid w:val="00DE67F8"/>
    <w:rsid w:val="00DE6844"/>
    <w:rsid w:val="00DE6DC9"/>
    <w:rsid w:val="00DE71A4"/>
    <w:rsid w:val="00DE730B"/>
    <w:rsid w:val="00DE7756"/>
    <w:rsid w:val="00DE7C13"/>
    <w:rsid w:val="00DE7C40"/>
    <w:rsid w:val="00DE7F68"/>
    <w:rsid w:val="00DE7FB4"/>
    <w:rsid w:val="00DF0702"/>
    <w:rsid w:val="00DF09F7"/>
    <w:rsid w:val="00DF0A5C"/>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88F"/>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757"/>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18"/>
    <w:rsid w:val="00E06BC0"/>
    <w:rsid w:val="00E06E25"/>
    <w:rsid w:val="00E070F8"/>
    <w:rsid w:val="00E07522"/>
    <w:rsid w:val="00E07611"/>
    <w:rsid w:val="00E0774D"/>
    <w:rsid w:val="00E07BA7"/>
    <w:rsid w:val="00E07C0A"/>
    <w:rsid w:val="00E07C27"/>
    <w:rsid w:val="00E07FB1"/>
    <w:rsid w:val="00E104EB"/>
    <w:rsid w:val="00E108B5"/>
    <w:rsid w:val="00E10906"/>
    <w:rsid w:val="00E10C36"/>
    <w:rsid w:val="00E10E45"/>
    <w:rsid w:val="00E111DF"/>
    <w:rsid w:val="00E11339"/>
    <w:rsid w:val="00E114D8"/>
    <w:rsid w:val="00E11EB3"/>
    <w:rsid w:val="00E11FAA"/>
    <w:rsid w:val="00E11FC2"/>
    <w:rsid w:val="00E1217F"/>
    <w:rsid w:val="00E12315"/>
    <w:rsid w:val="00E124F6"/>
    <w:rsid w:val="00E12559"/>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976"/>
    <w:rsid w:val="00E21B50"/>
    <w:rsid w:val="00E21D92"/>
    <w:rsid w:val="00E22151"/>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159"/>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D6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D6A"/>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2B"/>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1C20"/>
    <w:rsid w:val="00E422E1"/>
    <w:rsid w:val="00E42523"/>
    <w:rsid w:val="00E42552"/>
    <w:rsid w:val="00E4269D"/>
    <w:rsid w:val="00E42736"/>
    <w:rsid w:val="00E42851"/>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51"/>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01E"/>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94B"/>
    <w:rsid w:val="00E809FD"/>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D59"/>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4F3"/>
    <w:rsid w:val="00E85669"/>
    <w:rsid w:val="00E856A1"/>
    <w:rsid w:val="00E857E2"/>
    <w:rsid w:val="00E85B28"/>
    <w:rsid w:val="00E8609A"/>
    <w:rsid w:val="00E86277"/>
    <w:rsid w:val="00E864D8"/>
    <w:rsid w:val="00E86534"/>
    <w:rsid w:val="00E86607"/>
    <w:rsid w:val="00E86BC2"/>
    <w:rsid w:val="00E86CB7"/>
    <w:rsid w:val="00E86DD7"/>
    <w:rsid w:val="00E87241"/>
    <w:rsid w:val="00E8749D"/>
    <w:rsid w:val="00E877B3"/>
    <w:rsid w:val="00E87904"/>
    <w:rsid w:val="00E87939"/>
    <w:rsid w:val="00E87B73"/>
    <w:rsid w:val="00E87BDF"/>
    <w:rsid w:val="00E87C3C"/>
    <w:rsid w:val="00E87C60"/>
    <w:rsid w:val="00E900B6"/>
    <w:rsid w:val="00E901C7"/>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3AAF"/>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E58"/>
    <w:rsid w:val="00EA3F6D"/>
    <w:rsid w:val="00EA451F"/>
    <w:rsid w:val="00EA4A3F"/>
    <w:rsid w:val="00EA4A91"/>
    <w:rsid w:val="00EA4C25"/>
    <w:rsid w:val="00EA4C9A"/>
    <w:rsid w:val="00EA4D13"/>
    <w:rsid w:val="00EA4DB0"/>
    <w:rsid w:val="00EA4E27"/>
    <w:rsid w:val="00EA552D"/>
    <w:rsid w:val="00EA55CC"/>
    <w:rsid w:val="00EA5654"/>
    <w:rsid w:val="00EA56A9"/>
    <w:rsid w:val="00EA59B1"/>
    <w:rsid w:val="00EA5ECD"/>
    <w:rsid w:val="00EA6049"/>
    <w:rsid w:val="00EA628C"/>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AC3"/>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034"/>
    <w:rsid w:val="00EB617E"/>
    <w:rsid w:val="00EB621D"/>
    <w:rsid w:val="00EB6225"/>
    <w:rsid w:val="00EB6617"/>
    <w:rsid w:val="00EB67B6"/>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EB0"/>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33"/>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7E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11F"/>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322"/>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CE1"/>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30"/>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CEA"/>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95C"/>
    <w:rsid w:val="00F15A6B"/>
    <w:rsid w:val="00F15BCE"/>
    <w:rsid w:val="00F16A73"/>
    <w:rsid w:val="00F16C38"/>
    <w:rsid w:val="00F16D2C"/>
    <w:rsid w:val="00F16FA0"/>
    <w:rsid w:val="00F16FAD"/>
    <w:rsid w:val="00F1706C"/>
    <w:rsid w:val="00F17322"/>
    <w:rsid w:val="00F17A0F"/>
    <w:rsid w:val="00F17CFF"/>
    <w:rsid w:val="00F17D1F"/>
    <w:rsid w:val="00F17D3B"/>
    <w:rsid w:val="00F17E59"/>
    <w:rsid w:val="00F17ECE"/>
    <w:rsid w:val="00F17F6B"/>
    <w:rsid w:val="00F17F7F"/>
    <w:rsid w:val="00F2011B"/>
    <w:rsid w:val="00F208EC"/>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328"/>
    <w:rsid w:val="00F24714"/>
    <w:rsid w:val="00F24871"/>
    <w:rsid w:val="00F24ACF"/>
    <w:rsid w:val="00F24CAD"/>
    <w:rsid w:val="00F24CC7"/>
    <w:rsid w:val="00F24F1F"/>
    <w:rsid w:val="00F252D0"/>
    <w:rsid w:val="00F25749"/>
    <w:rsid w:val="00F25E06"/>
    <w:rsid w:val="00F25F8A"/>
    <w:rsid w:val="00F260C5"/>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1B38"/>
    <w:rsid w:val="00F32534"/>
    <w:rsid w:val="00F325AC"/>
    <w:rsid w:val="00F3268A"/>
    <w:rsid w:val="00F326B7"/>
    <w:rsid w:val="00F32733"/>
    <w:rsid w:val="00F327F7"/>
    <w:rsid w:val="00F32902"/>
    <w:rsid w:val="00F33134"/>
    <w:rsid w:val="00F3356B"/>
    <w:rsid w:val="00F335BE"/>
    <w:rsid w:val="00F337D8"/>
    <w:rsid w:val="00F33947"/>
    <w:rsid w:val="00F3398F"/>
    <w:rsid w:val="00F33ADB"/>
    <w:rsid w:val="00F33C00"/>
    <w:rsid w:val="00F341AB"/>
    <w:rsid w:val="00F341D3"/>
    <w:rsid w:val="00F344EC"/>
    <w:rsid w:val="00F347D5"/>
    <w:rsid w:val="00F34EC4"/>
    <w:rsid w:val="00F35470"/>
    <w:rsid w:val="00F3569F"/>
    <w:rsid w:val="00F358A5"/>
    <w:rsid w:val="00F358A7"/>
    <w:rsid w:val="00F35A01"/>
    <w:rsid w:val="00F35A06"/>
    <w:rsid w:val="00F35B36"/>
    <w:rsid w:val="00F35C52"/>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A9A"/>
    <w:rsid w:val="00F43BAB"/>
    <w:rsid w:val="00F43E35"/>
    <w:rsid w:val="00F44650"/>
    <w:rsid w:val="00F44AB5"/>
    <w:rsid w:val="00F44B8E"/>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5D7D"/>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7E"/>
    <w:rsid w:val="00F677DE"/>
    <w:rsid w:val="00F67A05"/>
    <w:rsid w:val="00F67A20"/>
    <w:rsid w:val="00F67B75"/>
    <w:rsid w:val="00F67B95"/>
    <w:rsid w:val="00F67D83"/>
    <w:rsid w:val="00F67E3D"/>
    <w:rsid w:val="00F70005"/>
    <w:rsid w:val="00F7010D"/>
    <w:rsid w:val="00F7039D"/>
    <w:rsid w:val="00F707A4"/>
    <w:rsid w:val="00F70891"/>
    <w:rsid w:val="00F70902"/>
    <w:rsid w:val="00F70B2A"/>
    <w:rsid w:val="00F70B85"/>
    <w:rsid w:val="00F70DB5"/>
    <w:rsid w:val="00F7105E"/>
    <w:rsid w:val="00F71063"/>
    <w:rsid w:val="00F7106C"/>
    <w:rsid w:val="00F712F6"/>
    <w:rsid w:val="00F713ED"/>
    <w:rsid w:val="00F71442"/>
    <w:rsid w:val="00F71A3F"/>
    <w:rsid w:val="00F71C07"/>
    <w:rsid w:val="00F71C36"/>
    <w:rsid w:val="00F71E8E"/>
    <w:rsid w:val="00F726B2"/>
    <w:rsid w:val="00F72947"/>
    <w:rsid w:val="00F72B85"/>
    <w:rsid w:val="00F72C4D"/>
    <w:rsid w:val="00F73752"/>
    <w:rsid w:val="00F73B1B"/>
    <w:rsid w:val="00F73B8A"/>
    <w:rsid w:val="00F73D84"/>
    <w:rsid w:val="00F73DF1"/>
    <w:rsid w:val="00F73F28"/>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4CC"/>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527"/>
    <w:rsid w:val="00F86A01"/>
    <w:rsid w:val="00F86A5C"/>
    <w:rsid w:val="00F86A9B"/>
    <w:rsid w:val="00F8707A"/>
    <w:rsid w:val="00F8725C"/>
    <w:rsid w:val="00F87325"/>
    <w:rsid w:val="00F879C0"/>
    <w:rsid w:val="00F87A74"/>
    <w:rsid w:val="00F87BCA"/>
    <w:rsid w:val="00F90314"/>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489"/>
    <w:rsid w:val="00F95884"/>
    <w:rsid w:val="00F95A74"/>
    <w:rsid w:val="00F95AEA"/>
    <w:rsid w:val="00F95E6E"/>
    <w:rsid w:val="00F95EA6"/>
    <w:rsid w:val="00F96573"/>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28"/>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C7"/>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7E6"/>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240"/>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CCB"/>
    <w:rsid w:val="00FD3E74"/>
    <w:rsid w:val="00FD3F19"/>
    <w:rsid w:val="00FD3FEA"/>
    <w:rsid w:val="00FD404B"/>
    <w:rsid w:val="00FD41C7"/>
    <w:rsid w:val="00FD42BA"/>
    <w:rsid w:val="00FD42F1"/>
    <w:rsid w:val="00FD45C6"/>
    <w:rsid w:val="00FD45CF"/>
    <w:rsid w:val="00FD4695"/>
    <w:rsid w:val="00FD4C38"/>
    <w:rsid w:val="00FD4E75"/>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20"/>
    <w:rsid w:val="00FE13EB"/>
    <w:rsid w:val="00FE148E"/>
    <w:rsid w:val="00FE161C"/>
    <w:rsid w:val="00FE1725"/>
    <w:rsid w:val="00FE1748"/>
    <w:rsid w:val="00FE1C61"/>
    <w:rsid w:val="00FE1DB6"/>
    <w:rsid w:val="00FE1E8B"/>
    <w:rsid w:val="00FE1F2A"/>
    <w:rsid w:val="00FE1F7D"/>
    <w:rsid w:val="00FE21E7"/>
    <w:rsid w:val="00FE248C"/>
    <w:rsid w:val="00FE2510"/>
    <w:rsid w:val="00FE2707"/>
    <w:rsid w:val="00FE2ECE"/>
    <w:rsid w:val="00FE328A"/>
    <w:rsid w:val="00FE34F0"/>
    <w:rsid w:val="00FE3650"/>
    <w:rsid w:val="00FE3B52"/>
    <w:rsid w:val="00FE3F74"/>
    <w:rsid w:val="00FE41E3"/>
    <w:rsid w:val="00FE42E9"/>
    <w:rsid w:val="00FE44F3"/>
    <w:rsid w:val="00FE4680"/>
    <w:rsid w:val="00FE476F"/>
    <w:rsid w:val="00FE48FC"/>
    <w:rsid w:val="00FE493D"/>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531"/>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53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aliases w:val="Lista 123,Párrafo de lista3,List Paragraph,TITULO 1,Párrafo de lista numerado,Ha,Resume Title,List Paragraph 1,Citation List,1st level - Bullet List Paragraph,Lettre d'introduction,Paragrafo elenco,Normal bullet 2,Tabla"/>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aliases w:val="Lista 123 Car,Párrafo de lista3 Car,List Paragraph Car,TITULO 1 Car,Párrafo de lista numerado Car,Ha Car,Resume Title Car,List Paragraph 1 Car,Citation List Car,1st level - Bullet List Paragraph Car,Lettre d'introduction Car"/>
    <w:link w:val="Prrafodelista"/>
    <w:uiPriority w:val="34"/>
    <w:qFormat/>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298344225">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396636801">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7116831">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17218933">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0683582">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1653004">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4938743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1.gif"/><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10.emf"/><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3.xml"/><Relationship Id="rId29" Type="http://schemas.openxmlformats.org/officeDocument/2006/relationships/image" Target="media/image14.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9.png"/><Relationship Id="rId32" Type="http://schemas.openxmlformats.org/officeDocument/2006/relationships/hyperlink" Target="https://www.osinergmin.gob.pe/seccion/centro_documental/gart/precios_referencia_banda_precios/PreciosReferencia/Informe-Tecnico-479-2021-GRT.pdf"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8.png"/><Relationship Id="rId28" Type="http://schemas.openxmlformats.org/officeDocument/2006/relationships/image" Target="media/image13.gif"/><Relationship Id="rId36" Type="http://schemas.openxmlformats.org/officeDocument/2006/relationships/theme" Target="theme/theme1.xml"/><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7.png"/><Relationship Id="rId27" Type="http://schemas.openxmlformats.org/officeDocument/2006/relationships/image" Target="media/image12.gif"/><Relationship Id="rId30" Type="http://schemas.openxmlformats.org/officeDocument/2006/relationships/image" Target="media/image15.png"/><Relationship Id="rId35" Type="http://schemas.openxmlformats.org/officeDocument/2006/relationships/fontTable" Target="fontTable.xml"/><Relationship Id="rId8"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1CE36-05A5-414F-A564-2DBA6845F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15</Pages>
  <Words>3369</Words>
  <Characters>18535</Characters>
  <Application>Microsoft Office Word</Application>
  <DocSecurity>0</DocSecurity>
  <Lines>154</Lines>
  <Paragraphs>43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21861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5</cp:revision>
  <cp:lastPrinted>2023-01-12T22:49:00Z</cp:lastPrinted>
  <dcterms:created xsi:type="dcterms:W3CDTF">2023-01-26T18:14:00Z</dcterms:created>
  <dcterms:modified xsi:type="dcterms:W3CDTF">2023-01-26T20:10:00Z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fe50fe2ec93e6394feabbf89ae3486f3e0f1fc1c3d064f0bfcd529fa37fa660f</vt:lpwstr>
  </property>
</Properties>
</file>