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07A0EFF9"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360681">
        <w:rPr>
          <w:rFonts w:asciiTheme="minorHAnsi" w:hAnsiTheme="minorHAnsi" w:cstheme="minorHAnsi"/>
          <w:sz w:val="32"/>
          <w:szCs w:val="28"/>
          <w:u w:val="single"/>
          <w:lang w:val="it-IT"/>
        </w:rPr>
        <w:t>1</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56B9FF69"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360681">
        <w:rPr>
          <w:rFonts w:asciiTheme="minorHAnsi" w:hAnsiTheme="minorHAnsi" w:cstheme="minorHAnsi"/>
          <w:b/>
          <w:bCs/>
          <w:sz w:val="28"/>
          <w:szCs w:val="28"/>
        </w:rPr>
        <w:t>22</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7045AA">
        <w:rPr>
          <w:rFonts w:asciiTheme="minorHAnsi" w:hAnsiTheme="minorHAnsi" w:cstheme="minorHAnsi"/>
          <w:b/>
          <w:bCs/>
          <w:sz w:val="28"/>
          <w:szCs w:val="28"/>
        </w:rPr>
        <w:t>5</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39DC6C20" w:rsidR="00E53D92" w:rsidRPr="002B3648" w:rsidRDefault="00360681"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4F2BFA">
        <w:rPr>
          <w:noProof/>
        </w:rPr>
        <w:drawing>
          <wp:inline distT="0" distB="0" distL="0" distR="0" wp14:anchorId="582CDA45" wp14:editId="4BBE7051">
            <wp:extent cx="5364480" cy="3489960"/>
            <wp:effectExtent l="0" t="0" r="7620" b="0"/>
            <wp:docPr id="135893446" name="Picture 1" descr="A picture containing text, screenshot, font,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93446" name="Picture 1" descr="A picture containing text, screenshot, font, plot&#10;&#10;Description automatically generated"/>
                    <pic:cNvPicPr/>
                  </pic:nvPicPr>
                  <pic:blipFill>
                    <a:blip r:embed="rId8"/>
                    <a:stretch>
                      <a:fillRect/>
                    </a:stretch>
                  </pic:blipFill>
                  <pic:spPr>
                    <a:xfrm>
                      <a:off x="0" y="0"/>
                      <a:ext cx="5364480" cy="348996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4BD7899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w:t>
      </w:r>
      <w:r w:rsidR="00E958BC">
        <w:rPr>
          <w:rFonts w:asciiTheme="minorHAnsi" w:hAnsiTheme="minorHAnsi" w:cstheme="minorHAnsi"/>
          <w:sz w:val="22"/>
          <w:szCs w:val="22"/>
        </w:rPr>
        <w:t xml:space="preserve"> provocada principalmente por el conflicto geopolítico entre Rusia y Ucrania</w:t>
      </w:r>
      <w:r w:rsidRPr="00250238">
        <w:rPr>
          <w:rFonts w:asciiTheme="minorHAnsi" w:hAnsiTheme="minorHAnsi" w:cstheme="minorHAnsi"/>
          <w:sz w:val="22"/>
          <w:szCs w:val="22"/>
        </w:rPr>
        <w:t>;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marzo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197D44AE" w14:textId="20435018"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 xml:space="preserve">de evaluación, </w:t>
      </w:r>
      <w:r w:rsidRPr="006A2158">
        <w:rPr>
          <w:rFonts w:asciiTheme="minorHAnsi" w:hAnsiTheme="minorHAnsi" w:cstheme="minorHAnsi"/>
          <w:sz w:val="22"/>
          <w:szCs w:val="22"/>
        </w:rPr>
        <w:t xml:space="preserve">el precio del crudo WTI se ubicó en </w:t>
      </w:r>
      <w:r w:rsidR="00E11377">
        <w:rPr>
          <w:rFonts w:asciiTheme="minorHAnsi" w:hAnsiTheme="minorHAnsi" w:cstheme="minorHAnsi"/>
          <w:sz w:val="22"/>
          <w:szCs w:val="22"/>
        </w:rPr>
        <w:t>7</w:t>
      </w:r>
      <w:r w:rsidR="00B64937">
        <w:rPr>
          <w:rFonts w:asciiTheme="minorHAnsi" w:hAnsiTheme="minorHAnsi" w:cstheme="minorHAnsi"/>
          <w:sz w:val="22"/>
          <w:szCs w:val="22"/>
        </w:rPr>
        <w:t>0</w:t>
      </w:r>
      <w:r>
        <w:rPr>
          <w:rFonts w:asciiTheme="minorHAnsi" w:hAnsiTheme="minorHAnsi" w:cstheme="minorHAnsi"/>
          <w:sz w:val="22"/>
          <w:szCs w:val="22"/>
        </w:rPr>
        <w:t>,</w:t>
      </w:r>
      <w:r w:rsidR="002372F7">
        <w:rPr>
          <w:rFonts w:asciiTheme="minorHAnsi" w:hAnsiTheme="minorHAnsi" w:cstheme="minorHAnsi"/>
          <w:sz w:val="22"/>
          <w:szCs w:val="22"/>
        </w:rPr>
        <w:t>86</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las gasolinas registraron un precio superior a </w:t>
      </w:r>
      <w:r w:rsidR="00E11377">
        <w:rPr>
          <w:rFonts w:asciiTheme="minorHAnsi" w:hAnsiTheme="minorHAnsi" w:cstheme="minorHAnsi"/>
          <w:sz w:val="22"/>
          <w:szCs w:val="22"/>
        </w:rPr>
        <w:t>9</w:t>
      </w:r>
      <w:r w:rsidR="00B64937">
        <w:rPr>
          <w:rFonts w:asciiTheme="minorHAnsi" w:hAnsiTheme="minorHAnsi" w:cstheme="minorHAnsi"/>
          <w:sz w:val="22"/>
          <w:szCs w:val="22"/>
        </w:rPr>
        <w:t>0</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y los destilados medios registraron niveles por encima de los </w:t>
      </w:r>
      <w:r w:rsidR="00B21DAA">
        <w:rPr>
          <w:rFonts w:asciiTheme="minorHAnsi" w:hAnsiTheme="minorHAnsi" w:cstheme="minorHAnsi"/>
          <w:sz w:val="22"/>
          <w:szCs w:val="22"/>
        </w:rPr>
        <w:t>9</w:t>
      </w:r>
      <w:r w:rsidR="00360681">
        <w:rPr>
          <w:rFonts w:asciiTheme="minorHAnsi" w:hAnsiTheme="minorHAnsi" w:cstheme="minorHAnsi"/>
          <w:sz w:val="22"/>
          <w:szCs w:val="22"/>
        </w:rPr>
        <w:t>7</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Pr="006A2158">
        <w:rPr>
          <w:rFonts w:asciiTheme="minorHAnsi" w:hAnsiTheme="minorHAnsi" w:cstheme="minorHAnsi"/>
          <w:sz w:val="22"/>
          <w:szCs w:val="22"/>
        </w:rPr>
        <w:t xml:space="preserve">. Para el mismo periodo, el precio del GLP cerró la semana en </w:t>
      </w:r>
      <w:r w:rsidR="00B21DAA">
        <w:rPr>
          <w:rFonts w:asciiTheme="minorHAnsi" w:hAnsiTheme="minorHAnsi" w:cstheme="minorHAnsi"/>
          <w:sz w:val="22"/>
          <w:szCs w:val="22"/>
        </w:rPr>
        <w:t>2</w:t>
      </w:r>
      <w:r w:rsidR="00360681">
        <w:rPr>
          <w:rFonts w:asciiTheme="minorHAnsi" w:hAnsiTheme="minorHAnsi" w:cstheme="minorHAnsi"/>
          <w:sz w:val="22"/>
          <w:szCs w:val="22"/>
        </w:rPr>
        <w:t>7</w:t>
      </w:r>
      <w:r>
        <w:rPr>
          <w:rFonts w:asciiTheme="minorHAnsi" w:hAnsiTheme="minorHAnsi" w:cstheme="minorHAnsi"/>
          <w:sz w:val="22"/>
          <w:szCs w:val="22"/>
        </w:rPr>
        <w:t>,</w:t>
      </w:r>
      <w:r w:rsidR="00360681">
        <w:rPr>
          <w:rFonts w:asciiTheme="minorHAnsi" w:hAnsiTheme="minorHAnsi" w:cstheme="minorHAnsi"/>
          <w:sz w:val="22"/>
          <w:szCs w:val="22"/>
        </w:rPr>
        <w:t>84</w:t>
      </w:r>
      <w:r w:rsidRPr="006A2158">
        <w:rPr>
          <w:rFonts w:asciiTheme="minorHAnsi" w:hAnsiTheme="minorHAnsi" w:cstheme="minorHAnsi"/>
          <w:sz w:val="22"/>
          <w:szCs w:val="22"/>
        </w:rPr>
        <w:t xml:space="preserve"> US$/</w:t>
      </w:r>
      <w:proofErr w:type="spellStart"/>
      <w:r w:rsidRPr="006A2158">
        <w:rPr>
          <w:rFonts w:asciiTheme="minorHAnsi" w:hAnsiTheme="minorHAnsi" w:cstheme="minorHAnsi"/>
          <w:sz w:val="22"/>
          <w:szCs w:val="22"/>
        </w:rPr>
        <w:t>Bl</w:t>
      </w:r>
      <w:proofErr w:type="spellEnd"/>
      <w:r w:rsidR="00E812D9"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677A628F" w14:textId="315348E1"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2372F7">
        <w:rPr>
          <w:rFonts w:asciiTheme="minorHAnsi" w:hAnsiTheme="minorHAnsi" w:cstheme="minorHAnsi"/>
          <w:sz w:val="22"/>
          <w:szCs w:val="22"/>
        </w:rPr>
        <w:t>0</w:t>
      </w:r>
      <w:r w:rsidR="000C060E">
        <w:rPr>
          <w:rFonts w:asciiTheme="minorHAnsi" w:hAnsiTheme="minorHAnsi" w:cstheme="minorHAnsi"/>
          <w:sz w:val="22"/>
          <w:szCs w:val="22"/>
        </w:rPr>
        <w:t>8</w:t>
      </w:r>
      <w:r w:rsidRPr="00431A8E">
        <w:rPr>
          <w:rFonts w:asciiTheme="minorHAnsi" w:hAnsiTheme="minorHAnsi" w:cstheme="minorHAnsi"/>
          <w:sz w:val="22"/>
          <w:szCs w:val="22"/>
        </w:rPr>
        <w:t>.</w:t>
      </w:r>
      <w:r>
        <w:rPr>
          <w:rFonts w:asciiTheme="minorHAnsi" w:hAnsiTheme="minorHAnsi" w:cstheme="minorHAnsi"/>
          <w:sz w:val="22"/>
          <w:szCs w:val="22"/>
        </w:rPr>
        <w:t>0</w:t>
      </w:r>
      <w:r w:rsidR="002372F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2372F7">
        <w:rPr>
          <w:rFonts w:asciiTheme="minorHAnsi" w:hAnsiTheme="minorHAnsi" w:cstheme="minorHAnsi"/>
          <w:sz w:val="22"/>
          <w:szCs w:val="22"/>
        </w:rPr>
        <w:t>1</w:t>
      </w:r>
      <w:r w:rsidR="000C060E">
        <w:rPr>
          <w:rFonts w:asciiTheme="minorHAnsi" w:hAnsiTheme="minorHAnsi" w:cstheme="minorHAnsi"/>
          <w:sz w:val="22"/>
          <w:szCs w:val="22"/>
        </w:rPr>
        <w:t>9</w:t>
      </w:r>
      <w:r w:rsidRPr="00431A8E">
        <w:rPr>
          <w:rFonts w:asciiTheme="minorHAnsi" w:hAnsiTheme="minorHAnsi" w:cstheme="minorHAnsi"/>
          <w:sz w:val="22"/>
          <w:szCs w:val="22"/>
        </w:rPr>
        <w:t>.0</w:t>
      </w:r>
      <w:r w:rsidR="00B64937">
        <w:rPr>
          <w:rFonts w:asciiTheme="minorHAnsi" w:hAnsiTheme="minorHAnsi" w:cstheme="minorHAnsi"/>
          <w:sz w:val="22"/>
          <w:szCs w:val="22"/>
        </w:rPr>
        <w:t>5</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00AFB9CA" w14:textId="5E3E0E94" w:rsidR="00107E57" w:rsidRPr="00E60C43" w:rsidRDefault="00107E57" w:rsidP="00E60C43">
      <w:pPr>
        <w:pStyle w:val="Prrafodelista"/>
        <w:ind w:left="360"/>
        <w:contextualSpacing/>
        <w:jc w:val="both"/>
        <w:rPr>
          <w:rFonts w:asciiTheme="minorHAnsi" w:hAnsiTheme="minorHAnsi" w:cstheme="minorHAnsi"/>
          <w:b/>
          <w:bCs/>
          <w:sz w:val="22"/>
          <w:szCs w:val="22"/>
        </w:rPr>
      </w:pPr>
    </w:p>
    <w:p w14:paraId="4933A20F" w14:textId="77777777" w:rsidR="000C060E" w:rsidRPr="00A339CA" w:rsidRDefault="000C060E" w:rsidP="000C060E">
      <w:pPr>
        <w:pStyle w:val="Prrafodelista"/>
        <w:numPr>
          <w:ilvl w:val="0"/>
          <w:numId w:val="13"/>
        </w:numPr>
        <w:ind w:left="426"/>
        <w:contextualSpacing/>
        <w:jc w:val="both"/>
        <w:rPr>
          <w:rFonts w:asciiTheme="minorHAnsi" w:hAnsiTheme="minorHAnsi" w:cstheme="minorHAnsi"/>
          <w:b/>
          <w:sz w:val="22"/>
          <w:szCs w:val="22"/>
        </w:rPr>
      </w:pPr>
      <w:r w:rsidRPr="00A339CA">
        <w:rPr>
          <w:rFonts w:asciiTheme="minorHAnsi" w:hAnsiTheme="minorHAnsi" w:cstheme="minorHAnsi"/>
          <w:b/>
          <w:sz w:val="22"/>
          <w:szCs w:val="22"/>
        </w:rPr>
        <w:t>El aumento de los inventarios de crudo, propano y destilados medios; así como la disminución de las existencias de gasolinas al 12 de mayo del 2023.</w:t>
      </w:r>
    </w:p>
    <w:p w14:paraId="5CDCEC65" w14:textId="77777777" w:rsidR="000C060E" w:rsidRPr="00A339CA" w:rsidRDefault="000C060E" w:rsidP="000C060E">
      <w:pPr>
        <w:pStyle w:val="Prrafodelista"/>
        <w:ind w:left="426"/>
        <w:jc w:val="both"/>
        <w:rPr>
          <w:rFonts w:asciiTheme="minorHAnsi" w:hAnsiTheme="minorHAnsi" w:cstheme="minorHAnsi"/>
          <w:sz w:val="22"/>
          <w:szCs w:val="22"/>
        </w:rPr>
      </w:pPr>
    </w:p>
    <w:p w14:paraId="2265BB74"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Los inventarios de petróleo en Estados Unidos subieron 5,0 millones de barriles, ubicándose ligeramente por debajo de la media de los últimos 5 años, lo que representa 467,6 millones de barriles.</w:t>
      </w:r>
    </w:p>
    <w:p w14:paraId="33D52609" w14:textId="77777777" w:rsidR="000C060E" w:rsidRPr="00A339CA" w:rsidRDefault="000C060E" w:rsidP="000C060E">
      <w:pPr>
        <w:pStyle w:val="Prrafodelista"/>
        <w:ind w:left="426"/>
        <w:jc w:val="both"/>
        <w:rPr>
          <w:rFonts w:asciiTheme="minorHAnsi" w:hAnsiTheme="minorHAnsi" w:cstheme="minorHAnsi"/>
          <w:sz w:val="22"/>
          <w:szCs w:val="22"/>
        </w:rPr>
      </w:pPr>
    </w:p>
    <w:p w14:paraId="1320F965"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Por su parte, las existencias de gasolina bajaron 1,4 millones de barriles, reportando un total de 218,3 millones de barriles; mientras los inventarios de destilados, que incluyen al diésel y al combustible para calefacción, subieron 0,1 millones de barriles, con un total de 106,3 millones de barriles. Finalmente, las existencias de propano se incrementaron en 2,25 millones de barriles, ubicándose en los 63,66 millones de barriles.</w:t>
      </w:r>
    </w:p>
    <w:p w14:paraId="730C4E29" w14:textId="77777777" w:rsidR="000C060E" w:rsidRPr="00A339CA" w:rsidRDefault="000C060E" w:rsidP="000C060E">
      <w:pPr>
        <w:pStyle w:val="Prrafodelista"/>
        <w:ind w:left="426"/>
        <w:jc w:val="both"/>
        <w:rPr>
          <w:rFonts w:asciiTheme="minorHAnsi" w:hAnsiTheme="minorHAnsi" w:cstheme="minorHAnsi"/>
          <w:sz w:val="22"/>
          <w:szCs w:val="22"/>
        </w:rPr>
      </w:pPr>
    </w:p>
    <w:p w14:paraId="3A1F7D1F" w14:textId="77777777" w:rsidR="000C060E" w:rsidRPr="00A339CA" w:rsidRDefault="000C060E" w:rsidP="000C060E">
      <w:pPr>
        <w:pStyle w:val="Prrafodelista"/>
        <w:numPr>
          <w:ilvl w:val="0"/>
          <w:numId w:val="13"/>
        </w:numPr>
        <w:ind w:left="360"/>
        <w:contextualSpacing/>
        <w:jc w:val="both"/>
        <w:rPr>
          <w:rFonts w:asciiTheme="minorHAnsi" w:hAnsiTheme="minorHAnsi" w:cstheme="minorHAnsi"/>
          <w:b/>
          <w:bCs/>
          <w:sz w:val="22"/>
          <w:szCs w:val="22"/>
        </w:rPr>
      </w:pPr>
      <w:r w:rsidRPr="00A339CA">
        <w:rPr>
          <w:rFonts w:asciiTheme="minorHAnsi" w:hAnsiTheme="minorHAnsi" w:cstheme="minorHAnsi"/>
          <w:b/>
          <w:bCs/>
          <w:sz w:val="22"/>
          <w:szCs w:val="22"/>
        </w:rPr>
        <w:t>La posibilidad de que los legisladores lleguen a un acuerdo para elevar el techo de deuda del gobierno estadounidense</w:t>
      </w:r>
    </w:p>
    <w:p w14:paraId="650FDC69" w14:textId="77777777" w:rsidR="000C060E" w:rsidRPr="00A339CA" w:rsidRDefault="000C060E" w:rsidP="000C060E">
      <w:pPr>
        <w:jc w:val="both"/>
        <w:rPr>
          <w:rFonts w:asciiTheme="minorHAnsi" w:hAnsiTheme="minorHAnsi" w:cstheme="minorHAnsi"/>
          <w:sz w:val="22"/>
          <w:szCs w:val="22"/>
        </w:rPr>
      </w:pPr>
    </w:p>
    <w:p w14:paraId="2C87934B" w14:textId="77777777" w:rsidR="000C060E" w:rsidRPr="00A339CA" w:rsidRDefault="000C060E" w:rsidP="000C060E">
      <w:pPr>
        <w:ind w:left="426"/>
        <w:jc w:val="both"/>
        <w:rPr>
          <w:rFonts w:asciiTheme="minorHAnsi" w:hAnsiTheme="minorHAnsi" w:cstheme="minorHAnsi"/>
          <w:sz w:val="22"/>
          <w:szCs w:val="22"/>
        </w:rPr>
      </w:pPr>
      <w:r w:rsidRPr="00A339CA">
        <w:rPr>
          <w:rFonts w:asciiTheme="minorHAnsi" w:hAnsiTheme="minorHAnsi" w:cstheme="minorHAnsi"/>
          <w:sz w:val="22"/>
          <w:szCs w:val="22"/>
        </w:rPr>
        <w:t>Los agentes del mercado realizaron sus operaciones en un entorno más propenso al riesgo con algunas compras bajistas de crudo. No obstante, la confianza todavía es inestable, debido a los factores que rigen el comportamiento de los precios en el mercado internacional: el optimismo sobre el techo de deuda estadounidense y los datos de inflación que podrían presagiar más subidas de las tasas de interés de parte de los bancos centrales mundiales.</w:t>
      </w:r>
    </w:p>
    <w:p w14:paraId="682A7458" w14:textId="77777777" w:rsidR="000C060E" w:rsidRPr="00A339CA" w:rsidRDefault="000C060E" w:rsidP="000C060E">
      <w:pPr>
        <w:ind w:left="426"/>
        <w:jc w:val="both"/>
        <w:rPr>
          <w:rFonts w:asciiTheme="minorHAnsi" w:hAnsiTheme="minorHAnsi" w:cstheme="minorHAnsi"/>
          <w:sz w:val="22"/>
          <w:szCs w:val="22"/>
        </w:rPr>
      </w:pPr>
    </w:p>
    <w:p w14:paraId="3FBE347A" w14:textId="77777777" w:rsidR="000C060E" w:rsidRPr="00A339CA" w:rsidRDefault="000C060E" w:rsidP="000C060E">
      <w:pPr>
        <w:ind w:left="426"/>
        <w:jc w:val="both"/>
        <w:rPr>
          <w:rFonts w:asciiTheme="minorHAnsi" w:hAnsiTheme="minorHAnsi" w:cstheme="minorHAnsi"/>
          <w:sz w:val="22"/>
          <w:szCs w:val="22"/>
        </w:rPr>
      </w:pPr>
      <w:r w:rsidRPr="00A339CA">
        <w:rPr>
          <w:rFonts w:asciiTheme="minorHAnsi" w:hAnsiTheme="minorHAnsi" w:cstheme="minorHAnsi"/>
          <w:sz w:val="22"/>
          <w:szCs w:val="22"/>
        </w:rPr>
        <w:t xml:space="preserve">Según los analistas del </w:t>
      </w:r>
      <w:proofErr w:type="spellStart"/>
      <w:r w:rsidRPr="00A339CA">
        <w:rPr>
          <w:rFonts w:asciiTheme="minorHAnsi" w:hAnsiTheme="minorHAnsi" w:cstheme="minorHAnsi"/>
          <w:sz w:val="22"/>
          <w:szCs w:val="22"/>
        </w:rPr>
        <w:t>National</w:t>
      </w:r>
      <w:proofErr w:type="spellEnd"/>
      <w:r w:rsidRPr="00A339CA">
        <w:rPr>
          <w:rFonts w:asciiTheme="minorHAnsi" w:hAnsiTheme="minorHAnsi" w:cstheme="minorHAnsi"/>
          <w:sz w:val="22"/>
          <w:szCs w:val="22"/>
        </w:rPr>
        <w:t xml:space="preserve"> Australia </w:t>
      </w:r>
      <w:proofErr w:type="spellStart"/>
      <w:proofErr w:type="gramStart"/>
      <w:r w:rsidRPr="00A339CA">
        <w:rPr>
          <w:rFonts w:asciiTheme="minorHAnsi" w:hAnsiTheme="minorHAnsi" w:cstheme="minorHAnsi"/>
          <w:sz w:val="22"/>
          <w:szCs w:val="22"/>
        </w:rPr>
        <w:t>Bank:“</w:t>
      </w:r>
      <w:proofErr w:type="gramEnd"/>
      <w:r w:rsidRPr="00A339CA">
        <w:rPr>
          <w:rFonts w:asciiTheme="minorHAnsi" w:hAnsiTheme="minorHAnsi" w:cstheme="minorHAnsi"/>
          <w:sz w:val="22"/>
          <w:szCs w:val="22"/>
        </w:rPr>
        <w:t>La</w:t>
      </w:r>
      <w:proofErr w:type="spellEnd"/>
      <w:r w:rsidRPr="00A339CA">
        <w:rPr>
          <w:rFonts w:asciiTheme="minorHAnsi" w:hAnsiTheme="minorHAnsi" w:cstheme="minorHAnsi"/>
          <w:sz w:val="22"/>
          <w:szCs w:val="22"/>
        </w:rPr>
        <w:t xml:space="preserve"> posibilidad de nuevas subidas de tasas aumenta la preocupación por la debilidad de la demanda en Estados Unidos. Sin embargo, los precios del petróleo podrían subir por el aumento de la demanda china en 2023, lo que debería compensar la ralentización de la OCDE.”</w:t>
      </w:r>
    </w:p>
    <w:p w14:paraId="7EF0045C" w14:textId="77777777" w:rsidR="000C060E" w:rsidRPr="00A339CA" w:rsidRDefault="000C060E" w:rsidP="000C060E">
      <w:pPr>
        <w:ind w:left="426"/>
        <w:jc w:val="both"/>
        <w:rPr>
          <w:rFonts w:asciiTheme="minorHAnsi" w:hAnsiTheme="minorHAnsi" w:cstheme="minorHAnsi"/>
          <w:sz w:val="22"/>
          <w:szCs w:val="22"/>
        </w:rPr>
      </w:pPr>
    </w:p>
    <w:p w14:paraId="58E427AB" w14:textId="77777777" w:rsidR="000C060E" w:rsidRPr="00A339CA" w:rsidRDefault="000C060E" w:rsidP="000C060E">
      <w:pPr>
        <w:pStyle w:val="Prrafodelista"/>
        <w:numPr>
          <w:ilvl w:val="0"/>
          <w:numId w:val="13"/>
        </w:numPr>
        <w:ind w:left="360"/>
        <w:contextualSpacing/>
        <w:jc w:val="both"/>
        <w:rPr>
          <w:rFonts w:asciiTheme="minorHAnsi" w:hAnsiTheme="minorHAnsi" w:cstheme="minorHAnsi"/>
          <w:b/>
          <w:bCs/>
          <w:sz w:val="22"/>
          <w:szCs w:val="22"/>
        </w:rPr>
      </w:pPr>
      <w:r w:rsidRPr="00A339CA">
        <w:rPr>
          <w:rFonts w:asciiTheme="minorHAnsi" w:hAnsiTheme="minorHAnsi" w:cstheme="minorHAnsi"/>
          <w:b/>
          <w:bCs/>
          <w:sz w:val="22"/>
          <w:szCs w:val="22"/>
        </w:rPr>
        <w:lastRenderedPageBreak/>
        <w:t>Las últimas proyecciones de la demanda de parte de la Agencia Internacional de Energía, la caída de la producción de petróleo de la OPEP en abril 2023 y la puesta en marcha de recortes voluntarios de la producción a principios de mayo</w:t>
      </w:r>
    </w:p>
    <w:p w14:paraId="43D2BAD7" w14:textId="77777777" w:rsidR="000C060E" w:rsidRPr="00A339CA" w:rsidRDefault="000C060E" w:rsidP="000C060E">
      <w:pPr>
        <w:ind w:left="426"/>
        <w:jc w:val="both"/>
        <w:rPr>
          <w:rFonts w:asciiTheme="minorHAnsi" w:hAnsiTheme="minorHAnsi" w:cstheme="minorHAnsi"/>
          <w:color w:val="333333"/>
          <w:sz w:val="22"/>
          <w:szCs w:val="22"/>
          <w:shd w:val="clear" w:color="auto" w:fill="FFFFFF"/>
        </w:rPr>
      </w:pPr>
    </w:p>
    <w:p w14:paraId="06569D48" w14:textId="77777777" w:rsidR="000C060E" w:rsidRPr="00A339CA" w:rsidRDefault="000C060E" w:rsidP="000C060E">
      <w:pPr>
        <w:ind w:left="426"/>
        <w:jc w:val="both"/>
        <w:rPr>
          <w:rFonts w:asciiTheme="minorHAnsi" w:hAnsiTheme="minorHAnsi" w:cstheme="minorHAnsi"/>
          <w:sz w:val="22"/>
          <w:szCs w:val="22"/>
        </w:rPr>
      </w:pPr>
      <w:r w:rsidRPr="00A339CA">
        <w:rPr>
          <w:rFonts w:asciiTheme="minorHAnsi" w:hAnsiTheme="minorHAnsi" w:cstheme="minorHAnsi"/>
          <w:sz w:val="22"/>
          <w:szCs w:val="22"/>
        </w:rPr>
        <w:t>De acuerdo con la AIE la demanda superará a la oferta en 2 millones de barriles por día en la segunda mitad del 2023. China representará el 60% del crecimiento de la demanda de petróleo en 2023.</w:t>
      </w:r>
    </w:p>
    <w:p w14:paraId="43DC7819" w14:textId="77777777" w:rsidR="000C060E" w:rsidRPr="00A339CA" w:rsidRDefault="000C060E" w:rsidP="000C060E">
      <w:pPr>
        <w:jc w:val="both"/>
        <w:rPr>
          <w:rFonts w:asciiTheme="minorHAnsi" w:hAnsiTheme="minorHAnsi" w:cstheme="minorHAnsi"/>
          <w:sz w:val="22"/>
          <w:szCs w:val="22"/>
        </w:rPr>
      </w:pPr>
    </w:p>
    <w:p w14:paraId="7BF81F9C"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Por otro lado, la producción de la OPEP bajó en 190 mil bpd en el mes de abril (el grupo de países produjo 28,62 millones de barriles diarios – bpd) debido a la interrupción de algunas exportaciones de Irak y a retrasos en los envíos de Nigeria (que se suma al impacto de la fuerte adhesión de los principales productores al acuerdo de recorte de suministros de la alianza OPEP). Asimismo, La OPEP puso en marcha recortes voluntarios de la producción a principios de mayo, siendo Arabia Saudita, los Emiratos Árabes Unidos, Kuwait, Irak, Argelia, Omán, Gabón y Kazajstán los que acordaron reducir más la producción a partir de este mes.</w:t>
      </w:r>
    </w:p>
    <w:p w14:paraId="78E19D47" w14:textId="77777777" w:rsidR="000C060E" w:rsidRPr="00A339CA" w:rsidRDefault="000C060E" w:rsidP="000C060E">
      <w:pPr>
        <w:pStyle w:val="Prrafodelista"/>
        <w:ind w:left="426"/>
        <w:jc w:val="both"/>
        <w:rPr>
          <w:rFonts w:asciiTheme="minorHAnsi" w:hAnsiTheme="minorHAnsi" w:cstheme="minorHAnsi"/>
          <w:sz w:val="22"/>
          <w:szCs w:val="22"/>
        </w:rPr>
      </w:pPr>
    </w:p>
    <w:p w14:paraId="025BA582" w14:textId="1142DF60" w:rsidR="000C060E"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Los analistas pronostican un incipiente déficit de oferta para la segunda mitad del año 2023, apuntando a un informe de la OPEP según el cual, el grupo productor espera que la demanda de julio a diciembre 2023 de su propio crudo sea 90</w:t>
      </w:r>
      <w:r>
        <w:rPr>
          <w:rFonts w:asciiTheme="minorHAnsi" w:hAnsiTheme="minorHAnsi" w:cstheme="minorHAnsi"/>
          <w:sz w:val="22"/>
          <w:szCs w:val="22"/>
        </w:rPr>
        <w:t xml:space="preserve"> mil</w:t>
      </w:r>
      <w:r w:rsidRPr="00A339CA">
        <w:rPr>
          <w:rFonts w:asciiTheme="minorHAnsi" w:hAnsiTheme="minorHAnsi" w:cstheme="minorHAnsi"/>
          <w:sz w:val="22"/>
          <w:szCs w:val="22"/>
        </w:rPr>
        <w:t xml:space="preserve"> barriles diarios, superior a lo previsto anteriormente.</w:t>
      </w:r>
    </w:p>
    <w:p w14:paraId="10E91152" w14:textId="77777777" w:rsidR="000C060E" w:rsidRPr="00A339CA" w:rsidRDefault="000C060E" w:rsidP="000C060E">
      <w:pPr>
        <w:pStyle w:val="Prrafodelista"/>
        <w:ind w:left="426"/>
        <w:jc w:val="both"/>
        <w:rPr>
          <w:rFonts w:asciiTheme="minorHAnsi" w:hAnsiTheme="minorHAnsi" w:cstheme="minorHAnsi"/>
          <w:sz w:val="22"/>
          <w:szCs w:val="22"/>
        </w:rPr>
      </w:pPr>
    </w:p>
    <w:p w14:paraId="584A26E5" w14:textId="77777777" w:rsidR="000C060E" w:rsidRPr="00A339CA" w:rsidRDefault="000C060E" w:rsidP="000C060E">
      <w:pPr>
        <w:pStyle w:val="Prrafodelista"/>
        <w:numPr>
          <w:ilvl w:val="0"/>
          <w:numId w:val="13"/>
        </w:numPr>
        <w:ind w:left="360"/>
        <w:contextualSpacing/>
        <w:jc w:val="both"/>
        <w:rPr>
          <w:rFonts w:asciiTheme="minorHAnsi" w:hAnsiTheme="minorHAnsi" w:cstheme="minorHAnsi"/>
          <w:color w:val="333333"/>
          <w:sz w:val="22"/>
          <w:szCs w:val="22"/>
          <w:shd w:val="clear" w:color="auto" w:fill="FFFFFF"/>
        </w:rPr>
      </w:pPr>
      <w:r w:rsidRPr="00A339CA">
        <w:rPr>
          <w:rFonts w:asciiTheme="minorHAnsi" w:hAnsiTheme="minorHAnsi" w:cstheme="minorHAnsi"/>
          <w:b/>
          <w:bCs/>
          <w:sz w:val="22"/>
          <w:szCs w:val="22"/>
        </w:rPr>
        <w:t>El incremento de las tasas de interés en Estados Unidos y Europa, que podrían desacelerar el crecimiento económico y mermar la demanda de combustibles.</w:t>
      </w:r>
    </w:p>
    <w:p w14:paraId="2FC30133" w14:textId="77777777" w:rsidR="000C060E" w:rsidRPr="00A339CA" w:rsidRDefault="000C060E" w:rsidP="000C060E">
      <w:pPr>
        <w:pStyle w:val="Prrafodelista"/>
        <w:ind w:left="360"/>
        <w:jc w:val="both"/>
        <w:rPr>
          <w:rFonts w:asciiTheme="minorHAnsi" w:hAnsiTheme="minorHAnsi" w:cstheme="minorHAnsi"/>
          <w:sz w:val="22"/>
          <w:szCs w:val="22"/>
        </w:rPr>
      </w:pPr>
    </w:p>
    <w:p w14:paraId="6711CB7B"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Los inversores temen que las alzas de tasas de parte de los bancos centrales en el marco de su lucha contra la inflación puedan frenar el crecimiento económico y mermar la demanda de energía en Estados Unidos, Reino Unido y la Unión Europea. Asimismo, se encuentran a la espera de noticias acerca de las conversaciones, iniciadas el miércoles pasado, sobre el aumento del techo de deuda del Gobierno de Estados Unidos de 31,4 billones de dólares, en las que los republicanos siguen insistiendo en un recorte de gastos.</w:t>
      </w:r>
    </w:p>
    <w:p w14:paraId="30B8123D" w14:textId="77777777" w:rsidR="000C060E" w:rsidRPr="00A339CA" w:rsidRDefault="000C060E" w:rsidP="000C060E">
      <w:pPr>
        <w:pStyle w:val="Prrafodelista"/>
        <w:ind w:left="426"/>
        <w:jc w:val="both"/>
        <w:rPr>
          <w:rFonts w:asciiTheme="minorHAnsi" w:hAnsiTheme="minorHAnsi" w:cstheme="minorHAnsi"/>
          <w:sz w:val="22"/>
          <w:szCs w:val="22"/>
        </w:rPr>
      </w:pPr>
    </w:p>
    <w:p w14:paraId="20A07EDC"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El Banco de Inglaterra elevó su tasa de interés principal en un cuarto de punto porcentual, llevando los costos de endeudamiento de Reino Unido a su nivel más alto desde 2008. Por su parte, en EE.UU., existe la posibilidad de que la FED suspenda las alzas de tasas para dar tiempo a las autoridades monetarias a evaluar las consecuencias de las recientes quiebras bancarias y a que se aclare la disputa sobre el aumento del techo de la deuda en dicho país.</w:t>
      </w:r>
    </w:p>
    <w:p w14:paraId="482F8973" w14:textId="77777777" w:rsidR="000C060E" w:rsidRPr="00A339CA" w:rsidRDefault="000C060E" w:rsidP="000C060E">
      <w:pPr>
        <w:pStyle w:val="Prrafodelista"/>
        <w:ind w:left="426"/>
        <w:jc w:val="both"/>
        <w:rPr>
          <w:rFonts w:asciiTheme="minorHAnsi" w:hAnsiTheme="minorHAnsi" w:cstheme="minorHAnsi"/>
          <w:sz w:val="22"/>
          <w:szCs w:val="22"/>
        </w:rPr>
      </w:pPr>
    </w:p>
    <w:p w14:paraId="62B8DE36" w14:textId="77777777" w:rsidR="000C060E" w:rsidRPr="00A339CA" w:rsidRDefault="000C060E" w:rsidP="000C060E">
      <w:pPr>
        <w:pStyle w:val="Prrafodelista"/>
        <w:numPr>
          <w:ilvl w:val="0"/>
          <w:numId w:val="13"/>
        </w:numPr>
        <w:ind w:left="360"/>
        <w:contextualSpacing/>
        <w:jc w:val="both"/>
        <w:rPr>
          <w:rFonts w:asciiTheme="minorHAnsi" w:hAnsiTheme="minorHAnsi" w:cstheme="minorHAnsi"/>
          <w:b/>
          <w:bCs/>
          <w:sz w:val="22"/>
          <w:szCs w:val="22"/>
        </w:rPr>
      </w:pPr>
      <w:r w:rsidRPr="00A339CA">
        <w:rPr>
          <w:rFonts w:asciiTheme="minorHAnsi" w:hAnsiTheme="minorHAnsi" w:cstheme="minorHAnsi"/>
          <w:b/>
          <w:bCs/>
          <w:sz w:val="22"/>
          <w:szCs w:val="22"/>
        </w:rPr>
        <w:t>El fortalecimiento del dólar, las preocupaciones sobre la economía estadounidense y las señales de un débil crecimiento del sector manufacturero en China</w:t>
      </w:r>
    </w:p>
    <w:p w14:paraId="6931AADC" w14:textId="77777777" w:rsidR="000C060E" w:rsidRPr="00A339CA" w:rsidRDefault="000C060E" w:rsidP="000C060E">
      <w:pPr>
        <w:pStyle w:val="Prrafodelista"/>
        <w:ind w:left="360"/>
        <w:jc w:val="both"/>
        <w:rPr>
          <w:rFonts w:asciiTheme="minorHAnsi" w:hAnsiTheme="minorHAnsi" w:cstheme="minorHAnsi"/>
          <w:b/>
          <w:bCs/>
          <w:sz w:val="22"/>
          <w:szCs w:val="22"/>
        </w:rPr>
      </w:pPr>
    </w:p>
    <w:p w14:paraId="3174B3AE" w14:textId="0FC0EF68" w:rsidR="000C060E"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 xml:space="preserve">La economía de Estados Unidos enfrenta los riesgos de una recesión durante el segundo y tercer trimestre 2023, en medio de las tensiones en el sector bancario. Según un informe de los economistas del Bank </w:t>
      </w:r>
      <w:proofErr w:type="spellStart"/>
      <w:r w:rsidRPr="00A339CA">
        <w:rPr>
          <w:rFonts w:asciiTheme="minorHAnsi" w:hAnsiTheme="minorHAnsi" w:cstheme="minorHAnsi"/>
          <w:sz w:val="22"/>
          <w:szCs w:val="22"/>
        </w:rPr>
        <w:t>of</w:t>
      </w:r>
      <w:proofErr w:type="spellEnd"/>
      <w:r w:rsidRPr="00A339CA">
        <w:rPr>
          <w:rFonts w:asciiTheme="minorHAnsi" w:hAnsiTheme="minorHAnsi" w:cstheme="minorHAnsi"/>
          <w:sz w:val="22"/>
          <w:szCs w:val="22"/>
        </w:rPr>
        <w:t xml:space="preserve"> </w:t>
      </w:r>
      <w:proofErr w:type="spellStart"/>
      <w:r w:rsidRPr="00A339CA">
        <w:rPr>
          <w:rFonts w:asciiTheme="minorHAnsi" w:hAnsiTheme="minorHAnsi" w:cstheme="minorHAnsi"/>
          <w:sz w:val="22"/>
          <w:szCs w:val="22"/>
        </w:rPr>
        <w:t>America</w:t>
      </w:r>
      <w:proofErr w:type="spellEnd"/>
      <w:r w:rsidRPr="00A339CA">
        <w:rPr>
          <w:rFonts w:asciiTheme="minorHAnsi" w:hAnsiTheme="minorHAnsi" w:cstheme="minorHAnsi"/>
          <w:sz w:val="22"/>
          <w:szCs w:val="22"/>
        </w:rPr>
        <w:t xml:space="preserve"> de marzo de este año, se pronosticó una recesión para este país en el 2023 con una probabilidad del 40%, la misma que se ha confirmado en abril de 2023, después de la debilidad del PIB de EE. UU. </w:t>
      </w:r>
    </w:p>
    <w:p w14:paraId="77AD1EE0" w14:textId="77777777" w:rsidR="000C060E" w:rsidRPr="00A339CA" w:rsidRDefault="000C060E" w:rsidP="000C060E">
      <w:pPr>
        <w:pStyle w:val="Prrafodelista"/>
        <w:ind w:left="426"/>
        <w:jc w:val="both"/>
        <w:rPr>
          <w:rFonts w:asciiTheme="minorHAnsi" w:hAnsiTheme="minorHAnsi" w:cstheme="minorHAnsi"/>
          <w:sz w:val="22"/>
          <w:szCs w:val="22"/>
        </w:rPr>
      </w:pPr>
    </w:p>
    <w:p w14:paraId="651DFA6B" w14:textId="77777777" w:rsidR="000C060E" w:rsidRPr="00A339CA" w:rsidRDefault="000C060E" w:rsidP="000C060E">
      <w:pPr>
        <w:pStyle w:val="Prrafodelista"/>
        <w:ind w:left="426"/>
        <w:jc w:val="both"/>
        <w:rPr>
          <w:rFonts w:asciiTheme="minorHAnsi" w:hAnsiTheme="minorHAnsi" w:cstheme="minorHAnsi"/>
          <w:sz w:val="22"/>
          <w:szCs w:val="22"/>
        </w:rPr>
      </w:pPr>
    </w:p>
    <w:p w14:paraId="4A1CBD67"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lastRenderedPageBreak/>
        <w:t xml:space="preserve">JPMorgan Chase adquirió el </w:t>
      </w:r>
      <w:proofErr w:type="spellStart"/>
      <w:r w:rsidRPr="00A339CA">
        <w:rPr>
          <w:rFonts w:asciiTheme="minorHAnsi" w:hAnsiTheme="minorHAnsi" w:cstheme="minorHAnsi"/>
          <w:sz w:val="22"/>
          <w:szCs w:val="22"/>
        </w:rPr>
        <w:t>First</w:t>
      </w:r>
      <w:proofErr w:type="spellEnd"/>
      <w:r w:rsidRPr="00A339CA">
        <w:rPr>
          <w:rFonts w:asciiTheme="minorHAnsi" w:hAnsiTheme="minorHAnsi" w:cstheme="minorHAnsi"/>
          <w:sz w:val="22"/>
          <w:szCs w:val="22"/>
        </w:rPr>
        <w:t xml:space="preserve"> </w:t>
      </w:r>
      <w:proofErr w:type="spellStart"/>
      <w:r w:rsidRPr="00A339CA">
        <w:rPr>
          <w:rFonts w:asciiTheme="minorHAnsi" w:hAnsiTheme="minorHAnsi" w:cstheme="minorHAnsi"/>
          <w:sz w:val="22"/>
          <w:szCs w:val="22"/>
        </w:rPr>
        <w:t>Republic</w:t>
      </w:r>
      <w:proofErr w:type="spellEnd"/>
      <w:r w:rsidRPr="00A339CA">
        <w:rPr>
          <w:rFonts w:asciiTheme="minorHAnsi" w:hAnsiTheme="minorHAnsi" w:cstheme="minorHAnsi"/>
          <w:sz w:val="22"/>
          <w:szCs w:val="22"/>
        </w:rPr>
        <w:t xml:space="preserve"> Bank, después de una intervención de emergencia liderada por el gobierno, reavivando las preocupaciones sobre la estabilidad del sistema financiero y la salud económica general de la nación. Asimismo, el Banco de la Reserva Federal de Filadelfia informó que su índice compuesto de condiciones comerciales disminuyó a -31,3 durante abril, cayendo 8,1 puntos luego de mejorar levemente a -23,2 en marzo. El índice reportó su nivel más bajo desde mayo de 2020 y ha sido negativo durante diez de los últimos once meses.</w:t>
      </w:r>
    </w:p>
    <w:p w14:paraId="4B9AECC9" w14:textId="77777777" w:rsidR="000C060E" w:rsidRPr="00A339CA" w:rsidRDefault="000C060E" w:rsidP="000C060E">
      <w:pPr>
        <w:pStyle w:val="Prrafodelista"/>
        <w:ind w:left="426"/>
        <w:jc w:val="both"/>
        <w:rPr>
          <w:rFonts w:asciiTheme="minorHAnsi" w:hAnsiTheme="minorHAnsi" w:cstheme="minorHAnsi"/>
          <w:sz w:val="22"/>
          <w:szCs w:val="22"/>
        </w:rPr>
      </w:pPr>
    </w:p>
    <w:p w14:paraId="117AC918"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Adicionalmente, las solicitudes semanales de subsidios por desempleo en Estados Unidos aumentaron en las últimas semanas en 61 mil peticiones, pasando de 1 millón 804 mil a 1 millón 865 mil, lo que supone que alcanza su nivel más alto desde noviembre de 2021. Esto marca una tendencia reciente de las señales de debilitamiento del mercado laboral, que comienza a perder impulso en este país.</w:t>
      </w:r>
    </w:p>
    <w:p w14:paraId="2E814AAD" w14:textId="77777777" w:rsidR="000C060E" w:rsidRDefault="000C060E" w:rsidP="000C060E">
      <w:pPr>
        <w:pStyle w:val="Prrafodelista"/>
        <w:ind w:left="426"/>
        <w:jc w:val="both"/>
        <w:rPr>
          <w:rFonts w:asciiTheme="minorHAnsi" w:hAnsiTheme="minorHAnsi" w:cstheme="minorHAnsi"/>
          <w:sz w:val="22"/>
          <w:szCs w:val="22"/>
        </w:rPr>
      </w:pPr>
    </w:p>
    <w:p w14:paraId="311AA817"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Por su parte, los datos de la economía de China mostraron que la actividad manufacturera cayó inesperadamente en abril 2023. Esta es la primera contracción del índice de gestores de compras del sector manufacturero desde diciembre.</w:t>
      </w:r>
    </w:p>
    <w:p w14:paraId="15E36E02" w14:textId="77777777" w:rsidR="000C060E" w:rsidRDefault="000C060E" w:rsidP="000C060E">
      <w:pPr>
        <w:ind w:left="426"/>
        <w:jc w:val="both"/>
        <w:rPr>
          <w:rFonts w:asciiTheme="minorHAnsi" w:hAnsiTheme="minorHAnsi" w:cstheme="minorHAnsi"/>
          <w:sz w:val="22"/>
          <w:szCs w:val="22"/>
        </w:rPr>
      </w:pPr>
    </w:p>
    <w:p w14:paraId="66AF3AA4" w14:textId="04CF0AF1" w:rsidR="000C060E" w:rsidRPr="00A339CA" w:rsidRDefault="000C060E" w:rsidP="000C060E">
      <w:pPr>
        <w:ind w:left="426"/>
        <w:jc w:val="both"/>
        <w:rPr>
          <w:rFonts w:asciiTheme="minorHAnsi" w:hAnsiTheme="minorHAnsi" w:cstheme="minorHAnsi"/>
          <w:sz w:val="22"/>
          <w:szCs w:val="22"/>
        </w:rPr>
      </w:pPr>
      <w:r w:rsidRPr="00A339CA">
        <w:rPr>
          <w:rFonts w:asciiTheme="minorHAnsi" w:hAnsiTheme="minorHAnsi" w:cstheme="minorHAnsi"/>
          <w:sz w:val="22"/>
          <w:szCs w:val="22"/>
        </w:rPr>
        <w:t>De acuerdo con el Fondo Monetario Internacional, la reapertura de la economía china después de la pandemia será fundamental para Asia.</w:t>
      </w:r>
    </w:p>
    <w:p w14:paraId="6B699FEF" w14:textId="77777777" w:rsidR="000C060E" w:rsidRPr="00A339CA" w:rsidRDefault="000C060E" w:rsidP="000C060E">
      <w:pPr>
        <w:pStyle w:val="Prrafodelista"/>
        <w:ind w:left="426"/>
        <w:jc w:val="both"/>
        <w:rPr>
          <w:rFonts w:asciiTheme="minorHAnsi" w:hAnsiTheme="minorHAnsi" w:cstheme="minorHAnsi"/>
          <w:sz w:val="22"/>
          <w:szCs w:val="22"/>
        </w:rPr>
      </w:pPr>
    </w:p>
    <w:p w14:paraId="4E29856A" w14:textId="77777777" w:rsidR="000C060E" w:rsidRPr="00A339CA" w:rsidRDefault="000C060E" w:rsidP="000C060E">
      <w:pPr>
        <w:pStyle w:val="Prrafodelista"/>
        <w:numPr>
          <w:ilvl w:val="0"/>
          <w:numId w:val="13"/>
        </w:numPr>
        <w:ind w:left="426"/>
        <w:contextualSpacing/>
        <w:jc w:val="both"/>
        <w:rPr>
          <w:rFonts w:asciiTheme="minorHAnsi" w:hAnsiTheme="minorHAnsi" w:cstheme="minorHAnsi"/>
          <w:b/>
          <w:bCs/>
          <w:sz w:val="22"/>
          <w:szCs w:val="22"/>
        </w:rPr>
      </w:pPr>
      <w:r w:rsidRPr="00A339CA">
        <w:rPr>
          <w:rFonts w:asciiTheme="minorHAnsi" w:hAnsiTheme="minorHAnsi" w:cstheme="minorHAnsi"/>
          <w:b/>
          <w:bCs/>
          <w:sz w:val="22"/>
          <w:szCs w:val="22"/>
        </w:rPr>
        <w:t>El debilitamiento de la demanda mundial de diésel que refuerza la perspectiva de una fuerte recesión, según Bloomberg.</w:t>
      </w:r>
    </w:p>
    <w:p w14:paraId="29F01B6F" w14:textId="77777777" w:rsidR="000C060E" w:rsidRPr="00A339CA" w:rsidRDefault="000C060E" w:rsidP="000C060E">
      <w:pPr>
        <w:pStyle w:val="Prrafodelista"/>
        <w:ind w:left="357"/>
        <w:jc w:val="both"/>
        <w:rPr>
          <w:rFonts w:asciiTheme="minorHAnsi" w:hAnsiTheme="minorHAnsi" w:cstheme="minorHAnsi"/>
          <w:sz w:val="22"/>
          <w:szCs w:val="22"/>
        </w:rPr>
      </w:pPr>
    </w:p>
    <w:p w14:paraId="7B5948B0"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2B468033" w14:textId="77777777" w:rsidR="000C060E" w:rsidRDefault="000C060E" w:rsidP="000C060E">
      <w:pPr>
        <w:pStyle w:val="Prrafodelista"/>
        <w:ind w:left="426"/>
        <w:jc w:val="both"/>
        <w:rPr>
          <w:rFonts w:asciiTheme="minorHAnsi" w:hAnsiTheme="minorHAnsi" w:cstheme="minorHAnsi"/>
          <w:sz w:val="22"/>
          <w:szCs w:val="22"/>
        </w:rPr>
      </w:pPr>
    </w:p>
    <w:p w14:paraId="4AB0EC88" w14:textId="77777777" w:rsidR="000C060E" w:rsidRPr="00A339CA"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 xml:space="preserve">En China, por ejemplo, el tráfico de camiones ha disminuido recientemente, mientras que, en Europa, la prima del diésel con respecto a los futuros del crudo ha caído a su nivel más bajo en más de un año. En ese sentido, la expectativa de S&amp;P Global, de continuar esta tendencia es que la demanda de diésel en Estados Unidos disminuya en un 2% en 2023, lo que sería la mayor caída en el uso de diésel en el país desde 2016. </w:t>
      </w:r>
    </w:p>
    <w:p w14:paraId="006F0C9B" w14:textId="77777777" w:rsidR="000C060E" w:rsidRPr="00A339CA" w:rsidRDefault="000C060E" w:rsidP="000C060E">
      <w:pPr>
        <w:pStyle w:val="Prrafodelista"/>
        <w:ind w:left="426"/>
        <w:jc w:val="both"/>
        <w:rPr>
          <w:rFonts w:asciiTheme="minorHAnsi" w:hAnsiTheme="minorHAnsi" w:cstheme="minorHAnsi"/>
          <w:sz w:val="22"/>
          <w:szCs w:val="22"/>
        </w:rPr>
      </w:pPr>
    </w:p>
    <w:p w14:paraId="105CA65C" w14:textId="3F4338B3" w:rsidR="002372F7" w:rsidRPr="00D82850" w:rsidRDefault="000C060E" w:rsidP="000C060E">
      <w:pPr>
        <w:pStyle w:val="Prrafodelista"/>
        <w:ind w:left="426"/>
        <w:jc w:val="both"/>
        <w:rPr>
          <w:rFonts w:asciiTheme="minorHAnsi" w:hAnsiTheme="minorHAnsi" w:cstheme="minorHAnsi"/>
          <w:sz w:val="22"/>
          <w:szCs w:val="22"/>
        </w:rPr>
      </w:pPr>
      <w:r w:rsidRPr="00A339CA">
        <w:rPr>
          <w:rFonts w:asciiTheme="minorHAnsi" w:hAnsiTheme="minorHAnsi" w:cstheme="minorHAnsi"/>
          <w:sz w:val="22"/>
          <w:szCs w:val="22"/>
        </w:rPr>
        <w:t>Gran parte de la disminución de la demanda de diésel se debe al transporte por carretera, que consume la mayor parte del diésel en China y Estados Unidos. En términos de porcentajes, China destina para el transporte alrededor del 60% del diésel y en Estados 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r w:rsidR="002372F7" w:rsidRPr="00D82850">
        <w:rPr>
          <w:rFonts w:asciiTheme="minorHAnsi" w:hAnsiTheme="minorHAnsi" w:cstheme="minorHAnsi"/>
          <w:sz w:val="22"/>
          <w:szCs w:val="22"/>
        </w:rPr>
        <w:t>.</w:t>
      </w:r>
    </w:p>
    <w:p w14:paraId="5201220F" w14:textId="62161922" w:rsidR="00107E57" w:rsidRDefault="00107E57" w:rsidP="002372F7">
      <w:pPr>
        <w:pStyle w:val="Prrafodelista"/>
        <w:ind w:left="426"/>
        <w:jc w:val="both"/>
        <w:rPr>
          <w:rFonts w:asciiTheme="minorHAnsi" w:hAnsiTheme="minorHAnsi" w:cstheme="minorHAnsi"/>
          <w:sz w:val="22"/>
          <w:szCs w:val="22"/>
        </w:rPr>
      </w:pPr>
    </w:p>
    <w:p w14:paraId="47156545" w14:textId="47867D1F" w:rsidR="00B21DAA" w:rsidRDefault="00B21DAA" w:rsidP="00B21DAA">
      <w:pPr>
        <w:pStyle w:val="Prrafodelista"/>
        <w:ind w:left="426"/>
        <w:jc w:val="both"/>
        <w:rPr>
          <w:rFonts w:asciiTheme="minorHAnsi" w:hAnsiTheme="minorHAnsi" w:cstheme="minorHAnsi"/>
          <w:sz w:val="22"/>
          <w:szCs w:val="22"/>
        </w:rPr>
      </w:pPr>
    </w:p>
    <w:p w14:paraId="0D7AF0F2" w14:textId="407A2FDB" w:rsidR="000C060E" w:rsidRDefault="000C060E" w:rsidP="00B21DAA">
      <w:pPr>
        <w:pStyle w:val="Prrafodelista"/>
        <w:ind w:left="426"/>
        <w:jc w:val="both"/>
        <w:rPr>
          <w:rFonts w:asciiTheme="minorHAnsi" w:hAnsiTheme="minorHAnsi" w:cstheme="minorHAnsi"/>
          <w:sz w:val="22"/>
          <w:szCs w:val="22"/>
        </w:rPr>
      </w:pPr>
    </w:p>
    <w:p w14:paraId="2A8ACA63" w14:textId="29830C09" w:rsidR="000C060E" w:rsidRDefault="000C060E" w:rsidP="00B21DAA">
      <w:pPr>
        <w:pStyle w:val="Prrafodelista"/>
        <w:ind w:left="426"/>
        <w:jc w:val="both"/>
        <w:rPr>
          <w:rFonts w:asciiTheme="minorHAnsi" w:hAnsiTheme="minorHAnsi" w:cstheme="minorHAnsi"/>
          <w:sz w:val="22"/>
          <w:szCs w:val="22"/>
        </w:rPr>
      </w:pPr>
    </w:p>
    <w:p w14:paraId="23718778" w14:textId="77777777" w:rsidR="000C060E" w:rsidRPr="00523CA0" w:rsidRDefault="000C060E" w:rsidP="00B21DAA">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5EFC9D28" w14:textId="71B64E6D" w:rsidR="004D4B7D" w:rsidRDefault="004D4B7D" w:rsidP="004D4B7D">
      <w:pPr>
        <w:pStyle w:val="Prrafodelista"/>
        <w:rPr>
          <w:rFonts w:asciiTheme="minorHAnsi" w:hAnsiTheme="minorHAnsi" w:cstheme="minorHAnsi"/>
          <w:sz w:val="22"/>
          <w:szCs w:val="22"/>
        </w:rPr>
      </w:pPr>
    </w:p>
    <w:p w14:paraId="24F917D0" w14:textId="52AE435E"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w:t>
      </w:r>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6F2BA88B"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9F6EF0">
        <w:rPr>
          <w:rFonts w:asciiTheme="minorHAnsi" w:hAnsiTheme="minorHAnsi" w:cstheme="minorHAnsi"/>
          <w:sz w:val="22"/>
          <w:szCs w:val="22"/>
        </w:rPr>
        <w:t>1</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0C060E">
        <w:rPr>
          <w:rFonts w:asciiTheme="minorHAnsi" w:hAnsiTheme="minorHAnsi" w:cstheme="minorHAnsi"/>
          <w:sz w:val="22"/>
          <w:szCs w:val="22"/>
        </w:rPr>
        <w:t>16</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0C060E">
        <w:rPr>
          <w:rFonts w:asciiTheme="minorHAnsi" w:hAnsiTheme="minorHAnsi" w:cstheme="minorHAnsi"/>
          <w:sz w:val="22"/>
          <w:szCs w:val="22"/>
        </w:rPr>
        <w:t>22</w:t>
      </w:r>
      <w:r w:rsidRPr="00294829">
        <w:rPr>
          <w:rFonts w:asciiTheme="minorHAnsi" w:hAnsiTheme="minorHAnsi" w:cstheme="minorHAnsi"/>
          <w:sz w:val="22"/>
          <w:szCs w:val="22"/>
        </w:rPr>
        <w:t xml:space="preserve"> de </w:t>
      </w:r>
      <w:r w:rsidR="00B21DAA">
        <w:rPr>
          <w:rFonts w:asciiTheme="minorHAnsi" w:hAnsiTheme="minorHAnsi" w:cstheme="minorHAnsi"/>
          <w:sz w:val="22"/>
          <w:szCs w:val="22"/>
        </w:rPr>
        <w:t>mayo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4236D289"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0C060E">
        <w:rPr>
          <w:rFonts w:asciiTheme="minorHAnsi" w:hAnsiTheme="minorHAnsi" w:cstheme="minorHAnsi"/>
          <w:sz w:val="22"/>
          <w:szCs w:val="22"/>
        </w:rPr>
        <w:t>19</w:t>
      </w:r>
      <w:r w:rsidRPr="001B07FE">
        <w:rPr>
          <w:rFonts w:asciiTheme="minorHAnsi" w:hAnsiTheme="minorHAnsi" w:cstheme="minorHAnsi"/>
          <w:sz w:val="22"/>
          <w:szCs w:val="22"/>
        </w:rPr>
        <w:t>.0</w:t>
      </w:r>
      <w:r w:rsidR="002C2B50">
        <w:rPr>
          <w:rFonts w:asciiTheme="minorHAnsi" w:hAnsiTheme="minorHAnsi" w:cstheme="minorHAnsi"/>
          <w:sz w:val="22"/>
          <w:szCs w:val="22"/>
        </w:rPr>
        <w:t>5</w:t>
      </w:r>
      <w:r w:rsidRPr="001B07FE">
        <w:rPr>
          <w:rFonts w:asciiTheme="minorHAnsi" w:hAnsiTheme="minorHAnsi" w:cstheme="minorHAnsi"/>
          <w:sz w:val="22"/>
          <w:szCs w:val="22"/>
        </w:rPr>
        <w:t xml:space="preserve">.2023, PETROPERÚ </w:t>
      </w:r>
      <w:r w:rsidR="009A4663" w:rsidRPr="00232A32">
        <w:rPr>
          <w:rFonts w:asciiTheme="minorHAnsi" w:hAnsiTheme="minorHAnsi" w:cstheme="minorHAnsi"/>
          <w:sz w:val="22"/>
          <w:szCs w:val="22"/>
        </w:rPr>
        <w:t xml:space="preserve">publicó su lista de precios de venta de combustibles. Se registraron </w:t>
      </w:r>
      <w:r w:rsidR="009A4663">
        <w:rPr>
          <w:rFonts w:asciiTheme="minorHAnsi" w:hAnsiTheme="minorHAnsi" w:cstheme="minorHAnsi"/>
          <w:sz w:val="22"/>
          <w:szCs w:val="22"/>
        </w:rPr>
        <w:t>variaciones en el precio de l</w:t>
      </w:r>
      <w:r w:rsidR="002C2B50">
        <w:rPr>
          <w:rFonts w:asciiTheme="minorHAnsi" w:hAnsiTheme="minorHAnsi" w:cstheme="minorHAnsi"/>
          <w:sz w:val="22"/>
          <w:szCs w:val="22"/>
        </w:rPr>
        <w:t>os</w:t>
      </w:r>
      <w:r w:rsidR="009A4663">
        <w:rPr>
          <w:rFonts w:asciiTheme="minorHAnsi" w:hAnsiTheme="minorHAnsi" w:cstheme="minorHAnsi"/>
          <w:sz w:val="22"/>
          <w:szCs w:val="22"/>
        </w:rPr>
        <w:t xml:space="preserve"> residual</w:t>
      </w:r>
      <w:r w:rsidR="002C2B50">
        <w:rPr>
          <w:rFonts w:asciiTheme="minorHAnsi" w:hAnsiTheme="minorHAnsi" w:cstheme="minorHAnsi"/>
          <w:sz w:val="22"/>
          <w:szCs w:val="22"/>
        </w:rPr>
        <w:t>es</w:t>
      </w:r>
      <w:r w:rsidR="009A4663">
        <w:rPr>
          <w:rFonts w:asciiTheme="minorHAnsi" w:hAnsiTheme="minorHAnsi" w:cstheme="minorHAnsi"/>
          <w:sz w:val="22"/>
          <w:szCs w:val="22"/>
        </w:rPr>
        <w:t xml:space="preserve"> R6 (</w:t>
      </w:r>
      <w:r w:rsidR="004103CD">
        <w:rPr>
          <w:rFonts w:asciiTheme="minorHAnsi" w:hAnsiTheme="minorHAnsi" w:cstheme="minorHAnsi"/>
          <w:sz w:val="22"/>
          <w:szCs w:val="22"/>
        </w:rPr>
        <w:t>-</w:t>
      </w:r>
      <w:r w:rsidR="002372F7">
        <w:rPr>
          <w:rFonts w:asciiTheme="minorHAnsi" w:hAnsiTheme="minorHAnsi" w:cstheme="minorHAnsi"/>
          <w:sz w:val="22"/>
          <w:szCs w:val="22"/>
        </w:rPr>
        <w:t>0</w:t>
      </w:r>
      <w:r w:rsidR="00E11377">
        <w:rPr>
          <w:rFonts w:asciiTheme="minorHAnsi" w:hAnsiTheme="minorHAnsi" w:cstheme="minorHAnsi"/>
          <w:sz w:val="22"/>
          <w:szCs w:val="22"/>
        </w:rPr>
        <w:t>,</w:t>
      </w:r>
      <w:r w:rsidR="002372F7">
        <w:rPr>
          <w:rFonts w:asciiTheme="minorHAnsi" w:hAnsiTheme="minorHAnsi" w:cstheme="minorHAnsi"/>
          <w:sz w:val="22"/>
          <w:szCs w:val="22"/>
        </w:rPr>
        <w:t>15</w:t>
      </w:r>
      <w:r w:rsidR="009A4663">
        <w:rPr>
          <w:rFonts w:asciiTheme="minorHAnsi" w:hAnsiTheme="minorHAnsi" w:cstheme="minorHAnsi"/>
          <w:sz w:val="22"/>
          <w:szCs w:val="22"/>
        </w:rPr>
        <w:t xml:space="preserve"> S/</w:t>
      </w:r>
      <w:proofErr w:type="spellStart"/>
      <w:r w:rsidR="009A4663">
        <w:rPr>
          <w:rFonts w:asciiTheme="minorHAnsi" w:hAnsiTheme="minorHAnsi" w:cstheme="minorHAnsi"/>
          <w:sz w:val="22"/>
          <w:szCs w:val="22"/>
        </w:rPr>
        <w:t>Gln</w:t>
      </w:r>
      <w:proofErr w:type="spellEnd"/>
      <w:r w:rsidR="009A4663">
        <w:rPr>
          <w:rFonts w:asciiTheme="minorHAnsi" w:hAnsiTheme="minorHAnsi" w:cstheme="minorHAnsi"/>
          <w:sz w:val="22"/>
          <w:szCs w:val="22"/>
        </w:rPr>
        <w:t>)</w:t>
      </w:r>
      <w:r w:rsidR="002C2B50">
        <w:rPr>
          <w:rFonts w:asciiTheme="minorHAnsi" w:hAnsiTheme="minorHAnsi" w:cstheme="minorHAnsi"/>
          <w:sz w:val="22"/>
          <w:szCs w:val="22"/>
        </w:rPr>
        <w:t xml:space="preserve"> y R500 (-0,2</w:t>
      </w:r>
      <w:r w:rsidR="000C060E">
        <w:rPr>
          <w:rFonts w:asciiTheme="minorHAnsi" w:hAnsiTheme="minorHAnsi" w:cstheme="minorHAnsi"/>
          <w:sz w:val="22"/>
          <w:szCs w:val="22"/>
        </w:rPr>
        <w:t>7</w:t>
      </w:r>
      <w:r w:rsidR="002C2B50">
        <w:rPr>
          <w:rFonts w:asciiTheme="minorHAnsi" w:hAnsiTheme="minorHAnsi" w:cstheme="minorHAnsi"/>
          <w:sz w:val="22"/>
          <w:szCs w:val="22"/>
        </w:rPr>
        <w:t xml:space="preserve"> S/</w:t>
      </w:r>
      <w:proofErr w:type="spellStart"/>
      <w:r w:rsidR="002C2B50">
        <w:rPr>
          <w:rFonts w:asciiTheme="minorHAnsi" w:hAnsiTheme="minorHAnsi" w:cstheme="minorHAnsi"/>
          <w:sz w:val="22"/>
          <w:szCs w:val="22"/>
        </w:rPr>
        <w:t>Gln</w:t>
      </w:r>
      <w:proofErr w:type="spellEnd"/>
      <w:r w:rsidR="002C2B50">
        <w:rPr>
          <w:rFonts w:asciiTheme="minorHAnsi" w:hAnsiTheme="minorHAnsi" w:cstheme="minorHAnsi"/>
          <w:sz w:val="22"/>
          <w:szCs w:val="22"/>
        </w:rPr>
        <w:t>).</w:t>
      </w:r>
    </w:p>
    <w:p w14:paraId="0F52D45B" w14:textId="214F9991"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606681F5"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lastRenderedPageBreak/>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4ADC2C6A"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04823296" w14:textId="11DB6948" w:rsidR="000C060E" w:rsidRDefault="000C060E">
      <w:pPr>
        <w:rPr>
          <w:rFonts w:asciiTheme="minorHAnsi" w:hAnsiTheme="minorHAnsi" w:cstheme="minorHAnsi"/>
          <w:sz w:val="22"/>
          <w:szCs w:val="22"/>
        </w:rPr>
      </w:pPr>
    </w:p>
    <w:p w14:paraId="296298E5" w14:textId="46904356" w:rsidR="000C060E" w:rsidRDefault="000C060E">
      <w:pPr>
        <w:rPr>
          <w:rFonts w:asciiTheme="minorHAnsi" w:hAnsiTheme="minorHAnsi" w:cstheme="minorHAnsi"/>
          <w:sz w:val="22"/>
          <w:szCs w:val="22"/>
        </w:rPr>
      </w:pPr>
    </w:p>
    <w:p w14:paraId="27741249" w14:textId="2AEE3E68" w:rsidR="000C060E" w:rsidRDefault="000C060E">
      <w:pPr>
        <w:rPr>
          <w:rFonts w:asciiTheme="minorHAnsi" w:hAnsiTheme="minorHAnsi" w:cstheme="minorHAnsi"/>
          <w:sz w:val="22"/>
          <w:szCs w:val="22"/>
        </w:rPr>
      </w:pPr>
    </w:p>
    <w:p w14:paraId="10DCE4FD" w14:textId="05498326" w:rsidR="000C060E" w:rsidRDefault="000C060E">
      <w:pPr>
        <w:rPr>
          <w:rFonts w:asciiTheme="minorHAnsi" w:hAnsiTheme="minorHAnsi" w:cstheme="minorHAnsi"/>
          <w:sz w:val="22"/>
          <w:szCs w:val="22"/>
        </w:rPr>
      </w:pPr>
    </w:p>
    <w:p w14:paraId="7038F5FC" w14:textId="5441B2B1" w:rsidR="000C060E" w:rsidRDefault="000C060E">
      <w:pPr>
        <w:rPr>
          <w:rFonts w:asciiTheme="minorHAnsi" w:hAnsiTheme="minorHAnsi" w:cstheme="minorHAnsi"/>
          <w:sz w:val="22"/>
          <w:szCs w:val="22"/>
        </w:rPr>
      </w:pPr>
    </w:p>
    <w:p w14:paraId="77710ABC" w14:textId="46B5D7B7" w:rsidR="000C060E" w:rsidRDefault="000C060E">
      <w:pPr>
        <w:rPr>
          <w:rFonts w:asciiTheme="minorHAnsi" w:hAnsiTheme="minorHAnsi" w:cstheme="minorHAnsi"/>
          <w:sz w:val="22"/>
          <w:szCs w:val="22"/>
        </w:rPr>
      </w:pPr>
    </w:p>
    <w:p w14:paraId="4921666A" w14:textId="2162CFAB" w:rsidR="000C060E" w:rsidRDefault="000C060E">
      <w:pPr>
        <w:rPr>
          <w:rFonts w:asciiTheme="minorHAnsi" w:hAnsiTheme="minorHAnsi" w:cstheme="minorHAnsi"/>
          <w:sz w:val="22"/>
          <w:szCs w:val="22"/>
        </w:rPr>
      </w:pPr>
    </w:p>
    <w:p w14:paraId="66C5A0D2" w14:textId="46B77FFD" w:rsidR="000C060E" w:rsidRDefault="000C060E">
      <w:pPr>
        <w:rPr>
          <w:rFonts w:asciiTheme="minorHAnsi" w:hAnsiTheme="minorHAnsi" w:cstheme="minorHAnsi"/>
          <w:sz w:val="22"/>
          <w:szCs w:val="22"/>
        </w:rPr>
      </w:pPr>
    </w:p>
    <w:p w14:paraId="08B5F5BD" w14:textId="47A10B8E" w:rsidR="000C060E" w:rsidRDefault="000C060E">
      <w:pPr>
        <w:rPr>
          <w:rFonts w:asciiTheme="minorHAnsi" w:hAnsiTheme="minorHAnsi" w:cstheme="minorHAnsi"/>
          <w:sz w:val="22"/>
          <w:szCs w:val="22"/>
        </w:rPr>
      </w:pPr>
    </w:p>
    <w:p w14:paraId="084533C3" w14:textId="61DF65E7" w:rsidR="000C060E" w:rsidRDefault="000C060E">
      <w:pPr>
        <w:rPr>
          <w:rFonts w:asciiTheme="minorHAnsi" w:hAnsiTheme="minorHAnsi" w:cstheme="minorHAnsi"/>
          <w:sz w:val="22"/>
          <w:szCs w:val="22"/>
        </w:rPr>
      </w:pPr>
    </w:p>
    <w:p w14:paraId="5255333F" w14:textId="299BDA0B" w:rsidR="000C060E" w:rsidRDefault="000C060E">
      <w:pPr>
        <w:rPr>
          <w:rFonts w:asciiTheme="minorHAnsi" w:hAnsiTheme="minorHAnsi" w:cstheme="minorHAnsi"/>
          <w:sz w:val="22"/>
          <w:szCs w:val="22"/>
        </w:rPr>
      </w:pPr>
    </w:p>
    <w:p w14:paraId="5B08AFE3" w14:textId="775073C6" w:rsidR="000C060E" w:rsidRDefault="000C060E">
      <w:pPr>
        <w:rPr>
          <w:rFonts w:asciiTheme="minorHAnsi" w:hAnsiTheme="minorHAnsi" w:cstheme="minorHAnsi"/>
          <w:sz w:val="22"/>
          <w:szCs w:val="22"/>
        </w:rPr>
      </w:pPr>
    </w:p>
    <w:p w14:paraId="64766ABD" w14:textId="2DE9BF96" w:rsidR="000C060E" w:rsidRDefault="000C060E">
      <w:pPr>
        <w:rPr>
          <w:rFonts w:asciiTheme="minorHAnsi" w:hAnsiTheme="minorHAnsi" w:cstheme="minorHAnsi"/>
          <w:sz w:val="22"/>
          <w:szCs w:val="22"/>
        </w:rPr>
      </w:pPr>
    </w:p>
    <w:p w14:paraId="7B6798AF" w14:textId="50595E72" w:rsidR="000C060E" w:rsidRDefault="000C060E">
      <w:pPr>
        <w:rPr>
          <w:rFonts w:asciiTheme="minorHAnsi" w:hAnsiTheme="minorHAnsi" w:cstheme="minorHAnsi"/>
          <w:sz w:val="22"/>
          <w:szCs w:val="22"/>
        </w:rPr>
      </w:pPr>
    </w:p>
    <w:p w14:paraId="0F891269" w14:textId="1893F534" w:rsidR="000C060E" w:rsidRDefault="000C060E">
      <w:pPr>
        <w:rPr>
          <w:rFonts w:asciiTheme="minorHAnsi" w:hAnsiTheme="minorHAnsi" w:cstheme="minorHAnsi"/>
          <w:sz w:val="22"/>
          <w:szCs w:val="22"/>
        </w:rPr>
      </w:pPr>
    </w:p>
    <w:p w14:paraId="7F32820F" w14:textId="4FB4862A" w:rsidR="000C060E" w:rsidRDefault="000C060E">
      <w:pPr>
        <w:rPr>
          <w:rFonts w:asciiTheme="minorHAnsi" w:hAnsiTheme="minorHAnsi" w:cstheme="minorHAnsi"/>
          <w:sz w:val="22"/>
          <w:szCs w:val="22"/>
        </w:rPr>
      </w:pPr>
    </w:p>
    <w:p w14:paraId="5B8BD7E4" w14:textId="1EE62F7B" w:rsidR="000C060E" w:rsidRDefault="000C060E">
      <w:pPr>
        <w:rPr>
          <w:rFonts w:asciiTheme="minorHAnsi" w:hAnsiTheme="minorHAnsi" w:cstheme="minorHAnsi"/>
          <w:sz w:val="22"/>
          <w:szCs w:val="22"/>
        </w:rPr>
      </w:pPr>
    </w:p>
    <w:p w14:paraId="7FB83980" w14:textId="5982F010" w:rsidR="000C060E" w:rsidRDefault="000C060E">
      <w:pPr>
        <w:rPr>
          <w:rFonts w:asciiTheme="minorHAnsi" w:hAnsiTheme="minorHAnsi" w:cstheme="minorHAnsi"/>
          <w:sz w:val="22"/>
          <w:szCs w:val="22"/>
        </w:rPr>
      </w:pPr>
    </w:p>
    <w:p w14:paraId="0F408CBA" w14:textId="3A637929" w:rsidR="000C060E" w:rsidRDefault="000C060E">
      <w:pPr>
        <w:rPr>
          <w:rFonts w:asciiTheme="minorHAnsi" w:hAnsiTheme="minorHAnsi" w:cstheme="minorHAnsi"/>
          <w:sz w:val="22"/>
          <w:szCs w:val="22"/>
        </w:rPr>
      </w:pPr>
    </w:p>
    <w:p w14:paraId="152BFF93" w14:textId="53F87089" w:rsidR="000C060E" w:rsidRDefault="000C060E">
      <w:pPr>
        <w:rPr>
          <w:rFonts w:asciiTheme="minorHAnsi" w:hAnsiTheme="minorHAnsi" w:cstheme="minorHAnsi"/>
          <w:sz w:val="22"/>
          <w:szCs w:val="22"/>
        </w:rPr>
      </w:pPr>
    </w:p>
    <w:p w14:paraId="7D021234" w14:textId="53815E4F" w:rsidR="000C060E" w:rsidRDefault="000C060E">
      <w:pPr>
        <w:rPr>
          <w:rFonts w:asciiTheme="minorHAnsi" w:hAnsiTheme="minorHAnsi" w:cstheme="minorHAnsi"/>
          <w:sz w:val="22"/>
          <w:szCs w:val="22"/>
        </w:rPr>
      </w:pPr>
    </w:p>
    <w:p w14:paraId="250BDBA3" w14:textId="52F5B502" w:rsidR="000C060E" w:rsidRDefault="000C060E">
      <w:pPr>
        <w:rPr>
          <w:rFonts w:asciiTheme="minorHAnsi" w:hAnsiTheme="minorHAnsi" w:cstheme="minorHAnsi"/>
          <w:sz w:val="22"/>
          <w:szCs w:val="22"/>
        </w:rPr>
      </w:pPr>
    </w:p>
    <w:p w14:paraId="372E01CB" w14:textId="77777777"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3B9B9BE1"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FF115B">
        <w:rPr>
          <w:rFonts w:asciiTheme="minorHAnsi" w:hAnsiTheme="minorHAnsi" w:cstheme="minorHAnsi"/>
          <w:sz w:val="22"/>
          <w:szCs w:val="22"/>
        </w:rPr>
        <w:t>0</w:t>
      </w:r>
      <w:r w:rsidR="000C060E">
        <w:rPr>
          <w:rFonts w:asciiTheme="minorHAnsi" w:hAnsiTheme="minorHAnsi" w:cstheme="minorHAnsi"/>
          <w:sz w:val="22"/>
          <w:szCs w:val="22"/>
        </w:rPr>
        <w:t>8</w:t>
      </w:r>
      <w:r>
        <w:rPr>
          <w:rFonts w:asciiTheme="minorHAnsi" w:hAnsiTheme="minorHAnsi" w:cstheme="minorHAnsi"/>
          <w:sz w:val="22"/>
          <w:szCs w:val="22"/>
        </w:rPr>
        <w:t>/0</w:t>
      </w:r>
      <w:r w:rsidR="00FF115B">
        <w:rPr>
          <w:rFonts w:asciiTheme="minorHAnsi" w:hAnsiTheme="minorHAnsi" w:cstheme="minorHAnsi"/>
          <w:sz w:val="22"/>
          <w:szCs w:val="22"/>
        </w:rPr>
        <w:t>5</w:t>
      </w:r>
      <w:r>
        <w:rPr>
          <w:rFonts w:asciiTheme="minorHAnsi" w:hAnsiTheme="minorHAnsi" w:cstheme="minorHAnsi"/>
          <w:sz w:val="22"/>
          <w:szCs w:val="22"/>
        </w:rPr>
        <w:t xml:space="preserve">/2023 y el </w:t>
      </w:r>
      <w:r w:rsidR="00FF115B">
        <w:rPr>
          <w:rFonts w:asciiTheme="minorHAnsi" w:hAnsiTheme="minorHAnsi" w:cstheme="minorHAnsi"/>
          <w:sz w:val="22"/>
          <w:szCs w:val="22"/>
        </w:rPr>
        <w:t>1</w:t>
      </w:r>
      <w:r w:rsidR="000C060E">
        <w:rPr>
          <w:rFonts w:asciiTheme="minorHAnsi" w:hAnsiTheme="minorHAnsi" w:cstheme="minorHAnsi"/>
          <w:sz w:val="22"/>
          <w:szCs w:val="22"/>
        </w:rPr>
        <w:t>9</w:t>
      </w:r>
      <w:r>
        <w:rPr>
          <w:rFonts w:asciiTheme="minorHAnsi" w:hAnsiTheme="minorHAnsi" w:cstheme="minorHAnsi"/>
          <w:sz w:val="22"/>
          <w:szCs w:val="22"/>
        </w:rPr>
        <w:t>/0</w:t>
      </w:r>
      <w:r w:rsidR="002C2B50">
        <w:rPr>
          <w:rFonts w:asciiTheme="minorHAnsi" w:hAnsiTheme="minorHAnsi" w:cstheme="minorHAnsi"/>
          <w:sz w:val="22"/>
          <w:szCs w:val="22"/>
        </w:rPr>
        <w:t>5</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54B51E1F"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0C060E">
        <w:rPr>
          <w:rFonts w:ascii="Calibri" w:hAnsi="Calibri" w:cs="Arial"/>
          <w:b/>
          <w:bCs/>
          <w:i/>
          <w:sz w:val="22"/>
          <w:szCs w:val="22"/>
          <w:lang w:eastAsia="es-PE"/>
        </w:rPr>
        <w:t>22</w:t>
      </w:r>
      <w:r>
        <w:rPr>
          <w:rFonts w:ascii="Calibri" w:hAnsi="Calibri" w:cs="Arial"/>
          <w:b/>
          <w:bCs/>
          <w:i/>
          <w:sz w:val="22"/>
          <w:szCs w:val="22"/>
          <w:lang w:eastAsia="es-PE"/>
        </w:rPr>
        <w:t>-0</w:t>
      </w:r>
      <w:r w:rsidR="002C2B50">
        <w:rPr>
          <w:rFonts w:ascii="Calibri" w:hAnsi="Calibri" w:cs="Arial"/>
          <w:b/>
          <w:bCs/>
          <w:i/>
          <w:sz w:val="22"/>
          <w:szCs w:val="22"/>
          <w:lang w:eastAsia="es-PE"/>
        </w:rPr>
        <w:t>5</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72537AD3" w:rsidR="00A86191" w:rsidRPr="00CC2A8A" w:rsidRDefault="000C060E" w:rsidP="00A86191">
      <w:pPr>
        <w:pBdr>
          <w:top w:val="single" w:sz="4" w:space="1" w:color="auto"/>
          <w:bottom w:val="single" w:sz="4" w:space="1" w:color="auto"/>
        </w:pBdr>
        <w:rPr>
          <w:rFonts w:ascii="Calibri" w:hAnsi="Calibri" w:cs="Arial"/>
          <w:bCs/>
          <w:sz w:val="32"/>
          <w:szCs w:val="32"/>
        </w:rPr>
      </w:pPr>
      <w:r w:rsidRPr="000C060E">
        <w:drawing>
          <wp:inline distT="0" distB="0" distL="0" distR="0" wp14:anchorId="6998C2AA" wp14:editId="2D9CC58D">
            <wp:extent cx="5486400" cy="3157855"/>
            <wp:effectExtent l="0" t="0" r="0" b="444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3157855"/>
                    </a:xfrm>
                    <a:prstGeom prst="rect">
                      <a:avLst/>
                    </a:prstGeom>
                    <a:noFill/>
                    <a:ln>
                      <a:noFill/>
                    </a:ln>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6DBDC56D"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En la Gráfica N°</w:t>
      </w:r>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Pr>
          <w:rFonts w:asciiTheme="minorHAnsi" w:hAnsiTheme="minorHAnsi" w:cstheme="minorHAnsi"/>
          <w:sz w:val="22"/>
          <w:szCs w:val="22"/>
        </w:rPr>
        <w:t>7</w:t>
      </w:r>
      <w:r w:rsidR="000C060E">
        <w:rPr>
          <w:rFonts w:asciiTheme="minorHAnsi" w:hAnsiTheme="minorHAnsi" w:cstheme="minorHAnsi"/>
          <w:sz w:val="22"/>
          <w:szCs w:val="22"/>
        </w:rPr>
        <w:t>2</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y 8</w:t>
      </w:r>
      <w:r w:rsidR="00FF115B">
        <w:rPr>
          <w:rFonts w:asciiTheme="minorHAnsi" w:hAnsiTheme="minorHAnsi" w:cstheme="minorHAnsi"/>
          <w:sz w:val="22"/>
          <w:szCs w:val="22"/>
        </w:rPr>
        <w:t>6</w:t>
      </w:r>
      <w:r>
        <w:rPr>
          <w:rFonts w:asciiTheme="minorHAnsi" w:hAnsiTheme="minorHAnsi" w:cstheme="minorHAnsi"/>
          <w:sz w:val="22"/>
          <w:szCs w:val="22"/>
        </w:rPr>
        <w:t xml:space="preserve">% del precio de referencia de los biocombustibles, </w:t>
      </w:r>
      <w:r w:rsidR="00AC2744">
        <w:rPr>
          <w:rFonts w:asciiTheme="minorHAnsi" w:hAnsiTheme="minorHAnsi" w:cstheme="minorHAnsi"/>
          <w:sz w:val="22"/>
          <w:szCs w:val="22"/>
        </w:rPr>
        <w:t>8</w:t>
      </w:r>
      <w:r w:rsidR="000C060E">
        <w:rPr>
          <w:rFonts w:asciiTheme="minorHAnsi" w:hAnsiTheme="minorHAnsi" w:cstheme="minorHAnsi"/>
          <w:sz w:val="22"/>
          <w:szCs w:val="22"/>
        </w:rPr>
        <w:t>1</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C1568F">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0F0A566A"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0C060E">
        <w:rPr>
          <w:rFonts w:asciiTheme="minorHAnsi" w:hAnsiTheme="minorHAnsi" w:cstheme="minorHAnsi"/>
          <w:sz w:val="22"/>
          <w:szCs w:val="22"/>
        </w:rPr>
        <w:t>2</w:t>
      </w:r>
      <w:r w:rsidR="00FF115B">
        <w:rPr>
          <w:rFonts w:asciiTheme="minorHAnsi" w:hAnsiTheme="minorHAnsi" w:cstheme="minorHAnsi"/>
          <w:sz w:val="22"/>
          <w:szCs w:val="22"/>
        </w:rPr>
        <w:t>2</w:t>
      </w:r>
      <w:r>
        <w:rPr>
          <w:rFonts w:asciiTheme="minorHAnsi" w:hAnsiTheme="minorHAnsi" w:cstheme="minorHAnsi"/>
          <w:sz w:val="22"/>
          <w:szCs w:val="22"/>
        </w:rPr>
        <w:t xml:space="preserve"> de </w:t>
      </w:r>
      <w:r w:rsidR="00C1568F">
        <w:rPr>
          <w:rFonts w:asciiTheme="minorHAnsi" w:hAnsiTheme="minorHAnsi" w:cstheme="minorHAnsi"/>
          <w:sz w:val="22"/>
          <w:szCs w:val="22"/>
        </w:rPr>
        <w:t>mayo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448FB3AC"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4B9DDAEF"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1568F">
        <w:rPr>
          <w:rFonts w:asciiTheme="minorHAnsi" w:hAnsiTheme="minorHAnsi" w:cstheme="minorHAnsi"/>
          <w:sz w:val="22"/>
          <w:szCs w:val="22"/>
        </w:rPr>
        <w:t>5</w:t>
      </w:r>
      <w:r w:rsidR="001F2602">
        <w:rPr>
          <w:rFonts w:asciiTheme="minorHAnsi" w:hAnsiTheme="minorHAnsi" w:cstheme="minorHAnsi"/>
          <w:sz w:val="22"/>
          <w:szCs w:val="22"/>
        </w:rPr>
        <w:t>,</w:t>
      </w:r>
      <w:r w:rsidR="00FF115B">
        <w:rPr>
          <w:rFonts w:asciiTheme="minorHAnsi" w:hAnsiTheme="minorHAnsi" w:cstheme="minorHAnsi"/>
          <w:sz w:val="22"/>
          <w:szCs w:val="22"/>
        </w:rPr>
        <w:t>1</w:t>
      </w:r>
      <w:r w:rsidR="00C1568F">
        <w:rPr>
          <w:rFonts w:asciiTheme="minorHAnsi" w:hAnsiTheme="minorHAnsi" w:cstheme="minorHAnsi"/>
          <w:sz w:val="22"/>
          <w:szCs w:val="22"/>
        </w:rPr>
        <w:t>0</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11D3944E"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1568F">
        <w:rPr>
          <w:rFonts w:asciiTheme="minorHAnsi" w:hAnsiTheme="minorHAnsi" w:cstheme="minorHAnsi"/>
          <w:sz w:val="22"/>
          <w:szCs w:val="22"/>
          <w:lang w:val="en-US"/>
        </w:rPr>
        <w:t>5</w:t>
      </w:r>
      <w:r>
        <w:rPr>
          <w:rFonts w:asciiTheme="minorHAnsi" w:hAnsiTheme="minorHAnsi" w:cstheme="minorHAnsi"/>
          <w:sz w:val="22"/>
          <w:szCs w:val="22"/>
          <w:lang w:val="en-US"/>
        </w:rPr>
        <w:t>,</w:t>
      </w:r>
      <w:r w:rsidR="00FF115B">
        <w:rPr>
          <w:rFonts w:asciiTheme="minorHAnsi" w:hAnsiTheme="minorHAnsi" w:cstheme="minorHAnsi"/>
          <w:sz w:val="22"/>
          <w:szCs w:val="22"/>
          <w:lang w:val="en-US"/>
        </w:rPr>
        <w:t>1</w:t>
      </w:r>
      <w:r w:rsidR="000C060E">
        <w:rPr>
          <w:rFonts w:asciiTheme="minorHAnsi" w:hAnsiTheme="minorHAnsi" w:cstheme="minorHAnsi"/>
          <w:sz w:val="22"/>
          <w:szCs w:val="22"/>
          <w:lang w:val="en-US"/>
        </w:rPr>
        <w:t>8</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0C060E">
        <w:rPr>
          <w:rFonts w:asciiTheme="minorHAnsi" w:hAnsiTheme="minorHAnsi" w:cstheme="minorHAnsi"/>
          <w:sz w:val="22"/>
          <w:szCs w:val="22"/>
          <w:lang w:val="en-US"/>
        </w:rPr>
        <w:t>70</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3028D33A"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C1568F">
        <w:rPr>
          <w:rFonts w:asciiTheme="minorHAnsi" w:hAnsiTheme="minorHAnsi" w:cstheme="minorHAnsi"/>
          <w:sz w:val="22"/>
          <w:szCs w:val="22"/>
          <w:lang w:val="en-US"/>
        </w:rPr>
        <w:t>5</w:t>
      </w:r>
      <w:r w:rsidR="000C060E">
        <w:rPr>
          <w:rFonts w:asciiTheme="minorHAnsi" w:hAnsiTheme="minorHAnsi" w:cstheme="minorHAnsi"/>
          <w:sz w:val="22"/>
          <w:szCs w:val="22"/>
          <w:lang w:val="en-US"/>
        </w:rPr>
        <w:t>6</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0605C14D"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0C060E">
        <w:rPr>
          <w:rFonts w:asciiTheme="minorHAnsi" w:hAnsiTheme="minorHAnsi" w:cstheme="minorHAnsi"/>
          <w:sz w:val="22"/>
          <w:szCs w:val="22"/>
        </w:rPr>
        <w:t>7</w:t>
      </w:r>
      <w:r w:rsidR="00FF115B">
        <w:rPr>
          <w:rFonts w:asciiTheme="minorHAnsi" w:hAnsiTheme="minorHAnsi" w:cstheme="minorHAnsi"/>
          <w:sz w:val="22"/>
          <w:szCs w:val="22"/>
        </w:rPr>
        <w:t>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42930DC0"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-0,</w:t>
      </w:r>
      <w:r w:rsidR="000C060E">
        <w:rPr>
          <w:rFonts w:asciiTheme="minorHAnsi" w:hAnsiTheme="minorHAnsi" w:cstheme="minorHAnsi"/>
          <w:sz w:val="22"/>
          <w:szCs w:val="22"/>
        </w:rPr>
        <w:t>92</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FF115B">
        <w:rPr>
          <w:rFonts w:asciiTheme="minorHAnsi" w:hAnsiTheme="minorHAnsi" w:cstheme="minorHAnsi"/>
          <w:sz w:val="22"/>
          <w:szCs w:val="22"/>
        </w:rPr>
        <w:t>7</w:t>
      </w:r>
      <w:r w:rsidR="000C060E">
        <w:rPr>
          <w:rFonts w:asciiTheme="minorHAnsi" w:hAnsiTheme="minorHAnsi" w:cstheme="minorHAnsi"/>
          <w:sz w:val="22"/>
          <w:szCs w:val="22"/>
        </w:rPr>
        <w:t>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1EBD9C4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w:t>
      </w:r>
      <w:r w:rsidR="00FF115B">
        <w:rPr>
          <w:rFonts w:asciiTheme="minorHAnsi" w:hAnsiTheme="minorHAnsi" w:cstheme="minorHAnsi"/>
          <w:sz w:val="22"/>
          <w:szCs w:val="22"/>
        </w:rPr>
        <w:t>1</w:t>
      </w:r>
      <w:r w:rsidR="000C060E">
        <w:rPr>
          <w:rFonts w:asciiTheme="minorHAnsi" w:hAnsiTheme="minorHAnsi" w:cstheme="minorHAnsi"/>
          <w:sz w:val="22"/>
          <w:szCs w:val="22"/>
        </w:rPr>
        <w:t>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10</w:t>
      </w:r>
      <w:r w:rsidR="00513E2B">
        <w:rPr>
          <w:rFonts w:asciiTheme="minorHAnsi" w:hAnsiTheme="minorHAnsi" w:cstheme="minorHAnsi"/>
          <w:sz w:val="22"/>
          <w:szCs w:val="22"/>
        </w:rPr>
        <w:t>,</w:t>
      </w:r>
      <w:r w:rsidR="000C060E">
        <w:rPr>
          <w:rFonts w:asciiTheme="minorHAnsi" w:hAnsiTheme="minorHAnsi" w:cstheme="minorHAnsi"/>
          <w:sz w:val="22"/>
          <w:szCs w:val="22"/>
        </w:rPr>
        <w:t>94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447775C5" w:rsidR="00E812D9" w:rsidRDefault="00E812D9" w:rsidP="00E812D9">
      <w:pPr>
        <w:ind w:left="426" w:hanging="426"/>
        <w:jc w:val="both"/>
        <w:rPr>
          <w:rFonts w:asciiTheme="minorHAnsi" w:hAnsiTheme="minorHAnsi" w:cstheme="minorHAnsi"/>
          <w:sz w:val="22"/>
          <w:szCs w:val="22"/>
          <w:u w:val="single"/>
        </w:rPr>
      </w:pPr>
    </w:p>
    <w:p w14:paraId="4B15E4EB" w14:textId="77777777" w:rsidR="000866E6" w:rsidRDefault="000866E6"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59522A26"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405392">
        <w:rPr>
          <w:rFonts w:asciiTheme="minorHAnsi" w:hAnsiTheme="minorHAnsi" w:cstheme="minorHAnsi"/>
          <w:sz w:val="22"/>
          <w:szCs w:val="22"/>
        </w:rPr>
        <w:t>7</w:t>
      </w:r>
      <w:r w:rsidR="00FF115B">
        <w:rPr>
          <w:rFonts w:asciiTheme="minorHAnsi" w:hAnsiTheme="minorHAnsi" w:cstheme="minorHAnsi"/>
          <w:sz w:val="22"/>
          <w:szCs w:val="22"/>
        </w:rPr>
        <w:t>8</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12910158" w:rsidR="00E812D9" w:rsidRDefault="00E812D9" w:rsidP="00E812D9">
      <w:pPr>
        <w:ind w:left="426" w:hanging="426"/>
        <w:jc w:val="both"/>
        <w:rPr>
          <w:rFonts w:asciiTheme="minorHAnsi" w:hAnsiTheme="minorHAnsi" w:cstheme="minorHAnsi"/>
          <w:b/>
          <w:sz w:val="22"/>
          <w:szCs w:val="22"/>
          <w:u w:val="single"/>
        </w:rPr>
      </w:pPr>
    </w:p>
    <w:p w14:paraId="5FED37D3" w14:textId="0AD68683" w:rsidR="00C3296D" w:rsidRDefault="00C3296D" w:rsidP="00E812D9">
      <w:pPr>
        <w:ind w:left="426" w:hanging="426"/>
        <w:jc w:val="both"/>
        <w:rPr>
          <w:rFonts w:asciiTheme="minorHAnsi" w:hAnsiTheme="minorHAnsi" w:cstheme="minorHAnsi"/>
          <w:b/>
          <w:sz w:val="22"/>
          <w:szCs w:val="22"/>
          <w:u w:val="single"/>
        </w:rPr>
      </w:pPr>
    </w:p>
    <w:p w14:paraId="62F30A55" w14:textId="20E0484E" w:rsidR="00C3296D" w:rsidRDefault="00C3296D" w:rsidP="00E812D9">
      <w:pPr>
        <w:ind w:left="426" w:hanging="426"/>
        <w:jc w:val="both"/>
        <w:rPr>
          <w:rFonts w:asciiTheme="minorHAnsi" w:hAnsiTheme="minorHAnsi" w:cstheme="minorHAnsi"/>
          <w:b/>
          <w:sz w:val="22"/>
          <w:szCs w:val="22"/>
          <w:u w:val="single"/>
        </w:rPr>
      </w:pPr>
    </w:p>
    <w:p w14:paraId="5742A19D" w14:textId="323EF69A" w:rsidR="00C3296D" w:rsidRDefault="00C3296D" w:rsidP="00E812D9">
      <w:pPr>
        <w:ind w:left="426" w:hanging="426"/>
        <w:jc w:val="both"/>
        <w:rPr>
          <w:rFonts w:asciiTheme="minorHAnsi" w:hAnsiTheme="minorHAnsi" w:cstheme="minorHAnsi"/>
          <w:b/>
          <w:sz w:val="22"/>
          <w:szCs w:val="22"/>
          <w:u w:val="single"/>
        </w:rPr>
      </w:pPr>
    </w:p>
    <w:p w14:paraId="3487415F" w14:textId="43E3A1AB" w:rsidR="00C3296D" w:rsidRDefault="00C3296D" w:rsidP="00E812D9">
      <w:pPr>
        <w:ind w:left="426" w:hanging="426"/>
        <w:jc w:val="both"/>
        <w:rPr>
          <w:rFonts w:asciiTheme="minorHAnsi" w:hAnsiTheme="minorHAnsi" w:cstheme="minorHAnsi"/>
          <w:b/>
          <w:sz w:val="22"/>
          <w:szCs w:val="22"/>
          <w:u w:val="single"/>
        </w:rPr>
      </w:pPr>
    </w:p>
    <w:p w14:paraId="0EBDF3E4" w14:textId="28423258" w:rsidR="00C3296D" w:rsidRDefault="00C3296D" w:rsidP="00E812D9">
      <w:pPr>
        <w:ind w:left="426" w:hanging="426"/>
        <w:jc w:val="both"/>
        <w:rPr>
          <w:rFonts w:asciiTheme="minorHAnsi" w:hAnsiTheme="minorHAnsi" w:cstheme="minorHAnsi"/>
          <w:b/>
          <w:sz w:val="22"/>
          <w:szCs w:val="22"/>
          <w:u w:val="single"/>
        </w:rPr>
      </w:pPr>
    </w:p>
    <w:p w14:paraId="0E921C82" w14:textId="77777777" w:rsidR="00C3296D" w:rsidRDefault="00C3296D" w:rsidP="00E812D9">
      <w:pPr>
        <w:ind w:left="426" w:hanging="426"/>
        <w:jc w:val="both"/>
        <w:rPr>
          <w:rFonts w:asciiTheme="minorHAnsi" w:hAnsiTheme="minorHAnsi" w:cstheme="minorHAnsi"/>
          <w:b/>
          <w:sz w:val="22"/>
          <w:szCs w:val="22"/>
          <w:u w:val="single"/>
        </w:rPr>
      </w:pPr>
    </w:p>
    <w:p w14:paraId="6F85BF9C" w14:textId="77777777" w:rsidR="00EF2B41" w:rsidRPr="006E3A77" w:rsidRDefault="00EF2B41"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1FD62A5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405392">
        <w:rPr>
          <w:rFonts w:asciiTheme="minorHAnsi" w:hAnsiTheme="minorHAnsi" w:cstheme="minorHAnsi"/>
          <w:sz w:val="22"/>
          <w:szCs w:val="22"/>
        </w:rPr>
        <w:t>53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77777777" w:rsidR="000866E6" w:rsidRDefault="000866E6"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5A246918" w:rsidR="00765078" w:rsidRDefault="00502C6D" w:rsidP="004F74EE">
      <w:pPr>
        <w:pBdr>
          <w:top w:val="single" w:sz="4" w:space="1" w:color="auto"/>
          <w:bottom w:val="single" w:sz="4" w:space="1" w:color="auto"/>
        </w:pBdr>
        <w:jc w:val="center"/>
        <w:rPr>
          <w:rFonts w:ascii="Calibri" w:hAnsi="Calibri" w:cs="Calibri"/>
          <w:sz w:val="22"/>
          <w:szCs w:val="22"/>
          <w:lang w:val="es-PE" w:eastAsia="en-US"/>
        </w:rPr>
      </w:pPr>
      <w:r w:rsidRPr="00502C6D">
        <w:drawing>
          <wp:inline distT="0" distB="0" distL="0" distR="0" wp14:anchorId="45C19F64" wp14:editId="39D439EB">
            <wp:extent cx="8173085" cy="300037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30003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46EA6D57" w:rsidR="00F85D23" w:rsidRDefault="00502C6D" w:rsidP="00FB4E04">
            <w:pPr>
              <w:ind w:left="-618" w:right="-654"/>
              <w:jc w:val="center"/>
              <w:rPr>
                <w:rFonts w:asciiTheme="minorHAnsi" w:hAnsiTheme="minorHAnsi" w:cstheme="minorHAnsi"/>
              </w:rPr>
            </w:pPr>
            <w:r w:rsidRPr="00502C6D">
              <w:rPr>
                <w:rFonts w:asciiTheme="minorHAnsi" w:hAnsiTheme="minorHAnsi" w:cstheme="minorHAnsi"/>
                <w:noProof/>
              </w:rPr>
              <w:drawing>
                <wp:inline distT="0" distB="0" distL="0" distR="0" wp14:anchorId="4DE4D6D5" wp14:editId="7527EEB2">
                  <wp:extent cx="3563620" cy="2780907"/>
                  <wp:effectExtent l="0" t="0" r="0"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7270" cy="2783755"/>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70335C0E" w:rsidR="00EF3BE9" w:rsidRPr="00CE793E" w:rsidRDefault="006344F1"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1A41CA06" wp14:editId="61790FAA">
                  <wp:extent cx="5259018" cy="242268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15886" cy="2448887"/>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71D0FFE" w14:textId="489324E2" w:rsidR="006C63F4" w:rsidRPr="00737F8F" w:rsidRDefault="00502C6D"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502C6D">
        <w:drawing>
          <wp:inline distT="0" distB="0" distL="0" distR="0" wp14:anchorId="0FA56AB8" wp14:editId="1EA98560">
            <wp:extent cx="5656082" cy="2155825"/>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0083" cy="215735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7B8D0180" w:rsidR="005C4A97" w:rsidRDefault="006344F1" w:rsidP="00604758">
      <w:pPr>
        <w:spacing w:line="0" w:lineRule="atLeast"/>
        <w:ind w:right="-567"/>
        <w:jc w:val="both"/>
        <w:rPr>
          <w:rFonts w:asciiTheme="minorHAnsi" w:hAnsiTheme="minorHAnsi" w:cstheme="minorHAnsi"/>
          <w:i/>
          <w:sz w:val="18"/>
          <w:szCs w:val="18"/>
        </w:rPr>
      </w:pPr>
      <w:r w:rsidRPr="006344F1">
        <w:drawing>
          <wp:inline distT="0" distB="0" distL="0" distR="0" wp14:anchorId="39F9A2A6" wp14:editId="694BFBA6">
            <wp:extent cx="5849823" cy="2460396"/>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6838" cy="2463346"/>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48E002C2" w:rsidR="00127A54" w:rsidRDefault="00C3296D" w:rsidP="006220EA">
      <w:pPr>
        <w:rPr>
          <w:rFonts w:asciiTheme="minorHAnsi" w:hAnsiTheme="minorHAnsi" w:cstheme="minorHAnsi"/>
          <w:i/>
          <w:sz w:val="18"/>
          <w:szCs w:val="18"/>
        </w:rPr>
      </w:pPr>
      <w:r w:rsidRPr="00C3296D">
        <w:drawing>
          <wp:inline distT="0" distB="0" distL="0" distR="0" wp14:anchorId="376F4646" wp14:editId="12DCE96F">
            <wp:extent cx="5850255" cy="741889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0894" cy="7419705"/>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071E0E88" w:rsidR="005048C1" w:rsidRPr="00C2751F" w:rsidRDefault="00C3296D" w:rsidP="005048C1">
      <w:pPr>
        <w:spacing w:line="0" w:lineRule="atLeast"/>
        <w:ind w:right="-567"/>
        <w:jc w:val="both"/>
        <w:rPr>
          <w:noProof/>
          <w:lang w:val="es-PE" w:eastAsia="es-PE"/>
        </w:rPr>
      </w:pPr>
      <w:r w:rsidRPr="00C3296D">
        <w:drawing>
          <wp:inline distT="0" distB="0" distL="0" distR="0" wp14:anchorId="7FF35CEA" wp14:editId="5C17A7E6">
            <wp:extent cx="5850255" cy="6061435"/>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2756" cy="6064026"/>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3"/>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173FA7E4" w14:textId="77777777" w:rsidR="00405392" w:rsidRDefault="00405392" w:rsidP="00405392">
      <w:pPr>
        <w:jc w:val="center"/>
        <w:rPr>
          <w:rFonts w:asciiTheme="minorHAnsi" w:hAnsiTheme="minorHAnsi" w:cstheme="minorHAnsi"/>
          <w:sz w:val="22"/>
          <w:szCs w:val="22"/>
        </w:rPr>
      </w:pPr>
      <w:r>
        <w:rPr>
          <w:noProof/>
        </w:rPr>
        <w:drawing>
          <wp:inline distT="0" distB="0" distL="0" distR="0" wp14:anchorId="74F48A1F" wp14:editId="6DE99DD8">
            <wp:extent cx="5208109" cy="2780711"/>
            <wp:effectExtent l="19050" t="19050" r="12065" b="19685"/>
            <wp:docPr id="2112183290" name="Picture 1"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6420" cy="2785148"/>
                    </a:xfrm>
                    <a:prstGeom prst="rect">
                      <a:avLst/>
                    </a:prstGeom>
                    <a:noFill/>
                    <a:ln>
                      <a:solidFill>
                        <a:schemeClr val="accent1"/>
                      </a:solidFill>
                    </a:ln>
                  </pic:spPr>
                </pic:pic>
              </a:graphicData>
            </a:graphic>
          </wp:inline>
        </w:drawing>
      </w:r>
    </w:p>
    <w:p w14:paraId="0018A2A2" w14:textId="7CEE65EB" w:rsidR="00405392" w:rsidRDefault="00405392" w:rsidP="00405392">
      <w:pPr>
        <w:jc w:val="center"/>
        <w:rPr>
          <w:rFonts w:asciiTheme="minorHAnsi" w:hAnsiTheme="minorHAnsi" w:cstheme="minorHAnsi"/>
          <w:sz w:val="22"/>
          <w:szCs w:val="22"/>
        </w:rPr>
      </w:pPr>
    </w:p>
    <w:p w14:paraId="60C8ED5E" w14:textId="174718E0" w:rsidR="00405392" w:rsidRDefault="00405392" w:rsidP="00405392">
      <w:pPr>
        <w:jc w:val="center"/>
        <w:rPr>
          <w:rFonts w:asciiTheme="minorHAnsi" w:hAnsiTheme="minorHAnsi" w:cstheme="minorHAnsi"/>
          <w:sz w:val="22"/>
          <w:szCs w:val="22"/>
        </w:rPr>
      </w:pPr>
    </w:p>
    <w:p w14:paraId="1D92082B" w14:textId="77777777" w:rsidR="00405392" w:rsidRDefault="00405392" w:rsidP="00405392">
      <w:pPr>
        <w:jc w:val="center"/>
        <w:rPr>
          <w:rFonts w:asciiTheme="minorHAnsi" w:hAnsiTheme="minorHAnsi" w:cstheme="minorHAnsi"/>
          <w:sz w:val="22"/>
          <w:szCs w:val="22"/>
        </w:rPr>
      </w:pPr>
    </w:p>
    <w:p w14:paraId="4C23DB4C" w14:textId="77777777" w:rsidR="00405392" w:rsidRDefault="00405392" w:rsidP="00405392">
      <w:pPr>
        <w:jc w:val="center"/>
        <w:rPr>
          <w:rFonts w:asciiTheme="minorHAnsi" w:hAnsiTheme="minorHAnsi" w:cstheme="minorHAnsi"/>
          <w:sz w:val="22"/>
          <w:szCs w:val="22"/>
        </w:rPr>
      </w:pPr>
      <w:r>
        <w:rPr>
          <w:noProof/>
        </w:rPr>
        <w:drawing>
          <wp:inline distT="0" distB="0" distL="0" distR="0" wp14:anchorId="5F58BB0C" wp14:editId="706C11A9">
            <wp:extent cx="5155142" cy="2752431"/>
            <wp:effectExtent l="19050" t="19050" r="26670" b="10160"/>
            <wp:docPr id="1595193828" name="Picture 2"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73109" cy="2762024"/>
                    </a:xfrm>
                    <a:prstGeom prst="rect">
                      <a:avLst/>
                    </a:prstGeom>
                    <a:noFill/>
                    <a:ln>
                      <a:solidFill>
                        <a:schemeClr val="accent1"/>
                      </a:solidFill>
                    </a:ln>
                  </pic:spPr>
                </pic:pic>
              </a:graphicData>
            </a:graphic>
          </wp:inline>
        </w:drawing>
      </w:r>
    </w:p>
    <w:p w14:paraId="16A0C02A" w14:textId="77777777" w:rsidR="00405392" w:rsidRDefault="00405392" w:rsidP="00405392">
      <w:pPr>
        <w:jc w:val="center"/>
        <w:rPr>
          <w:rFonts w:asciiTheme="minorHAnsi" w:hAnsiTheme="minorHAnsi" w:cstheme="minorHAnsi"/>
          <w:sz w:val="22"/>
          <w:szCs w:val="22"/>
        </w:rPr>
      </w:pPr>
    </w:p>
    <w:p w14:paraId="2FF8CC4C" w14:textId="48BE9AED" w:rsidR="00405392" w:rsidRPr="00405392" w:rsidRDefault="00405392" w:rsidP="00405392">
      <w:pPr>
        <w:jc w:val="center"/>
        <w:rPr>
          <w:noProof/>
        </w:rPr>
      </w:pPr>
      <w:r w:rsidRPr="00405392">
        <w:rPr>
          <w:noProof/>
        </w:rPr>
        <w:lastRenderedPageBreak/>
        <w:t xml:space="preserve"> </w:t>
      </w:r>
      <w:r>
        <w:rPr>
          <w:noProof/>
        </w:rPr>
        <w:drawing>
          <wp:inline distT="0" distB="0" distL="0" distR="0" wp14:anchorId="02179C6F" wp14:editId="0679D9CE">
            <wp:extent cx="4881978" cy="2601444"/>
            <wp:effectExtent l="19050" t="19050" r="13970" b="27940"/>
            <wp:docPr id="1482475487" name="Picture 3"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18219" cy="2620756"/>
                    </a:xfrm>
                    <a:prstGeom prst="rect">
                      <a:avLst/>
                    </a:prstGeom>
                    <a:noFill/>
                    <a:ln>
                      <a:solidFill>
                        <a:schemeClr val="accent1"/>
                      </a:solidFill>
                    </a:ln>
                  </pic:spPr>
                </pic:pic>
              </a:graphicData>
            </a:graphic>
          </wp:inline>
        </w:drawing>
      </w:r>
    </w:p>
    <w:p w14:paraId="534A5BB3" w14:textId="77777777" w:rsidR="00405392" w:rsidRDefault="00405392" w:rsidP="00405392">
      <w:pPr>
        <w:ind w:left="993"/>
        <w:jc w:val="both"/>
        <w:rPr>
          <w:rFonts w:asciiTheme="minorHAnsi" w:hAnsiTheme="minorHAnsi" w:cstheme="minorHAnsi"/>
          <w:b/>
          <w:iCs/>
          <w:u w:val="single"/>
        </w:rPr>
      </w:pPr>
    </w:p>
    <w:p w14:paraId="76C24C8F" w14:textId="77777777" w:rsidR="00405392" w:rsidRDefault="00405392" w:rsidP="00405392">
      <w:pPr>
        <w:jc w:val="center"/>
        <w:rPr>
          <w:rFonts w:asciiTheme="minorHAnsi" w:hAnsiTheme="minorHAnsi" w:cstheme="minorHAnsi"/>
          <w:b/>
          <w:iCs/>
          <w:u w:val="single"/>
        </w:rPr>
      </w:pPr>
    </w:p>
    <w:p w14:paraId="16FFF8B2" w14:textId="77777777" w:rsidR="00405392" w:rsidRPr="00405392" w:rsidRDefault="00405392" w:rsidP="00405392">
      <w:pPr>
        <w:jc w:val="center"/>
        <w:rPr>
          <w:noProof/>
        </w:rPr>
      </w:pPr>
      <w:r w:rsidRPr="00405392">
        <w:rPr>
          <w:noProof/>
        </w:rPr>
        <w:drawing>
          <wp:inline distT="0" distB="0" distL="0" distR="0" wp14:anchorId="44B9D792" wp14:editId="43664DC5">
            <wp:extent cx="4911169" cy="2770965"/>
            <wp:effectExtent l="19050" t="19050" r="22860" b="10795"/>
            <wp:docPr id="820984239" name="Picture 4"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44410" cy="2789720"/>
                    </a:xfrm>
                    <a:prstGeom prst="rect">
                      <a:avLst/>
                    </a:prstGeom>
                    <a:noFill/>
                    <a:ln>
                      <a:solidFill>
                        <a:schemeClr val="accent1"/>
                      </a:solidFill>
                    </a:ln>
                  </pic:spPr>
                </pic:pic>
              </a:graphicData>
            </a:graphic>
          </wp:inline>
        </w:drawing>
      </w:r>
    </w:p>
    <w:p w14:paraId="3ABB769A" w14:textId="733026BA" w:rsidR="003A064A" w:rsidRDefault="003A064A" w:rsidP="003A064A">
      <w:pPr>
        <w:jc w:val="center"/>
        <w:rPr>
          <w:rFonts w:asciiTheme="minorHAnsi" w:hAnsiTheme="minorHAnsi" w:cstheme="minorHAnsi"/>
          <w:b/>
          <w:iCs/>
          <w:u w:val="single"/>
        </w:rPr>
      </w:pPr>
    </w:p>
    <w:p w14:paraId="572098EB" w14:textId="77777777" w:rsidR="003C289C" w:rsidRDefault="003C289C" w:rsidP="003C289C">
      <w:pPr>
        <w:jc w:val="center"/>
        <w:rPr>
          <w:rFonts w:asciiTheme="minorHAnsi" w:hAnsiTheme="minorHAnsi" w:cstheme="minorHAnsi"/>
          <w:b/>
          <w:iCs/>
          <w:u w:val="single"/>
        </w:rPr>
      </w:pPr>
    </w:p>
    <w:p w14:paraId="1897531A" w14:textId="1BDC1EDE" w:rsidR="003C289C" w:rsidRDefault="003C289C" w:rsidP="003C289C">
      <w:pPr>
        <w:jc w:val="center"/>
        <w:rPr>
          <w:rFonts w:asciiTheme="minorHAnsi" w:hAnsiTheme="minorHAnsi" w:cstheme="minorHAnsi"/>
          <w:b/>
          <w:iCs/>
          <w:u w:val="single"/>
        </w:rPr>
      </w:pPr>
    </w:p>
    <w:p w14:paraId="005BDD39" w14:textId="77777777" w:rsidR="003C289C" w:rsidRDefault="003C289C" w:rsidP="003C289C">
      <w:pPr>
        <w:rPr>
          <w:rFonts w:asciiTheme="minorHAnsi" w:hAnsiTheme="minorHAnsi" w:cstheme="minorHAnsi"/>
          <w:b/>
          <w:iCs/>
          <w:u w:val="single"/>
        </w:rPr>
      </w:pPr>
    </w:p>
    <w:p w14:paraId="5F427FD7" w14:textId="77777777" w:rsidR="003C289C" w:rsidRDefault="003C289C" w:rsidP="003C289C">
      <w:pPr>
        <w:rPr>
          <w:rFonts w:asciiTheme="minorHAnsi" w:hAnsiTheme="minorHAnsi" w:cstheme="minorHAnsi"/>
          <w:b/>
          <w:iCs/>
          <w:u w:val="single"/>
        </w:rPr>
      </w:pPr>
    </w:p>
    <w:p w14:paraId="152F346D" w14:textId="77777777" w:rsidR="003C289C" w:rsidRDefault="003C289C" w:rsidP="003C289C">
      <w:pPr>
        <w:rPr>
          <w:rFonts w:asciiTheme="minorHAnsi" w:hAnsiTheme="minorHAnsi" w:cstheme="minorHAnsi"/>
          <w:b/>
          <w:iCs/>
          <w:u w:val="single"/>
        </w:rPr>
      </w:pPr>
    </w:p>
    <w:p w14:paraId="4EFAE8E0" w14:textId="77777777" w:rsidR="003C289C" w:rsidRDefault="003C289C" w:rsidP="003C289C">
      <w:pPr>
        <w:rPr>
          <w:rFonts w:asciiTheme="minorHAnsi" w:hAnsiTheme="minorHAnsi" w:cstheme="minorHAnsi"/>
          <w:b/>
          <w:iCs/>
          <w:u w:val="single"/>
        </w:rPr>
      </w:pPr>
    </w:p>
    <w:p w14:paraId="0AC4CAD2" w14:textId="77777777" w:rsidR="003C289C" w:rsidRDefault="003C289C" w:rsidP="003C289C">
      <w:pPr>
        <w:rPr>
          <w:rFonts w:asciiTheme="minorHAnsi" w:hAnsiTheme="minorHAnsi" w:cstheme="minorHAnsi"/>
          <w:b/>
          <w:iCs/>
          <w:u w:val="single"/>
        </w:rPr>
      </w:pPr>
    </w:p>
    <w:p w14:paraId="2FBBD970" w14:textId="236B5C67" w:rsidR="008F7A15" w:rsidRDefault="003C289C">
      <w:pPr>
        <w:rPr>
          <w:rFonts w:asciiTheme="minorHAnsi" w:hAnsiTheme="minorHAnsi" w:cstheme="minorHAnsi"/>
          <w:b/>
          <w:iCs/>
          <w:u w:val="single"/>
        </w:rPr>
      </w:pPr>
      <w:r>
        <w:rPr>
          <w:rFonts w:asciiTheme="minorHAnsi" w:hAnsiTheme="minorHAnsi" w:cstheme="minorHAnsi"/>
          <w:b/>
          <w:iCs/>
          <w:u w:val="single"/>
        </w:rPr>
        <w:br w:type="page"/>
      </w:r>
    </w:p>
    <w:p w14:paraId="166D0F6D" w14:textId="0EBEA676"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C3296D"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3">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72F2358"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0C060E">
            <w:rPr>
              <w:rFonts w:ascii="Calibri" w:hAnsi="Calibri" w:cs="Calibri"/>
              <w:b/>
              <w:sz w:val="26"/>
              <w:szCs w:val="26"/>
              <w:lang w:val="it-IT"/>
            </w:rPr>
            <w:t>1</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27BB3A54"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360681">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11AC3411"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405392">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12DC6B7C"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405392">
            <w:rPr>
              <w:rFonts w:ascii="Calibri" w:hAnsi="Calibri" w:cs="Calibri"/>
              <w:b/>
              <w:sz w:val="26"/>
              <w:szCs w:val="26"/>
              <w:lang w:val="it-IT"/>
            </w:rPr>
            <w:t>1</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17</Pages>
  <Words>3457</Words>
  <Characters>19015</Characters>
  <Application>Microsoft Office Word</Application>
  <DocSecurity>0</DocSecurity>
  <Lines>158</Lines>
  <Paragraphs>44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22428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3</cp:revision>
  <cp:lastPrinted>2023-05-16T20:56:00Z</cp:lastPrinted>
  <dcterms:created xsi:type="dcterms:W3CDTF">2023-05-25T14:37:00Z</dcterms:created>
  <dcterms:modified xsi:type="dcterms:W3CDTF">2023-05-25T15:10:00Z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