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3D823A9"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B334B9">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84AE1CE"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B334B9">
        <w:rPr>
          <w:rFonts w:asciiTheme="minorHAnsi" w:hAnsiTheme="minorHAnsi" w:cstheme="minorHAnsi"/>
          <w:b/>
          <w:bCs/>
          <w:sz w:val="28"/>
          <w:szCs w:val="28"/>
        </w:rPr>
        <w:t>22</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073C34">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6A52326A" w:rsidR="00073C34" w:rsidRPr="002B3648" w:rsidRDefault="00F45E23"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8DE1B6D" wp14:editId="151685C9">
            <wp:extent cx="5298955" cy="3610424"/>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5154" cy="3621461"/>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05B220D9"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w:t>
      </w:r>
      <w:r w:rsidR="00F82E58">
        <w:rPr>
          <w:rFonts w:asciiTheme="minorHAnsi" w:hAnsiTheme="minorHAnsi" w:cstheme="minorHAnsi"/>
          <w:sz w:val="22"/>
          <w:szCs w:val="22"/>
        </w:rPr>
        <w:t>4</w:t>
      </w:r>
      <w:r w:rsidR="00073C34">
        <w:rPr>
          <w:rFonts w:asciiTheme="minorHAnsi" w:hAnsiTheme="minorHAnsi" w:cstheme="minorHAnsi"/>
          <w:sz w:val="22"/>
          <w:szCs w:val="22"/>
        </w:rPr>
        <w:t>,</w:t>
      </w:r>
      <w:r w:rsidR="00F82E58">
        <w:rPr>
          <w:rFonts w:asciiTheme="minorHAnsi" w:hAnsiTheme="minorHAnsi" w:cstheme="minorHAnsi"/>
          <w:sz w:val="22"/>
          <w:szCs w:val="22"/>
        </w:rPr>
        <w:t>04</w:t>
      </w:r>
      <w:r w:rsidRPr="00733288">
        <w:rPr>
          <w:rFonts w:asciiTheme="minorHAnsi" w:hAnsiTheme="minorHAnsi" w:cstheme="minorHAnsi"/>
          <w:sz w:val="22"/>
          <w:szCs w:val="22"/>
        </w:rPr>
        <w:t xml:space="preserve"> US$/Bl, las gasolinas registraron un precio superior a </w:t>
      </w:r>
      <w:r w:rsidR="00FC05C1">
        <w:rPr>
          <w:rFonts w:asciiTheme="minorHAnsi" w:hAnsiTheme="minorHAnsi" w:cstheme="minorHAnsi"/>
          <w:sz w:val="22"/>
          <w:szCs w:val="22"/>
        </w:rPr>
        <w:t>10</w:t>
      </w:r>
      <w:r w:rsidR="00F82E58">
        <w:rPr>
          <w:rFonts w:asciiTheme="minorHAnsi" w:hAnsiTheme="minorHAnsi" w:cstheme="minorHAnsi"/>
          <w:sz w:val="22"/>
          <w:szCs w:val="22"/>
        </w:rPr>
        <w:t>0</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F82E58">
        <w:rPr>
          <w:rFonts w:asciiTheme="minorHAnsi" w:hAnsiTheme="minorHAnsi" w:cstheme="minorHAnsi"/>
          <w:sz w:val="22"/>
          <w:szCs w:val="22"/>
        </w:rPr>
        <w:t>4</w:t>
      </w:r>
      <w:r w:rsidR="00941CD2">
        <w:rPr>
          <w:rFonts w:asciiTheme="minorHAnsi" w:hAnsiTheme="minorHAnsi" w:cstheme="minorHAnsi"/>
          <w:sz w:val="22"/>
          <w:szCs w:val="22"/>
        </w:rPr>
        <w:t>,</w:t>
      </w:r>
      <w:r w:rsidR="00500CF0">
        <w:rPr>
          <w:rFonts w:asciiTheme="minorHAnsi" w:hAnsiTheme="minorHAnsi" w:cstheme="minorHAnsi"/>
          <w:sz w:val="22"/>
          <w:szCs w:val="22"/>
        </w:rPr>
        <w:t>3</w:t>
      </w:r>
      <w:r w:rsidR="00F82E58">
        <w:rPr>
          <w:rFonts w:asciiTheme="minorHAnsi" w:hAnsiTheme="minorHAnsi" w:cstheme="minorHAnsi"/>
          <w:sz w:val="22"/>
          <w:szCs w:val="22"/>
        </w:rPr>
        <w:t>2</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0AFE2587"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F82E58">
        <w:rPr>
          <w:rFonts w:asciiTheme="minorHAnsi" w:hAnsiTheme="minorHAnsi" w:cstheme="minorHAnsi"/>
          <w:bCs/>
          <w:sz w:val="22"/>
          <w:szCs w:val="22"/>
        </w:rPr>
        <w:t>08</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82E58">
        <w:rPr>
          <w:rFonts w:asciiTheme="minorHAnsi" w:hAnsiTheme="minorHAnsi" w:cstheme="minorHAnsi"/>
          <w:bCs/>
          <w:sz w:val="22"/>
          <w:szCs w:val="22"/>
        </w:rPr>
        <w:t>4</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500CF0">
        <w:rPr>
          <w:rFonts w:asciiTheme="minorHAnsi" w:hAnsiTheme="minorHAnsi" w:cstheme="minorHAnsi"/>
          <w:bCs/>
          <w:sz w:val="22"/>
          <w:szCs w:val="22"/>
        </w:rPr>
        <w:t>1</w:t>
      </w:r>
      <w:r w:rsidR="00F82E58">
        <w:rPr>
          <w:rFonts w:asciiTheme="minorHAnsi" w:hAnsiTheme="minorHAnsi" w:cstheme="minorHAnsi"/>
          <w:bCs/>
          <w:sz w:val="22"/>
          <w:szCs w:val="22"/>
        </w:rPr>
        <w:t>9</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1D5BE5">
        <w:rPr>
          <w:rFonts w:asciiTheme="minorHAnsi" w:hAnsiTheme="minorHAnsi" w:cstheme="minorHAnsi"/>
          <w:bCs/>
          <w:sz w:val="22"/>
          <w:szCs w:val="22"/>
        </w:rPr>
        <w:t>4</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14ACAB83" w14:textId="77777777" w:rsidR="00F82E58" w:rsidRPr="00113186" w:rsidRDefault="00F82E58" w:rsidP="00F82E58">
      <w:pPr>
        <w:pStyle w:val="Prrafodelista"/>
        <w:numPr>
          <w:ilvl w:val="0"/>
          <w:numId w:val="13"/>
        </w:numPr>
        <w:ind w:left="426"/>
        <w:contextualSpacing/>
        <w:jc w:val="both"/>
        <w:rPr>
          <w:rFonts w:asciiTheme="minorHAnsi" w:hAnsiTheme="minorHAnsi" w:cstheme="minorHAnsi"/>
          <w:sz w:val="22"/>
          <w:szCs w:val="22"/>
        </w:rPr>
      </w:pPr>
      <w:r w:rsidRPr="00113186">
        <w:rPr>
          <w:rFonts w:asciiTheme="minorHAnsi" w:hAnsiTheme="minorHAnsi" w:cstheme="minorHAnsi"/>
          <w:b/>
          <w:sz w:val="22"/>
          <w:szCs w:val="22"/>
        </w:rPr>
        <w:t>El aumento de las existencias de crudo y propano; así como la disminución de los inventarios de gasolinas y destilados medios, al 12 de abril del 2024</w:t>
      </w:r>
    </w:p>
    <w:p w14:paraId="3F3C8D77" w14:textId="77777777" w:rsidR="00F82E58" w:rsidRPr="00113186" w:rsidRDefault="00F82E58" w:rsidP="00F82E58">
      <w:pPr>
        <w:jc w:val="both"/>
        <w:rPr>
          <w:rFonts w:asciiTheme="minorHAnsi" w:hAnsiTheme="minorHAnsi" w:cstheme="minorHAnsi"/>
          <w:sz w:val="22"/>
          <w:szCs w:val="22"/>
        </w:rPr>
      </w:pPr>
    </w:p>
    <w:p w14:paraId="110BF602"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Los inventarios de petróleo de Estados Unidos subieron en 2,7 millones de barriles, ubicándose en -1% por debajo de la media de los últimos 5 años en esta época del año, lo que representa 460,0 millones de barriles.</w:t>
      </w:r>
    </w:p>
    <w:p w14:paraId="12E97429" w14:textId="77777777" w:rsidR="00F82E58" w:rsidRPr="00113186" w:rsidRDefault="00F82E58" w:rsidP="00F82E58">
      <w:pPr>
        <w:pStyle w:val="Prrafodelista"/>
        <w:ind w:left="426"/>
        <w:jc w:val="both"/>
        <w:rPr>
          <w:rFonts w:asciiTheme="minorHAnsi" w:hAnsiTheme="minorHAnsi" w:cstheme="minorHAnsi"/>
          <w:sz w:val="22"/>
          <w:szCs w:val="22"/>
        </w:rPr>
      </w:pPr>
    </w:p>
    <w:p w14:paraId="2119FCAC"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Por su parte, las existencias de gasolina cayeron en 1,1 millones de barriles, reportando un total de 227,4 millones de barriles; mientras los inventarios de destilados, que incluyen al diésel y al combustible para calefacción, disminuyeron 2,7 millones de barriles, con un total de 115,0 millones de barriles. Finalmente, las existencias de propano aumentaron 3,98 millones de barriles, ubicándose en los 55,70 millones de barriles.</w:t>
      </w:r>
    </w:p>
    <w:p w14:paraId="7CFF19AA" w14:textId="77777777" w:rsidR="00F82E58" w:rsidRPr="00113186" w:rsidRDefault="00F82E58" w:rsidP="00F82E58">
      <w:pPr>
        <w:pStyle w:val="Prrafodelista"/>
        <w:ind w:left="426"/>
        <w:jc w:val="both"/>
        <w:rPr>
          <w:rFonts w:asciiTheme="minorHAnsi" w:hAnsiTheme="minorHAnsi" w:cstheme="minorHAnsi"/>
          <w:sz w:val="22"/>
          <w:szCs w:val="22"/>
        </w:rPr>
      </w:pPr>
    </w:p>
    <w:p w14:paraId="61887E06" w14:textId="72F245FA" w:rsidR="00F82E58" w:rsidRPr="00113186" w:rsidRDefault="00F82E58" w:rsidP="00F82E58">
      <w:pPr>
        <w:pStyle w:val="Prrafodelista"/>
        <w:numPr>
          <w:ilvl w:val="0"/>
          <w:numId w:val="13"/>
        </w:numPr>
        <w:ind w:left="426"/>
        <w:contextualSpacing/>
        <w:jc w:val="both"/>
        <w:rPr>
          <w:rFonts w:asciiTheme="minorHAnsi" w:hAnsiTheme="minorHAnsi" w:cstheme="minorHAnsi"/>
          <w:b/>
          <w:sz w:val="22"/>
          <w:szCs w:val="22"/>
        </w:rPr>
      </w:pPr>
      <w:r w:rsidRPr="00113186">
        <w:rPr>
          <w:rFonts w:asciiTheme="minorHAnsi" w:hAnsiTheme="minorHAnsi" w:cstheme="minorHAnsi"/>
          <w:b/>
          <w:sz w:val="22"/>
          <w:szCs w:val="22"/>
        </w:rPr>
        <w:t>La persistente inflación que ha dado origen a la necesidad de una política monetaria más restrictiva en EE.UU.</w:t>
      </w:r>
    </w:p>
    <w:p w14:paraId="4C57A257" w14:textId="77777777" w:rsidR="00F82E58" w:rsidRPr="00113186" w:rsidRDefault="00F82E58" w:rsidP="00F82E58">
      <w:pPr>
        <w:pStyle w:val="Prrafodelista"/>
        <w:ind w:left="426"/>
        <w:jc w:val="both"/>
        <w:rPr>
          <w:rFonts w:asciiTheme="minorHAnsi" w:hAnsiTheme="minorHAnsi" w:cstheme="minorHAnsi"/>
          <w:b/>
          <w:sz w:val="22"/>
          <w:szCs w:val="22"/>
        </w:rPr>
      </w:pPr>
    </w:p>
    <w:p w14:paraId="58FBCE9A" w14:textId="3B95D406" w:rsidR="00F82E58" w:rsidRDefault="00F82E58" w:rsidP="00F82E58">
      <w:pPr>
        <w:pStyle w:val="Prrafodelista"/>
        <w:ind w:left="426"/>
        <w:jc w:val="both"/>
        <w:rPr>
          <w:rFonts w:asciiTheme="minorHAnsi" w:hAnsiTheme="minorHAnsi" w:cstheme="minorHAnsi"/>
          <w:sz w:val="22"/>
          <w:szCs w:val="22"/>
        </w:rPr>
      </w:pPr>
      <w:r w:rsidRPr="00F82E58">
        <w:rPr>
          <w:rFonts w:asciiTheme="minorHAnsi" w:hAnsiTheme="minorHAnsi" w:cstheme="minorHAnsi"/>
          <w:sz w:val="22"/>
          <w:szCs w:val="22"/>
        </w:rPr>
        <w:t>Las minutas de la Reserva Federal de Estados Unidos mostraron la preocupación de los funcionarios por la posibilidad de que los avances relacionados con la inflación se hayan</w:t>
      </w:r>
      <w:r w:rsidRPr="00113186">
        <w:rPr>
          <w:rFonts w:asciiTheme="minorHAnsi" w:eastAsia="Calibri" w:hAnsiTheme="minorHAnsi" w:cstheme="minorHAnsi"/>
          <w:sz w:val="22"/>
          <w:szCs w:val="22"/>
          <w:lang w:eastAsia="en-US"/>
        </w:rPr>
        <w:t xml:space="preserve"> </w:t>
      </w:r>
      <w:r w:rsidRPr="00F82E58">
        <w:rPr>
          <w:rFonts w:asciiTheme="minorHAnsi" w:hAnsiTheme="minorHAnsi" w:cstheme="minorHAnsi"/>
          <w:sz w:val="22"/>
          <w:szCs w:val="22"/>
        </w:rPr>
        <w:lastRenderedPageBreak/>
        <w:t>estancado y sea necesario un periodo más largo de política monetaria restrictiva para controlar la inflación en dicho país.</w:t>
      </w:r>
    </w:p>
    <w:p w14:paraId="7DF3BF25" w14:textId="77777777" w:rsidR="00F82E58" w:rsidRPr="00F82E58" w:rsidRDefault="00F82E58" w:rsidP="00F82E58">
      <w:pPr>
        <w:pStyle w:val="Prrafodelista"/>
        <w:ind w:left="426"/>
        <w:jc w:val="both"/>
        <w:rPr>
          <w:rFonts w:asciiTheme="minorHAnsi" w:hAnsiTheme="minorHAnsi" w:cstheme="minorHAnsi"/>
          <w:sz w:val="22"/>
          <w:szCs w:val="22"/>
        </w:rPr>
      </w:pPr>
    </w:p>
    <w:p w14:paraId="4F31D278" w14:textId="0AF8EDE6" w:rsidR="00F82E58" w:rsidRDefault="00F82E58" w:rsidP="00F82E58">
      <w:pPr>
        <w:pStyle w:val="Prrafodelista"/>
        <w:ind w:left="426"/>
        <w:jc w:val="both"/>
        <w:rPr>
          <w:rFonts w:asciiTheme="minorHAnsi" w:hAnsiTheme="minorHAnsi" w:cstheme="minorHAnsi"/>
          <w:sz w:val="22"/>
          <w:szCs w:val="22"/>
        </w:rPr>
      </w:pPr>
      <w:r w:rsidRPr="00F82E58">
        <w:rPr>
          <w:rFonts w:asciiTheme="minorHAnsi" w:hAnsiTheme="minorHAnsi" w:cstheme="minorHAnsi"/>
          <w:sz w:val="22"/>
          <w:szCs w:val="22"/>
        </w:rPr>
        <w:t>Los inversores, esperaban un recorte de las tasas en junio, pero ahora estiman que es más probable que el ciclo de relajación comience en setiembre, después de una tercera lectura consecutiva de la inflación al consumidor más alta de lo previsto.</w:t>
      </w:r>
    </w:p>
    <w:p w14:paraId="0ACB42FC" w14:textId="77777777" w:rsidR="00F82E58" w:rsidRPr="00F82E58" w:rsidRDefault="00F82E58" w:rsidP="00F82E58">
      <w:pPr>
        <w:pStyle w:val="Prrafodelista"/>
        <w:ind w:left="426"/>
        <w:jc w:val="both"/>
        <w:rPr>
          <w:rFonts w:asciiTheme="minorHAnsi" w:hAnsiTheme="minorHAnsi" w:cstheme="minorHAnsi"/>
          <w:sz w:val="22"/>
          <w:szCs w:val="22"/>
        </w:rPr>
      </w:pPr>
    </w:p>
    <w:p w14:paraId="45642E58" w14:textId="77777777" w:rsidR="00F82E58" w:rsidRPr="00F82E58" w:rsidRDefault="00F82E58" w:rsidP="00F82E58">
      <w:pPr>
        <w:pStyle w:val="Prrafodelista"/>
        <w:ind w:left="426"/>
        <w:jc w:val="both"/>
        <w:rPr>
          <w:rFonts w:asciiTheme="minorHAnsi" w:hAnsiTheme="minorHAnsi" w:cstheme="minorHAnsi"/>
          <w:sz w:val="22"/>
          <w:szCs w:val="22"/>
        </w:rPr>
      </w:pPr>
      <w:r w:rsidRPr="00F82E58">
        <w:rPr>
          <w:rFonts w:asciiTheme="minorHAnsi" w:hAnsiTheme="minorHAnsi" w:cstheme="minorHAnsi"/>
          <w:sz w:val="22"/>
          <w:szCs w:val="22"/>
        </w:rPr>
        <w:t>Las tasas de interés más altas por más tiempo podrían desacelerar el crecimiento económico y reducir la demanda de crudo y productos de petróleo.</w:t>
      </w:r>
    </w:p>
    <w:p w14:paraId="2F52BD43" w14:textId="77777777" w:rsidR="00F82E58" w:rsidRPr="00113186" w:rsidRDefault="00F82E58" w:rsidP="00F82E58">
      <w:pPr>
        <w:pStyle w:val="Prrafodelista"/>
        <w:ind w:left="426"/>
        <w:jc w:val="both"/>
        <w:rPr>
          <w:rFonts w:asciiTheme="minorHAnsi" w:hAnsiTheme="minorHAnsi" w:cstheme="minorHAnsi"/>
          <w:sz w:val="22"/>
          <w:szCs w:val="22"/>
        </w:rPr>
      </w:pPr>
    </w:p>
    <w:p w14:paraId="14337E45" w14:textId="77777777" w:rsidR="00F82E58" w:rsidRPr="00113186" w:rsidRDefault="00F82E58" w:rsidP="00F82E58">
      <w:pPr>
        <w:pStyle w:val="Prrafodelista"/>
        <w:ind w:left="360"/>
        <w:jc w:val="both"/>
        <w:rPr>
          <w:rFonts w:asciiTheme="minorHAnsi" w:hAnsiTheme="minorHAnsi" w:cstheme="minorHAnsi"/>
          <w:b/>
          <w:sz w:val="22"/>
          <w:szCs w:val="22"/>
        </w:rPr>
      </w:pPr>
    </w:p>
    <w:p w14:paraId="167FE91F" w14:textId="77777777" w:rsidR="00F82E58" w:rsidRPr="00F82E58" w:rsidRDefault="00F82E58" w:rsidP="00F82E58">
      <w:pPr>
        <w:pStyle w:val="Prrafodelista"/>
        <w:numPr>
          <w:ilvl w:val="0"/>
          <w:numId w:val="13"/>
        </w:numPr>
        <w:ind w:left="426"/>
        <w:contextualSpacing/>
        <w:jc w:val="both"/>
        <w:rPr>
          <w:rFonts w:asciiTheme="minorHAnsi" w:hAnsiTheme="minorHAnsi" w:cstheme="minorHAnsi"/>
          <w:b/>
          <w:sz w:val="22"/>
          <w:szCs w:val="22"/>
        </w:rPr>
      </w:pPr>
      <w:r w:rsidRPr="00F82E58">
        <w:rPr>
          <w:rFonts w:asciiTheme="minorHAnsi" w:hAnsiTheme="minorHAnsi" w:cstheme="minorHAnsi"/>
          <w:b/>
          <w:sz w:val="22"/>
          <w:szCs w:val="22"/>
        </w:rPr>
        <w:t>Las tensiones geopolíticas por los ataques a buques comerciales en el Mar Rojo, la ofensiva de Irán contra Israel y los continuos enfrentamientos entre Rusia y Ucrania</w:t>
      </w:r>
    </w:p>
    <w:p w14:paraId="441F0BC0" w14:textId="77777777" w:rsidR="00F82E58" w:rsidRPr="00113186" w:rsidRDefault="00F82E58" w:rsidP="00F82E58">
      <w:pPr>
        <w:ind w:left="284"/>
        <w:jc w:val="both"/>
        <w:rPr>
          <w:rFonts w:asciiTheme="minorHAnsi" w:hAnsiTheme="minorHAnsi" w:cstheme="minorHAnsi"/>
          <w:b/>
          <w:bCs/>
          <w:sz w:val="22"/>
          <w:szCs w:val="22"/>
        </w:rPr>
      </w:pPr>
    </w:p>
    <w:p w14:paraId="76129525"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41F0A8D3" w14:textId="77777777" w:rsidR="00F82E58" w:rsidRPr="00113186" w:rsidRDefault="00F82E58" w:rsidP="00F82E58">
      <w:pPr>
        <w:pStyle w:val="Prrafodelista"/>
        <w:ind w:left="426"/>
        <w:jc w:val="both"/>
        <w:rPr>
          <w:rFonts w:asciiTheme="minorHAnsi" w:hAnsiTheme="minorHAnsi" w:cstheme="minorHAnsi"/>
          <w:sz w:val="22"/>
          <w:szCs w:val="22"/>
        </w:rPr>
      </w:pPr>
    </w:p>
    <w:p w14:paraId="48896E35" w14:textId="77777777" w:rsidR="00F82E58" w:rsidRPr="00F82E58" w:rsidRDefault="00F82E58" w:rsidP="00F82E58">
      <w:pPr>
        <w:pStyle w:val="Prrafodelista"/>
        <w:ind w:left="426"/>
        <w:jc w:val="both"/>
        <w:rPr>
          <w:rFonts w:asciiTheme="minorHAnsi" w:hAnsiTheme="minorHAnsi" w:cstheme="minorHAnsi"/>
          <w:sz w:val="22"/>
          <w:szCs w:val="22"/>
        </w:rPr>
      </w:pPr>
      <w:r w:rsidRPr="00F82E58">
        <w:rPr>
          <w:rFonts w:asciiTheme="minorHAnsi" w:hAnsiTheme="minorHAnsi" w:cstheme="minorHAnsi"/>
          <w:sz w:val="22"/>
          <w:szCs w:val="22"/>
        </w:rPr>
        <w:t>El 13 de abril, Irán lanzó decenas de misiles desde su territorio hacia Israel, en represalia por un ataque israelí al consulado iraní en Damasco a principios de este mes, según el Ministerio de Asuntos Exteriores de Irán. La gran mayoría de los misiles fueron interceptados fuera del territorio israelí por los sistemas de defensa aérea de Israel que contó con el apoyo de EE.UU.</w:t>
      </w:r>
    </w:p>
    <w:p w14:paraId="5B55D300" w14:textId="77777777" w:rsidR="00F82E58" w:rsidRPr="00F82E58" w:rsidRDefault="00F82E58" w:rsidP="00F82E58">
      <w:pPr>
        <w:pStyle w:val="Prrafodelista"/>
        <w:ind w:left="426"/>
        <w:jc w:val="both"/>
        <w:rPr>
          <w:rFonts w:asciiTheme="minorHAnsi" w:hAnsiTheme="minorHAnsi" w:cstheme="minorHAnsi"/>
          <w:sz w:val="22"/>
          <w:szCs w:val="22"/>
        </w:rPr>
      </w:pPr>
    </w:p>
    <w:p w14:paraId="068C887C" w14:textId="1D6AD12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Mientras tanto, Ucrania atacó a inicios del mes de abril a una de las mayores refinerías rusas con un avión no tripulado a 1</w:t>
      </w:r>
      <w:r>
        <w:rPr>
          <w:rFonts w:asciiTheme="minorHAnsi" w:hAnsiTheme="minorHAnsi" w:cstheme="minorHAnsi"/>
          <w:sz w:val="22"/>
          <w:szCs w:val="22"/>
        </w:rPr>
        <w:t xml:space="preserve"> </w:t>
      </w:r>
      <w:r w:rsidRPr="00113186">
        <w:rPr>
          <w:rFonts w:asciiTheme="minorHAnsi" w:hAnsiTheme="minorHAnsi" w:cstheme="minorHAnsi"/>
          <w:sz w:val="22"/>
          <w:szCs w:val="22"/>
        </w:rPr>
        <w:t>300 kilómetros de las líneas del frente.</w:t>
      </w:r>
    </w:p>
    <w:p w14:paraId="585CBC96" w14:textId="77777777" w:rsidR="00F82E58" w:rsidRPr="00113186" w:rsidRDefault="00F82E58" w:rsidP="00F82E58">
      <w:pPr>
        <w:ind w:left="284"/>
        <w:jc w:val="both"/>
        <w:rPr>
          <w:rFonts w:asciiTheme="minorHAnsi" w:hAnsiTheme="minorHAnsi" w:cstheme="minorHAnsi"/>
          <w:sz w:val="22"/>
          <w:szCs w:val="22"/>
        </w:rPr>
      </w:pPr>
    </w:p>
    <w:p w14:paraId="78BBA187"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Alrededor de un millón de barriles diarios (bpd) de la capacidad de procesamiento de crudo ruso está fuera de servicio desde los ataques ucranianos con drones a las refinerías de este país. Estos ataques han incrementado la prima de riesgo en el precio del petróleo, afectando las exportaciones rusas de fuel oil con alto contenido en azufre, que se procesa en refinerías chinas e indias. Según un análisis de la agencia Reuters, los ataques han paralizado alrededor del 7% de la capacidad de refino rusa en el 1er trimestre 2024.</w:t>
      </w:r>
    </w:p>
    <w:p w14:paraId="5130AC7B" w14:textId="77777777" w:rsidR="00F82E58" w:rsidRPr="00113186" w:rsidRDefault="00F82E58" w:rsidP="00F82E58">
      <w:pPr>
        <w:pStyle w:val="Prrafodelista"/>
        <w:ind w:left="284"/>
        <w:jc w:val="both"/>
        <w:rPr>
          <w:rFonts w:asciiTheme="minorHAnsi" w:hAnsiTheme="minorHAnsi" w:cstheme="minorHAnsi"/>
          <w:sz w:val="22"/>
          <w:szCs w:val="22"/>
        </w:rPr>
      </w:pPr>
    </w:p>
    <w:p w14:paraId="5355CF03" w14:textId="77777777" w:rsidR="00F82E58" w:rsidRPr="00F82E58" w:rsidRDefault="00F82E58" w:rsidP="00F82E58">
      <w:pPr>
        <w:pStyle w:val="Prrafodelista"/>
        <w:numPr>
          <w:ilvl w:val="0"/>
          <w:numId w:val="13"/>
        </w:numPr>
        <w:ind w:left="426"/>
        <w:contextualSpacing/>
        <w:jc w:val="both"/>
        <w:rPr>
          <w:rFonts w:asciiTheme="minorHAnsi" w:hAnsiTheme="minorHAnsi" w:cstheme="minorHAnsi"/>
          <w:b/>
          <w:sz w:val="22"/>
          <w:szCs w:val="22"/>
        </w:rPr>
      </w:pPr>
      <w:r w:rsidRPr="00F82E58">
        <w:rPr>
          <w:rFonts w:asciiTheme="minorHAnsi" w:hAnsiTheme="minorHAnsi" w:cstheme="minorHAnsi"/>
          <w:b/>
          <w:sz w:val="22"/>
          <w:szCs w:val="22"/>
        </w:rPr>
        <w:t>El cumplimiento de los recortes voluntarios de producción de petróleo de parte de los productores de la OPEP</w:t>
      </w:r>
    </w:p>
    <w:p w14:paraId="1DF38840" w14:textId="77777777" w:rsidR="00F82E58" w:rsidRPr="00113186" w:rsidRDefault="00F82E58" w:rsidP="00F82E58">
      <w:pPr>
        <w:ind w:left="284"/>
        <w:jc w:val="both"/>
        <w:rPr>
          <w:rFonts w:asciiTheme="minorHAnsi" w:hAnsiTheme="minorHAnsi" w:cstheme="minorHAnsi"/>
          <w:sz w:val="22"/>
          <w:szCs w:val="22"/>
        </w:rPr>
      </w:pPr>
    </w:p>
    <w:p w14:paraId="22BEB0C8" w14:textId="3DCB14C4"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En marzo 2024, la producción de la OPEP cayó en 50</w:t>
      </w:r>
      <w:r>
        <w:rPr>
          <w:rFonts w:asciiTheme="minorHAnsi" w:hAnsiTheme="minorHAnsi" w:cstheme="minorHAnsi"/>
          <w:sz w:val="22"/>
          <w:szCs w:val="22"/>
        </w:rPr>
        <w:t xml:space="preserve"> mil</w:t>
      </w:r>
      <w:r w:rsidRPr="00113186">
        <w:rPr>
          <w:rFonts w:asciiTheme="minorHAnsi" w:hAnsiTheme="minorHAnsi" w:cstheme="minorHAnsi"/>
          <w:sz w:val="22"/>
          <w:szCs w:val="22"/>
        </w:rPr>
        <w:t xml:space="preserve"> bpd, lo que indica que los recortes voluntarios están aplicándose y se está logrando el efecto esperado. </w:t>
      </w:r>
    </w:p>
    <w:p w14:paraId="08909E9C" w14:textId="77777777" w:rsidR="00F82E58" w:rsidRPr="00113186" w:rsidRDefault="00F82E58" w:rsidP="00F82E58">
      <w:pPr>
        <w:pStyle w:val="Prrafodelista"/>
        <w:ind w:left="426"/>
        <w:jc w:val="both"/>
        <w:rPr>
          <w:rFonts w:asciiTheme="minorHAnsi" w:hAnsiTheme="minorHAnsi" w:cstheme="minorHAnsi"/>
          <w:sz w:val="22"/>
          <w:szCs w:val="22"/>
        </w:rPr>
      </w:pPr>
    </w:p>
    <w:p w14:paraId="2F2171C2"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Asimismo, los miembros de la OPEP, en su reunión del 3 de abril, acordaron mantener los actuales recortes voluntarios de 2,2 millones de barriles por día (bpd) hasta fines del segundo trimestre 2024. La OPEP señaló que algunos miembros compensarán el exceso de oferta en el primer trimestre 2024.</w:t>
      </w:r>
    </w:p>
    <w:p w14:paraId="3115E3F6"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br/>
        <w:t xml:space="preserve">A comienzos de marzo, la OPEP prorrogó sus recortes voluntarios de producción de petróleo de 2,2 millones de barriles por día (bpd) hasta el segundo trimestre del 2024. Desde finales de 2022, la OPEP ha aplicado una serie de recortes de la producción para sostener el mercado en un contexto de aumento de la producción de Estados Unidos y de otros productores no </w:t>
      </w:r>
      <w:r w:rsidRPr="00113186">
        <w:rPr>
          <w:rFonts w:asciiTheme="minorHAnsi" w:hAnsiTheme="minorHAnsi" w:cstheme="minorHAnsi"/>
          <w:sz w:val="22"/>
          <w:szCs w:val="22"/>
        </w:rPr>
        <w:lastRenderedPageBreak/>
        <w:t>miembros y de preocupación por la demanda, debido a que las principales economías se enfrentan a altas tasas de interés.</w:t>
      </w:r>
    </w:p>
    <w:p w14:paraId="2FD72EF5" w14:textId="20D98875"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br/>
        <w:t>Por otro lado, Rusia recortará su producción y sus exportaciones petroleras en 471</w:t>
      </w:r>
      <w:r>
        <w:rPr>
          <w:rFonts w:asciiTheme="minorHAnsi" w:hAnsiTheme="minorHAnsi" w:cstheme="minorHAnsi"/>
          <w:sz w:val="22"/>
          <w:szCs w:val="22"/>
        </w:rPr>
        <w:t xml:space="preserve"> mil</w:t>
      </w:r>
      <w:r w:rsidRPr="00113186">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Pr>
          <w:rFonts w:asciiTheme="minorHAnsi" w:hAnsiTheme="minorHAnsi" w:cstheme="minorHAnsi"/>
          <w:sz w:val="22"/>
          <w:szCs w:val="22"/>
        </w:rPr>
        <w:t xml:space="preserve"> mil</w:t>
      </w:r>
      <w:r w:rsidRPr="00113186">
        <w:rPr>
          <w:rFonts w:asciiTheme="minorHAnsi" w:hAnsiTheme="minorHAnsi" w:cstheme="minorHAnsi"/>
          <w:sz w:val="22"/>
          <w:szCs w:val="22"/>
        </w:rPr>
        <w:t xml:space="preserve"> bpd en el funcionamiento de las refinerías del país, derivado en gran medida de los ataques de drones ucranianos contra activos de refino en Rusia.</w:t>
      </w:r>
    </w:p>
    <w:p w14:paraId="6D3137A1" w14:textId="77777777" w:rsidR="00F82E58" w:rsidRPr="00113186" w:rsidRDefault="00F82E58" w:rsidP="00F82E58">
      <w:pPr>
        <w:pStyle w:val="Prrafodelista"/>
        <w:ind w:left="426"/>
        <w:jc w:val="both"/>
        <w:rPr>
          <w:rFonts w:asciiTheme="minorHAnsi" w:hAnsiTheme="minorHAnsi" w:cstheme="minorHAnsi"/>
          <w:sz w:val="22"/>
          <w:szCs w:val="22"/>
        </w:rPr>
      </w:pPr>
    </w:p>
    <w:p w14:paraId="14301866" w14:textId="77777777" w:rsidR="00F82E58" w:rsidRPr="00113186" w:rsidRDefault="00F82E58" w:rsidP="00F82E58">
      <w:pPr>
        <w:pStyle w:val="Prrafodelista"/>
        <w:ind w:left="426"/>
        <w:jc w:val="both"/>
        <w:rPr>
          <w:rFonts w:asciiTheme="minorHAnsi" w:hAnsiTheme="minorHAnsi" w:cstheme="minorHAnsi"/>
          <w:sz w:val="22"/>
          <w:szCs w:val="22"/>
        </w:rPr>
      </w:pPr>
      <w:r w:rsidRPr="00113186">
        <w:rPr>
          <w:rFonts w:asciiTheme="minorHAnsi" w:hAnsiTheme="minorHAnsi" w:cstheme="minorHAnsi"/>
          <w:sz w:val="22"/>
          <w:szCs w:val="22"/>
        </w:rPr>
        <w:t xml:space="preserve">Según los datos facilitados por las fuentes de Reuters, la producción rusa de petróleo en abril 2024, mayo 2024 y junio 2024 caerá en torno al -3,6%, -4,1% y -4,9%.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t xml:space="preserve"> </w:t>
      </w:r>
    </w:p>
    <w:p w14:paraId="3F5A431E" w14:textId="77777777" w:rsidR="00500CF0" w:rsidRDefault="00500CF0" w:rsidP="00B12C4D">
      <w:pPr>
        <w:ind w:left="426"/>
        <w:jc w:val="both"/>
        <w:rPr>
          <w:rFonts w:asciiTheme="minorHAnsi" w:hAnsiTheme="minorHAnsi" w:cstheme="minorHAnsi"/>
          <w:b/>
          <w:i/>
          <w:sz w:val="20"/>
          <w:szCs w:val="20"/>
        </w:rPr>
      </w:pP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3CD1B956">
            <wp:extent cx="5379109" cy="3079630"/>
            <wp:effectExtent l="0" t="0" r="0" b="6985"/>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0407" cy="3086098"/>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7777777" w:rsidR="00500CF0" w:rsidRDefault="00500CF0"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33D6E7C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01 de marzo de 2024 hasta el 25 de abril de 2024</w:t>
      </w:r>
      <w:r w:rsidR="00180815">
        <w:rPr>
          <w:rFonts w:asciiTheme="minorHAnsi" w:hAnsiTheme="minorHAnsi" w:cstheme="minorHAnsi"/>
          <w:sz w:val="22"/>
          <w:szCs w:val="22"/>
        </w:rPr>
        <w:t>.</w:t>
      </w:r>
    </w:p>
    <w:p w14:paraId="00BA8F0F" w14:textId="77777777" w:rsidR="00180815" w:rsidRDefault="00180815" w:rsidP="00180815">
      <w:pPr>
        <w:pStyle w:val="Prrafodelista"/>
        <w:rPr>
          <w:rFonts w:asciiTheme="minorHAnsi" w:hAnsiTheme="minorHAnsi" w:cstheme="minorHAnsi"/>
          <w:sz w:val="22"/>
          <w:szCs w:val="22"/>
        </w:rPr>
      </w:pPr>
    </w:p>
    <w:p w14:paraId="26130009" w14:textId="41B4CE49"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Pr>
          <w:rFonts w:asciiTheme="minorHAnsi" w:hAnsiTheme="minorHAnsi" w:cstheme="minorHAnsi"/>
          <w:sz w:val="22"/>
          <w:szCs w:val="22"/>
        </w:rPr>
        <w:t>18</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marzo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25 de abril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57CD32E4"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180815">
        <w:rPr>
          <w:rFonts w:asciiTheme="minorHAnsi" w:hAnsiTheme="minorHAnsi" w:cstheme="minorHAnsi"/>
          <w:sz w:val="22"/>
          <w:szCs w:val="22"/>
        </w:rPr>
        <w:t>18-2024-OS/GRT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9A567C">
        <w:rPr>
          <w:rFonts w:asciiTheme="minorHAnsi" w:hAnsiTheme="minorHAnsi" w:cstheme="minorHAnsi"/>
          <w:sz w:val="22"/>
          <w:szCs w:val="22"/>
        </w:rPr>
        <w:t>16</w:t>
      </w:r>
      <w:r>
        <w:rPr>
          <w:rFonts w:asciiTheme="minorHAnsi" w:hAnsiTheme="minorHAnsi" w:cstheme="minorHAnsi"/>
          <w:sz w:val="22"/>
          <w:szCs w:val="22"/>
        </w:rPr>
        <w:t xml:space="preserve"> de </w:t>
      </w:r>
      <w:r w:rsidR="00A75228">
        <w:rPr>
          <w:rFonts w:asciiTheme="minorHAnsi" w:hAnsiTheme="minorHAnsi" w:cstheme="minorHAnsi"/>
          <w:sz w:val="22"/>
          <w:szCs w:val="22"/>
        </w:rPr>
        <w:t>abril</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9A567C">
        <w:rPr>
          <w:rFonts w:asciiTheme="minorHAnsi" w:hAnsiTheme="minorHAnsi" w:cstheme="minorHAnsi"/>
          <w:sz w:val="22"/>
          <w:szCs w:val="22"/>
        </w:rPr>
        <w:t>22</w:t>
      </w:r>
      <w:r w:rsidRPr="00294829">
        <w:rPr>
          <w:rFonts w:asciiTheme="minorHAnsi" w:hAnsiTheme="minorHAnsi" w:cstheme="minorHAnsi"/>
          <w:sz w:val="22"/>
          <w:szCs w:val="22"/>
        </w:rPr>
        <w:t xml:space="preserve"> de </w:t>
      </w:r>
      <w:r w:rsidR="00A75228">
        <w:rPr>
          <w:rFonts w:asciiTheme="minorHAnsi" w:hAnsiTheme="minorHAnsi" w:cstheme="minorHAnsi"/>
          <w:sz w:val="22"/>
          <w:szCs w:val="22"/>
        </w:rPr>
        <w:t>abril</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6ECFD3EE"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9A567C">
        <w:rPr>
          <w:rFonts w:asciiTheme="minorHAnsi" w:hAnsiTheme="minorHAnsi" w:cstheme="minorHAnsi"/>
          <w:sz w:val="22"/>
          <w:szCs w:val="22"/>
        </w:rPr>
        <w:t>1</w:t>
      </w:r>
      <w:r w:rsidR="00F82E58">
        <w:rPr>
          <w:rFonts w:asciiTheme="minorHAnsi" w:hAnsiTheme="minorHAnsi" w:cstheme="minorHAnsi"/>
          <w:sz w:val="22"/>
          <w:szCs w:val="22"/>
        </w:rPr>
        <w:t>9</w:t>
      </w:r>
      <w:r w:rsidR="00C7098F" w:rsidRPr="00A75228">
        <w:rPr>
          <w:rFonts w:asciiTheme="minorHAnsi" w:hAnsiTheme="minorHAnsi" w:cstheme="minorHAnsi"/>
          <w:sz w:val="22"/>
          <w:szCs w:val="22"/>
        </w:rPr>
        <w:t>.0</w:t>
      </w:r>
      <w:r w:rsidR="001D5BE5">
        <w:rPr>
          <w:rFonts w:asciiTheme="minorHAnsi" w:hAnsiTheme="minorHAnsi" w:cstheme="minorHAnsi"/>
          <w:sz w:val="22"/>
          <w:szCs w:val="22"/>
        </w:rPr>
        <w:t>4</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F82E58">
        <w:rPr>
          <w:rFonts w:asciiTheme="minorHAnsi" w:hAnsiTheme="minorHAnsi" w:cstheme="minorHAnsi"/>
          <w:sz w:val="22"/>
          <w:szCs w:val="22"/>
        </w:rPr>
        <w:t>5</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F82E5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9A567C">
        <w:rPr>
          <w:rFonts w:asciiTheme="minorHAnsi" w:hAnsiTheme="minorHAnsi" w:cstheme="minorHAnsi"/>
          <w:sz w:val="22"/>
          <w:szCs w:val="22"/>
        </w:rPr>
        <w:t>1</w:t>
      </w:r>
      <w:r w:rsidR="00A057BA" w:rsidRPr="00A75228">
        <w:rPr>
          <w:rFonts w:asciiTheme="minorHAnsi" w:hAnsiTheme="minorHAnsi" w:cstheme="minorHAnsi"/>
          <w:sz w:val="22"/>
          <w:szCs w:val="22"/>
        </w:rPr>
        <w:t xml:space="preserve"> S/Gln), Gasohol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F82E58">
        <w:rPr>
          <w:rFonts w:asciiTheme="minorHAnsi" w:hAnsiTheme="minorHAnsi" w:cstheme="minorHAnsi"/>
          <w:sz w:val="22"/>
          <w:szCs w:val="22"/>
        </w:rPr>
        <w:t>6</w:t>
      </w:r>
      <w:r w:rsidR="00A057BA" w:rsidRPr="00A75228">
        <w:rPr>
          <w:rFonts w:asciiTheme="minorHAnsi" w:hAnsiTheme="minorHAnsi" w:cstheme="minorHAnsi"/>
          <w:sz w:val="22"/>
          <w:szCs w:val="22"/>
        </w:rPr>
        <w:t xml:space="preserve"> S/Gln), Gasohol Regular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F82E58">
        <w:rPr>
          <w:rFonts w:asciiTheme="minorHAnsi" w:hAnsiTheme="minorHAnsi" w:cstheme="minorHAnsi"/>
          <w:sz w:val="22"/>
          <w:szCs w:val="22"/>
        </w:rPr>
        <w:t>2</w:t>
      </w:r>
      <w:r w:rsidR="00A057BA" w:rsidRPr="00A75228">
        <w:rPr>
          <w:rFonts w:asciiTheme="minorHAnsi" w:hAnsiTheme="minorHAnsi" w:cstheme="minorHAnsi"/>
          <w:sz w:val="22"/>
          <w:szCs w:val="22"/>
        </w:rPr>
        <w:t xml:space="preserve"> S/Gln),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A75228" w:rsidRPr="00A75228">
        <w:rPr>
          <w:rFonts w:asciiTheme="minorHAnsi" w:hAnsiTheme="minorHAnsi" w:cstheme="minorHAnsi"/>
          <w:sz w:val="22"/>
          <w:szCs w:val="22"/>
        </w:rPr>
        <w:t>+</w:t>
      </w:r>
      <w:r w:rsidR="00557C48" w:rsidRPr="00A75228">
        <w:rPr>
          <w:rFonts w:asciiTheme="minorHAnsi" w:hAnsiTheme="minorHAnsi" w:cstheme="minorHAnsi"/>
          <w:sz w:val="22"/>
          <w:szCs w:val="22"/>
        </w:rPr>
        <w:t>0,</w:t>
      </w:r>
      <w:r w:rsidR="00F82E58">
        <w:rPr>
          <w:rFonts w:asciiTheme="minorHAnsi" w:hAnsiTheme="minorHAnsi" w:cstheme="minorHAnsi"/>
          <w:sz w:val="22"/>
          <w:szCs w:val="22"/>
        </w:rPr>
        <w:t>11</w:t>
      </w:r>
      <w:r w:rsidR="00557C48" w:rsidRPr="00A75228">
        <w:rPr>
          <w:rFonts w:asciiTheme="minorHAnsi" w:hAnsiTheme="minorHAnsi" w:cstheme="minorHAnsi"/>
          <w:sz w:val="22"/>
          <w:szCs w:val="22"/>
        </w:rPr>
        <w:t xml:space="preserve"> S/Gln), </w:t>
      </w:r>
      <w:r w:rsidR="004573EA" w:rsidRPr="00A75228">
        <w:rPr>
          <w:rFonts w:asciiTheme="minorHAnsi" w:hAnsiTheme="minorHAnsi" w:cstheme="minorHAnsi"/>
          <w:sz w:val="22"/>
          <w:szCs w:val="22"/>
        </w:rPr>
        <w:t>Residual 6</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F82E58">
        <w:rPr>
          <w:rFonts w:asciiTheme="minorHAnsi" w:hAnsiTheme="minorHAnsi" w:cstheme="minorHAnsi"/>
          <w:sz w:val="22"/>
          <w:szCs w:val="22"/>
        </w:rPr>
        <w:t>04</w:t>
      </w:r>
      <w:r w:rsidRPr="00A75228">
        <w:rPr>
          <w:rFonts w:asciiTheme="minorHAnsi" w:hAnsiTheme="minorHAnsi" w:cstheme="minorHAnsi"/>
          <w:sz w:val="22"/>
          <w:szCs w:val="22"/>
        </w:rPr>
        <w:t xml:space="preserve"> S/Gln)</w:t>
      </w:r>
      <w:r w:rsidR="00C7098F" w:rsidRPr="00A75228">
        <w:rPr>
          <w:rFonts w:asciiTheme="minorHAnsi" w:hAnsiTheme="minorHAnsi" w:cstheme="minorHAnsi"/>
          <w:sz w:val="22"/>
          <w:szCs w:val="22"/>
        </w:rPr>
        <w:t xml:space="preserve"> y del</w:t>
      </w:r>
      <w:r w:rsidRPr="00A75228">
        <w:rPr>
          <w:rFonts w:asciiTheme="minorHAnsi" w:hAnsiTheme="minorHAnsi" w:cstheme="minorHAnsi"/>
          <w:sz w:val="22"/>
          <w:szCs w:val="22"/>
        </w:rPr>
        <w:t xml:space="preserve"> </w:t>
      </w:r>
      <w:r w:rsidR="004573EA" w:rsidRPr="00A75228">
        <w:rPr>
          <w:rFonts w:asciiTheme="minorHAnsi" w:hAnsiTheme="minorHAnsi" w:cstheme="minorHAnsi"/>
          <w:sz w:val="22"/>
          <w:szCs w:val="22"/>
        </w:rPr>
        <w:t>Residual 500</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F82E58">
        <w:rPr>
          <w:rFonts w:asciiTheme="minorHAnsi" w:hAnsiTheme="minorHAnsi" w:cstheme="minorHAnsi"/>
          <w:sz w:val="22"/>
          <w:szCs w:val="22"/>
        </w:rPr>
        <w:t>03</w:t>
      </w:r>
      <w:r w:rsidRPr="00A75228">
        <w:rPr>
          <w:rFonts w:asciiTheme="minorHAnsi" w:hAnsiTheme="minorHAnsi" w:cstheme="minorHAnsi"/>
          <w:sz w:val="22"/>
          <w:szCs w:val="22"/>
        </w:rPr>
        <w:t xml:space="preserve"> S/Gln).</w:t>
      </w:r>
      <w:r w:rsidR="00557C48" w:rsidRPr="00A75228">
        <w:rPr>
          <w:rFonts w:asciiTheme="minorHAnsi" w:hAnsiTheme="minorHAnsi" w:cstheme="minorHAnsi"/>
          <w:sz w:val="22"/>
          <w:szCs w:val="22"/>
        </w:rPr>
        <w:t xml:space="preserve"> </w:t>
      </w:r>
    </w:p>
    <w:p w14:paraId="14B5BB4B" w14:textId="77777777" w:rsidR="00500CF0" w:rsidRDefault="00500CF0"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81B891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82E58">
        <w:rPr>
          <w:rFonts w:asciiTheme="minorHAnsi" w:hAnsiTheme="minorHAnsi" w:cstheme="minorHAnsi"/>
          <w:sz w:val="22"/>
          <w:szCs w:val="22"/>
        </w:rPr>
        <w:t>08</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82E58">
        <w:rPr>
          <w:rFonts w:asciiTheme="minorHAnsi" w:hAnsiTheme="minorHAnsi" w:cstheme="minorHAnsi"/>
          <w:sz w:val="22"/>
          <w:szCs w:val="22"/>
        </w:rPr>
        <w:t>4</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A567C">
        <w:rPr>
          <w:rFonts w:asciiTheme="minorHAnsi" w:hAnsiTheme="minorHAnsi" w:cstheme="minorHAnsi"/>
          <w:sz w:val="22"/>
          <w:szCs w:val="22"/>
        </w:rPr>
        <w:t>1</w:t>
      </w:r>
      <w:r w:rsidR="00F82E58">
        <w:rPr>
          <w:rFonts w:asciiTheme="minorHAnsi" w:hAnsiTheme="minorHAnsi" w:cstheme="minorHAnsi"/>
          <w:sz w:val="22"/>
          <w:szCs w:val="22"/>
        </w:rPr>
        <w:t>9</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1D5BE5">
        <w:rPr>
          <w:rFonts w:asciiTheme="minorHAnsi" w:hAnsiTheme="minorHAnsi" w:cstheme="minorHAnsi"/>
          <w:sz w:val="22"/>
          <w:szCs w:val="22"/>
        </w:rPr>
        <w:t>4</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51B3A47C"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82E58">
        <w:rPr>
          <w:rFonts w:ascii="Calibri" w:hAnsi="Calibri" w:cs="Arial"/>
          <w:b/>
          <w:bCs/>
          <w:i/>
          <w:sz w:val="22"/>
          <w:szCs w:val="22"/>
          <w:lang w:eastAsia="es-PE"/>
        </w:rPr>
        <w:t>22</w:t>
      </w:r>
      <w:r>
        <w:rPr>
          <w:rFonts w:ascii="Calibri" w:hAnsi="Calibri" w:cs="Arial"/>
          <w:b/>
          <w:bCs/>
          <w:i/>
          <w:sz w:val="22"/>
          <w:szCs w:val="22"/>
          <w:lang w:eastAsia="es-PE"/>
        </w:rPr>
        <w:t>-</w:t>
      </w:r>
      <w:r w:rsidR="00FF75D8">
        <w:rPr>
          <w:rFonts w:ascii="Calibri" w:hAnsi="Calibri" w:cs="Arial"/>
          <w:b/>
          <w:bCs/>
          <w:i/>
          <w:sz w:val="22"/>
          <w:szCs w:val="22"/>
          <w:lang w:eastAsia="es-PE"/>
        </w:rPr>
        <w:t>0</w:t>
      </w:r>
      <w:r w:rsidR="00A75228">
        <w:rPr>
          <w:rFonts w:ascii="Calibri" w:hAnsi="Calibri" w:cs="Arial"/>
          <w:b/>
          <w:bCs/>
          <w:i/>
          <w:sz w:val="22"/>
          <w:szCs w:val="22"/>
          <w:lang w:eastAsia="es-PE"/>
        </w:rPr>
        <w:t>4</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2D265C74" w:rsidR="00A75228" w:rsidRPr="00CC2A8A" w:rsidRDefault="00F82E58" w:rsidP="00336251">
      <w:pPr>
        <w:pBdr>
          <w:top w:val="single" w:sz="4" w:space="1" w:color="auto"/>
          <w:bottom w:val="single" w:sz="4" w:space="1" w:color="auto"/>
        </w:pBdr>
        <w:jc w:val="center"/>
        <w:rPr>
          <w:rFonts w:ascii="Calibri" w:hAnsi="Calibri" w:cs="Arial"/>
          <w:bCs/>
          <w:sz w:val="32"/>
          <w:szCs w:val="32"/>
        </w:rPr>
      </w:pPr>
      <w:r w:rsidRPr="00590B94">
        <w:rPr>
          <w:noProof/>
        </w:rPr>
        <w:drawing>
          <wp:inline distT="0" distB="0" distL="0" distR="0" wp14:anchorId="33B59CD1" wp14:editId="775F88BD">
            <wp:extent cx="5490845" cy="2916555"/>
            <wp:effectExtent l="0" t="0" r="0" b="0"/>
            <wp:docPr id="1173185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18522" name=""/>
                    <pic:cNvPicPr/>
                  </pic:nvPicPr>
                  <pic:blipFill>
                    <a:blip r:embed="rId14"/>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633DAC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368AF">
        <w:rPr>
          <w:rFonts w:asciiTheme="minorHAnsi" w:hAnsiTheme="minorHAnsi" w:cstheme="minorHAnsi"/>
          <w:sz w:val="22"/>
          <w:szCs w:val="22"/>
        </w:rPr>
        <w:t>1</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9A567C">
        <w:rPr>
          <w:rFonts w:asciiTheme="minorHAnsi" w:hAnsiTheme="minorHAnsi" w:cstheme="minorHAnsi"/>
          <w:sz w:val="22"/>
          <w:szCs w:val="22"/>
        </w:rPr>
        <w:t>6% y 85%</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718CDED"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368AF">
        <w:rPr>
          <w:rFonts w:asciiTheme="minorHAnsi" w:hAnsiTheme="minorHAnsi" w:cstheme="minorHAnsi"/>
          <w:sz w:val="22"/>
          <w:szCs w:val="22"/>
        </w:rPr>
        <w:t>22</w:t>
      </w:r>
      <w:r>
        <w:rPr>
          <w:rFonts w:asciiTheme="minorHAnsi" w:hAnsiTheme="minorHAnsi" w:cstheme="minorHAnsi"/>
          <w:sz w:val="22"/>
          <w:szCs w:val="22"/>
        </w:rPr>
        <w:t xml:space="preserve"> de </w:t>
      </w:r>
      <w:r w:rsidR="00557C48">
        <w:rPr>
          <w:rFonts w:asciiTheme="minorHAnsi" w:hAnsiTheme="minorHAnsi" w:cstheme="minorHAnsi"/>
          <w:sz w:val="22"/>
          <w:szCs w:val="22"/>
        </w:rPr>
        <w:t>a</w:t>
      </w:r>
      <w:r w:rsidR="0080666F">
        <w:rPr>
          <w:rFonts w:asciiTheme="minorHAnsi" w:hAnsiTheme="minorHAnsi" w:cstheme="minorHAnsi"/>
          <w:sz w:val="22"/>
          <w:szCs w:val="22"/>
        </w:rPr>
        <w:t>bril</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lastRenderedPageBreak/>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FFCF22B"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A567C">
        <w:rPr>
          <w:rFonts w:asciiTheme="minorHAnsi" w:hAnsiTheme="minorHAnsi" w:cstheme="minorHAnsi"/>
          <w:sz w:val="22"/>
          <w:szCs w:val="22"/>
        </w:rPr>
        <w:t>7</w:t>
      </w:r>
      <w:r w:rsidR="00A75228">
        <w:rPr>
          <w:rFonts w:asciiTheme="minorHAnsi" w:hAnsiTheme="minorHAnsi" w:cstheme="minorHAnsi"/>
          <w:sz w:val="22"/>
          <w:szCs w:val="22"/>
        </w:rPr>
        <w:t>,</w:t>
      </w:r>
      <w:r w:rsidR="009A567C">
        <w:rPr>
          <w:rFonts w:asciiTheme="minorHAnsi" w:hAnsiTheme="minorHAnsi" w:cstheme="minorHAnsi"/>
          <w:sz w:val="22"/>
          <w:szCs w:val="22"/>
        </w:rPr>
        <w:t>10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5AF85002"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A567C">
        <w:rPr>
          <w:rFonts w:asciiTheme="minorHAnsi" w:hAnsiTheme="minorHAnsi" w:cstheme="minorHAnsi"/>
          <w:sz w:val="22"/>
          <w:szCs w:val="22"/>
          <w:lang w:val="en-US"/>
        </w:rPr>
        <w:t>7</w:t>
      </w:r>
      <w:r w:rsidR="00A75228">
        <w:rPr>
          <w:rFonts w:asciiTheme="minorHAnsi" w:hAnsiTheme="minorHAnsi" w:cstheme="minorHAnsi"/>
          <w:sz w:val="22"/>
          <w:szCs w:val="22"/>
          <w:lang w:val="en-US"/>
        </w:rPr>
        <w:t>,</w:t>
      </w:r>
      <w:r w:rsidR="009368AF">
        <w:rPr>
          <w:rFonts w:asciiTheme="minorHAnsi" w:hAnsiTheme="minorHAnsi" w:cstheme="minorHAnsi"/>
          <w:sz w:val="22"/>
          <w:szCs w:val="22"/>
          <w:lang w:val="en-US"/>
        </w:rPr>
        <w:t>88</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A567C">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9368AF">
        <w:rPr>
          <w:rFonts w:asciiTheme="minorHAnsi" w:hAnsiTheme="minorHAnsi" w:cstheme="minorHAnsi"/>
          <w:sz w:val="22"/>
          <w:szCs w:val="22"/>
          <w:lang w:val="en-US"/>
        </w:rPr>
        <w:t>63</w:t>
      </w:r>
      <w:r w:rsidRPr="009F7EDF">
        <w:rPr>
          <w:rFonts w:asciiTheme="minorHAnsi" w:hAnsiTheme="minorHAnsi" w:cstheme="minorHAnsi"/>
          <w:sz w:val="22"/>
          <w:szCs w:val="22"/>
          <w:lang w:val="en-US"/>
        </w:rPr>
        <w:t xml:space="preserve"> cent$/Galón</w:t>
      </w:r>
    </w:p>
    <w:p w14:paraId="639B9F61" w14:textId="552F0C58"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9A567C">
        <w:rPr>
          <w:rFonts w:asciiTheme="minorHAnsi" w:hAnsiTheme="minorHAnsi" w:cstheme="minorHAnsi"/>
          <w:sz w:val="22"/>
          <w:szCs w:val="22"/>
          <w:lang w:val="en-US"/>
        </w:rPr>
        <w:t>3</w:t>
      </w:r>
      <w:r w:rsidR="009368AF">
        <w:rPr>
          <w:rFonts w:asciiTheme="minorHAnsi" w:hAnsiTheme="minorHAnsi" w:cstheme="minorHAnsi"/>
          <w:sz w:val="22"/>
          <w:szCs w:val="22"/>
          <w:lang w:val="en-US"/>
        </w:rPr>
        <w:t>7</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6C693F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9368AF">
        <w:rPr>
          <w:rFonts w:asciiTheme="minorHAnsi" w:hAnsiTheme="minorHAnsi" w:cstheme="minorHAnsi"/>
          <w:sz w:val="22"/>
          <w:szCs w:val="22"/>
        </w:rPr>
        <w:t>25</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2D47CF3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9368AF">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C04DD3">
        <w:rPr>
          <w:rFonts w:asciiTheme="minorHAnsi" w:hAnsiTheme="minorHAnsi" w:cstheme="minorHAnsi"/>
          <w:sz w:val="22"/>
          <w:szCs w:val="22"/>
        </w:rPr>
        <w:t>7</w:t>
      </w:r>
      <w:r w:rsidR="009368AF">
        <w:rPr>
          <w:rFonts w:asciiTheme="minorHAnsi" w:hAnsiTheme="minorHAnsi" w:cstheme="minorHAnsi"/>
          <w:sz w:val="22"/>
          <w:szCs w:val="22"/>
        </w:rPr>
        <w:t>8</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1C2EB7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A567C">
        <w:rPr>
          <w:rFonts w:asciiTheme="minorHAnsi" w:hAnsiTheme="minorHAnsi" w:cstheme="minorHAnsi"/>
          <w:sz w:val="22"/>
          <w:szCs w:val="22"/>
        </w:rPr>
        <w:t>2</w:t>
      </w:r>
      <w:r>
        <w:rPr>
          <w:rFonts w:asciiTheme="minorHAnsi" w:hAnsiTheme="minorHAnsi" w:cstheme="minorHAnsi"/>
          <w:sz w:val="22"/>
          <w:szCs w:val="22"/>
        </w:rPr>
        <w:t>,</w:t>
      </w:r>
      <w:r w:rsidR="009368AF">
        <w:rPr>
          <w:rFonts w:asciiTheme="minorHAnsi" w:hAnsiTheme="minorHAnsi" w:cstheme="minorHAnsi"/>
          <w:sz w:val="22"/>
          <w:szCs w:val="22"/>
        </w:rPr>
        <w:t>22</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9A567C">
        <w:rPr>
          <w:rFonts w:asciiTheme="minorHAnsi" w:hAnsiTheme="minorHAnsi" w:cstheme="minorHAnsi"/>
          <w:sz w:val="22"/>
          <w:szCs w:val="22"/>
        </w:rPr>
        <w:t>1</w:t>
      </w:r>
      <w:r w:rsidR="00A75228">
        <w:rPr>
          <w:rFonts w:asciiTheme="minorHAnsi" w:hAnsiTheme="minorHAnsi" w:cstheme="minorHAnsi"/>
          <w:sz w:val="22"/>
          <w:szCs w:val="22"/>
        </w:rPr>
        <w:t>,</w:t>
      </w:r>
      <w:r w:rsidR="009368AF">
        <w:rPr>
          <w:rFonts w:asciiTheme="minorHAnsi" w:hAnsiTheme="minorHAnsi" w:cstheme="minorHAnsi"/>
          <w:sz w:val="22"/>
          <w:szCs w:val="22"/>
        </w:rPr>
        <w:t>97</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D55C30A"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9368AF">
        <w:rPr>
          <w:rFonts w:asciiTheme="minorHAnsi" w:hAnsiTheme="minorHAnsi" w:cstheme="minorHAnsi"/>
          <w:sz w:val="22"/>
          <w:szCs w:val="22"/>
        </w:rPr>
        <w:t>25</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2BA4BD35"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9368AF">
        <w:rPr>
          <w:rFonts w:asciiTheme="minorHAnsi" w:hAnsiTheme="minorHAnsi" w:cstheme="minorHAnsi"/>
          <w:sz w:val="22"/>
          <w:szCs w:val="22"/>
        </w:rPr>
        <w:t>48</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76F9CC2"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DC3673">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34</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29</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04382553" w:rsidR="007744B2" w:rsidRDefault="00F45E23" w:rsidP="004F74EE">
      <w:pPr>
        <w:pBdr>
          <w:top w:val="single" w:sz="4" w:space="1" w:color="auto"/>
          <w:bottom w:val="single" w:sz="4" w:space="1" w:color="auto"/>
        </w:pBdr>
        <w:jc w:val="center"/>
        <w:rPr>
          <w:rFonts w:ascii="Calibri" w:hAnsi="Calibri" w:cs="Calibri"/>
          <w:sz w:val="22"/>
          <w:szCs w:val="22"/>
          <w:lang w:val="es-PE" w:eastAsia="en-US"/>
        </w:rPr>
      </w:pPr>
      <w:r w:rsidRPr="00F45E23">
        <w:drawing>
          <wp:inline distT="0" distB="0" distL="0" distR="0" wp14:anchorId="2E2FBB29" wp14:editId="5F93B893">
            <wp:extent cx="8173085" cy="3079630"/>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80538" cy="3082438"/>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7327C23C" w:rsidR="0089632A" w:rsidRDefault="00F45E23" w:rsidP="00957F6B">
            <w:pPr>
              <w:ind w:left="-618" w:right="-654"/>
              <w:jc w:val="center"/>
              <w:rPr>
                <w:rFonts w:asciiTheme="minorHAnsi" w:hAnsiTheme="minorHAnsi" w:cstheme="minorHAnsi"/>
              </w:rPr>
            </w:pPr>
            <w:r w:rsidRPr="00F45E23">
              <w:rPr>
                <w:rFonts w:asciiTheme="minorHAnsi" w:hAnsiTheme="minorHAnsi" w:cstheme="minorHAnsi"/>
                <w:noProof/>
              </w:rPr>
              <w:drawing>
                <wp:inline distT="0" distB="0" distL="0" distR="0" wp14:anchorId="364CE86A" wp14:editId="6BB56BE7">
                  <wp:extent cx="3562502" cy="270869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8730" cy="2713431"/>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09290D6" w:rsidR="00EF3BE9" w:rsidRPr="00977837" w:rsidRDefault="00F45E23"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009D1787" wp14:editId="169A7693">
                  <wp:extent cx="5312632" cy="2639683"/>
                  <wp:effectExtent l="0" t="0" r="254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66327" cy="2666362"/>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62FD6338" w:rsidR="007744B2" w:rsidRPr="00737F8F" w:rsidRDefault="00F45E2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45E23">
        <w:drawing>
          <wp:inline distT="0" distB="0" distL="0" distR="0" wp14:anchorId="0BF6073C" wp14:editId="688758B6">
            <wp:extent cx="5658929" cy="208532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8672" cy="2092596"/>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2F9BB4F1" w:rsidR="007F3FCB" w:rsidRDefault="001527CA" w:rsidP="00604758">
      <w:pPr>
        <w:spacing w:line="0" w:lineRule="atLeast"/>
        <w:ind w:right="-567"/>
        <w:jc w:val="both"/>
        <w:rPr>
          <w:noProof/>
        </w:rPr>
      </w:pPr>
      <w:r w:rsidRPr="001527CA">
        <w:drawing>
          <wp:inline distT="0" distB="0" distL="0" distR="0" wp14:anchorId="7BFC1CDA" wp14:editId="37F1219A">
            <wp:extent cx="5850000" cy="240677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9794" cy="2410799"/>
                    </a:xfrm>
                    <a:prstGeom prst="rect">
                      <a:avLst/>
                    </a:prstGeom>
                    <a:noFill/>
                    <a:ln>
                      <a:noFill/>
                    </a:ln>
                  </pic:spPr>
                </pic:pic>
              </a:graphicData>
            </a:graphic>
          </wp:inline>
        </w:drawing>
      </w:r>
    </w:p>
    <w:p w14:paraId="4ED04738" w14:textId="77777777" w:rsidR="00076293" w:rsidRDefault="00076293" w:rsidP="00604758">
      <w:pPr>
        <w:spacing w:line="0" w:lineRule="atLeast"/>
        <w:ind w:right="-567"/>
        <w:jc w:val="both"/>
        <w:rPr>
          <w:noProof/>
        </w:rPr>
      </w:pP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6796DB8D" w:rsidR="00127A54" w:rsidRDefault="001527CA" w:rsidP="006220EA">
      <w:pPr>
        <w:rPr>
          <w:rFonts w:asciiTheme="minorHAnsi" w:hAnsiTheme="minorHAnsi" w:cstheme="minorHAnsi"/>
          <w:i/>
          <w:sz w:val="18"/>
          <w:szCs w:val="18"/>
        </w:rPr>
      </w:pPr>
      <w:r w:rsidRPr="001527CA">
        <w:drawing>
          <wp:inline distT="0" distB="0" distL="0" distR="0" wp14:anchorId="72366105" wp14:editId="784FC7A8">
            <wp:extent cx="5849880" cy="6737230"/>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1930" cy="6739591"/>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58295A3A" w:rsidR="00BF4B4A" w:rsidRPr="00C2751F" w:rsidRDefault="001527CA" w:rsidP="005048C1">
      <w:pPr>
        <w:spacing w:line="0" w:lineRule="atLeast"/>
        <w:ind w:right="-567"/>
        <w:jc w:val="both"/>
        <w:rPr>
          <w:noProof/>
          <w:lang w:val="es-PE" w:eastAsia="es-PE"/>
        </w:rPr>
      </w:pPr>
      <w:r w:rsidRPr="001527CA">
        <w:drawing>
          <wp:inline distT="0" distB="0" distL="0" distR="0" wp14:anchorId="7CA8C960" wp14:editId="49E9C240">
            <wp:extent cx="5850255" cy="6780363"/>
            <wp:effectExtent l="0" t="0" r="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2547" cy="6783019"/>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63F83997" w14:textId="0B3C3156" w:rsidR="00EB199F" w:rsidRDefault="00EB199F" w:rsidP="00EB199F">
      <w:pPr>
        <w:jc w:val="center"/>
        <w:rPr>
          <w:rFonts w:asciiTheme="minorHAnsi" w:hAnsiTheme="minorHAnsi" w:cstheme="minorHAnsi"/>
          <w:sz w:val="22"/>
          <w:szCs w:val="22"/>
        </w:rPr>
      </w:pPr>
      <w:r>
        <w:rPr>
          <w:noProof/>
        </w:rPr>
        <w:drawing>
          <wp:inline distT="0" distB="0" distL="0" distR="0" wp14:anchorId="1B151D95" wp14:editId="391E9CCE">
            <wp:extent cx="5634990" cy="3155471"/>
            <wp:effectExtent l="19050" t="19050" r="22860" b="26035"/>
            <wp:docPr id="1939345157"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9647" cy="3174878"/>
                    </a:xfrm>
                    <a:prstGeom prst="rect">
                      <a:avLst/>
                    </a:prstGeom>
                    <a:noFill/>
                    <a:ln>
                      <a:solidFill>
                        <a:schemeClr val="accent1"/>
                      </a:solidFill>
                    </a:ln>
                  </pic:spPr>
                </pic:pic>
              </a:graphicData>
            </a:graphic>
          </wp:inline>
        </w:drawing>
      </w:r>
    </w:p>
    <w:p w14:paraId="1F3D6751" w14:textId="77777777" w:rsidR="00EB199F" w:rsidRDefault="00EB199F" w:rsidP="00EB199F">
      <w:pPr>
        <w:jc w:val="center"/>
        <w:rPr>
          <w:rFonts w:asciiTheme="minorHAnsi" w:hAnsiTheme="minorHAnsi" w:cstheme="minorHAnsi"/>
          <w:sz w:val="22"/>
          <w:szCs w:val="22"/>
        </w:rPr>
      </w:pPr>
    </w:p>
    <w:p w14:paraId="44C640B4" w14:textId="77777777" w:rsidR="00EB199F" w:rsidRDefault="00EB199F" w:rsidP="00EB199F">
      <w:pPr>
        <w:jc w:val="center"/>
        <w:rPr>
          <w:rFonts w:asciiTheme="minorHAnsi" w:hAnsiTheme="minorHAnsi" w:cstheme="minorHAnsi"/>
          <w:sz w:val="22"/>
          <w:szCs w:val="22"/>
        </w:rPr>
      </w:pPr>
    </w:p>
    <w:p w14:paraId="04AD13FC" w14:textId="77777777" w:rsidR="00EB199F" w:rsidRDefault="00EB199F" w:rsidP="00EB199F">
      <w:pPr>
        <w:jc w:val="center"/>
        <w:rPr>
          <w:rFonts w:asciiTheme="minorHAnsi" w:hAnsiTheme="minorHAnsi" w:cstheme="minorHAnsi"/>
          <w:sz w:val="22"/>
          <w:szCs w:val="22"/>
        </w:rPr>
      </w:pPr>
      <w:r>
        <w:rPr>
          <w:noProof/>
        </w:rPr>
        <w:drawing>
          <wp:inline distT="0" distB="0" distL="0" distR="0" wp14:anchorId="2ACF8ED9" wp14:editId="0C4D4427">
            <wp:extent cx="5586225" cy="3172723"/>
            <wp:effectExtent l="19050" t="19050" r="14605" b="27940"/>
            <wp:docPr id="582000875"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5941" cy="3189600"/>
                    </a:xfrm>
                    <a:prstGeom prst="rect">
                      <a:avLst/>
                    </a:prstGeom>
                    <a:noFill/>
                    <a:ln>
                      <a:solidFill>
                        <a:schemeClr val="accent1"/>
                      </a:solidFill>
                    </a:ln>
                  </pic:spPr>
                </pic:pic>
              </a:graphicData>
            </a:graphic>
          </wp:inline>
        </w:drawing>
      </w:r>
    </w:p>
    <w:p w14:paraId="7EE44ECF" w14:textId="77777777" w:rsidR="00EB199F" w:rsidRDefault="00EB199F" w:rsidP="00EB199F">
      <w:pPr>
        <w:jc w:val="center"/>
        <w:rPr>
          <w:rFonts w:asciiTheme="minorHAnsi" w:hAnsiTheme="minorHAnsi" w:cstheme="minorHAnsi"/>
          <w:b/>
          <w:iCs/>
          <w:u w:val="single"/>
        </w:rPr>
      </w:pPr>
    </w:p>
    <w:p w14:paraId="17B0581C" w14:textId="65A69982" w:rsidR="00EB199F" w:rsidRDefault="00EB199F" w:rsidP="00EB199F">
      <w:pPr>
        <w:jc w:val="center"/>
        <w:rPr>
          <w:rFonts w:asciiTheme="minorHAnsi" w:hAnsiTheme="minorHAnsi" w:cstheme="minorHAnsi"/>
          <w:b/>
          <w:iCs/>
          <w:u w:val="single"/>
        </w:rPr>
      </w:pPr>
      <w:r>
        <w:rPr>
          <w:noProof/>
        </w:rPr>
        <w:lastRenderedPageBreak/>
        <w:drawing>
          <wp:inline distT="0" distB="0" distL="0" distR="0" wp14:anchorId="7E7F7D64" wp14:editId="44E88128">
            <wp:extent cx="5215162" cy="2931184"/>
            <wp:effectExtent l="19050" t="19050" r="24130" b="21590"/>
            <wp:docPr id="136160072"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49268" cy="2950353"/>
                    </a:xfrm>
                    <a:prstGeom prst="rect">
                      <a:avLst/>
                    </a:prstGeom>
                    <a:noFill/>
                    <a:ln>
                      <a:solidFill>
                        <a:schemeClr val="accent1"/>
                      </a:solidFill>
                    </a:ln>
                  </pic:spPr>
                </pic:pic>
              </a:graphicData>
            </a:graphic>
          </wp:inline>
        </w:drawing>
      </w:r>
    </w:p>
    <w:p w14:paraId="435BF1B6" w14:textId="77777777" w:rsidR="00EB199F" w:rsidRDefault="00EB199F" w:rsidP="00EB199F">
      <w:pPr>
        <w:jc w:val="center"/>
        <w:rPr>
          <w:rFonts w:asciiTheme="minorHAnsi" w:hAnsiTheme="minorHAnsi" w:cstheme="minorHAnsi"/>
          <w:b/>
          <w:iCs/>
          <w:u w:val="single"/>
        </w:rPr>
      </w:pPr>
    </w:p>
    <w:p w14:paraId="6330D5DA" w14:textId="77777777" w:rsidR="00EB199F" w:rsidRDefault="00EB199F" w:rsidP="00EB199F">
      <w:pPr>
        <w:jc w:val="center"/>
        <w:rPr>
          <w:rFonts w:asciiTheme="minorHAnsi" w:hAnsiTheme="minorHAnsi" w:cstheme="minorHAnsi"/>
          <w:b/>
          <w:iCs/>
          <w:u w:val="single"/>
        </w:rPr>
      </w:pPr>
    </w:p>
    <w:p w14:paraId="6389086D" w14:textId="77777777" w:rsidR="00EB199F" w:rsidRDefault="00EB199F" w:rsidP="00EB199F">
      <w:pPr>
        <w:jc w:val="center"/>
        <w:rPr>
          <w:rFonts w:asciiTheme="minorHAnsi" w:hAnsiTheme="minorHAnsi" w:cstheme="minorHAnsi"/>
          <w:b/>
          <w:iCs/>
          <w:u w:val="single"/>
        </w:rPr>
      </w:pPr>
      <w:r>
        <w:rPr>
          <w:noProof/>
        </w:rPr>
        <w:drawing>
          <wp:inline distT="0" distB="0" distL="0" distR="0" wp14:anchorId="4DC5BECB" wp14:editId="28B64B55">
            <wp:extent cx="5198511" cy="3026075"/>
            <wp:effectExtent l="19050" t="19050" r="21590" b="22225"/>
            <wp:docPr id="605839113"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25339" cy="3041692"/>
                    </a:xfrm>
                    <a:prstGeom prst="rect">
                      <a:avLst/>
                    </a:prstGeom>
                    <a:noFill/>
                    <a:ln>
                      <a:solidFill>
                        <a:schemeClr val="accent1"/>
                      </a:solidFill>
                    </a:ln>
                  </pic:spPr>
                </pic:pic>
              </a:graphicData>
            </a:graphic>
          </wp:inline>
        </w:drawing>
      </w:r>
    </w:p>
    <w:p w14:paraId="5491A2ED" w14:textId="24F8036D" w:rsidR="009A567C" w:rsidRDefault="009A567C" w:rsidP="009A567C">
      <w:pPr>
        <w:jc w:val="center"/>
        <w:rPr>
          <w:rFonts w:asciiTheme="minorHAnsi" w:hAnsiTheme="minorHAnsi" w:cstheme="minorHAnsi"/>
          <w:sz w:val="22"/>
          <w:szCs w:val="22"/>
        </w:rPr>
      </w:pPr>
    </w:p>
    <w:p w14:paraId="59A81FC6" w14:textId="77777777" w:rsidR="009A567C" w:rsidRDefault="009A567C" w:rsidP="009A567C">
      <w:pPr>
        <w:jc w:val="center"/>
        <w:rPr>
          <w:rFonts w:asciiTheme="minorHAnsi" w:hAnsiTheme="minorHAnsi" w:cstheme="minorHAnsi"/>
          <w:sz w:val="22"/>
          <w:szCs w:val="22"/>
        </w:rPr>
      </w:pPr>
    </w:p>
    <w:p w14:paraId="72243131" w14:textId="58CF24C1" w:rsidR="009A567C" w:rsidRDefault="009A567C" w:rsidP="009A567C">
      <w:pPr>
        <w:jc w:val="center"/>
        <w:rPr>
          <w:rFonts w:asciiTheme="minorHAnsi" w:hAnsiTheme="minorHAnsi" w:cstheme="minorHAnsi"/>
          <w:sz w:val="22"/>
          <w:szCs w:val="22"/>
        </w:rPr>
      </w:pPr>
    </w:p>
    <w:p w14:paraId="71800F7F" w14:textId="77777777" w:rsidR="009A567C" w:rsidRDefault="009A567C" w:rsidP="009A567C">
      <w:pPr>
        <w:jc w:val="center"/>
        <w:rPr>
          <w:rFonts w:asciiTheme="minorHAnsi" w:hAnsiTheme="minorHAnsi" w:cstheme="minorHAnsi"/>
          <w:b/>
          <w:iCs/>
          <w:u w:val="single"/>
        </w:rPr>
      </w:pPr>
    </w:p>
    <w:p w14:paraId="568357CA" w14:textId="77777777" w:rsidR="009A567C" w:rsidRDefault="009A567C" w:rsidP="009A567C">
      <w:pPr>
        <w:jc w:val="center"/>
        <w:rPr>
          <w:rFonts w:asciiTheme="minorHAnsi" w:hAnsiTheme="minorHAnsi" w:cstheme="minorHAnsi"/>
          <w:b/>
          <w:iCs/>
          <w:u w:val="single"/>
        </w:rPr>
      </w:pPr>
    </w:p>
    <w:p w14:paraId="2DA2AF28" w14:textId="55265D48" w:rsidR="009A567C" w:rsidRDefault="009A567C" w:rsidP="009A567C">
      <w:pPr>
        <w:jc w:val="center"/>
        <w:rPr>
          <w:rFonts w:asciiTheme="minorHAnsi" w:hAnsiTheme="minorHAnsi" w:cstheme="minorHAnsi"/>
          <w:b/>
          <w:iCs/>
          <w:u w:val="single"/>
        </w:rPr>
      </w:pPr>
    </w:p>
    <w:p w14:paraId="3BD5857F" w14:textId="096F3A06" w:rsidR="009A567C" w:rsidRDefault="009A567C" w:rsidP="009A567C">
      <w:pPr>
        <w:jc w:val="center"/>
        <w:rPr>
          <w:rFonts w:asciiTheme="minorHAnsi" w:hAnsiTheme="minorHAnsi" w:cstheme="minorHAnsi"/>
          <w:b/>
          <w:iCs/>
          <w:u w:val="single"/>
        </w:rPr>
      </w:pPr>
    </w:p>
    <w:p w14:paraId="0B11A657" w14:textId="3F2706E3" w:rsidR="009A567C" w:rsidRDefault="009A567C" w:rsidP="009A567C">
      <w:pPr>
        <w:jc w:val="center"/>
        <w:rPr>
          <w:rFonts w:asciiTheme="minorHAnsi" w:hAnsiTheme="minorHAnsi" w:cstheme="minorHAnsi"/>
          <w:b/>
          <w:iCs/>
          <w:u w:val="single"/>
        </w:rPr>
      </w:pPr>
    </w:p>
    <w:p w14:paraId="573FFD8B" w14:textId="4CEE977C" w:rsidR="009A567C" w:rsidRDefault="009A567C" w:rsidP="009A567C">
      <w:pPr>
        <w:jc w:val="center"/>
        <w:rPr>
          <w:rFonts w:asciiTheme="minorHAnsi" w:hAnsiTheme="minorHAnsi" w:cstheme="minorHAnsi"/>
          <w:b/>
          <w:iCs/>
          <w:u w:val="single"/>
        </w:rPr>
      </w:pPr>
    </w:p>
    <w:p w14:paraId="78364FA7" w14:textId="569AB12D" w:rsidR="009A567C" w:rsidRDefault="009A567C" w:rsidP="009A567C">
      <w:pPr>
        <w:jc w:val="center"/>
        <w:rPr>
          <w:rFonts w:asciiTheme="minorHAnsi" w:hAnsiTheme="minorHAnsi" w:cstheme="minorHAnsi"/>
          <w:b/>
          <w:iCs/>
          <w:u w:val="single"/>
        </w:rPr>
      </w:pPr>
    </w:p>
    <w:p w14:paraId="078C00C4" w14:textId="77777777" w:rsidR="009A567C" w:rsidRDefault="009A567C" w:rsidP="009A567C">
      <w:pPr>
        <w:jc w:val="center"/>
        <w:rPr>
          <w:rFonts w:asciiTheme="minorHAnsi" w:hAnsiTheme="minorHAnsi" w:cstheme="minorHAnsi"/>
          <w:b/>
          <w:iCs/>
          <w:u w:val="single"/>
        </w:rPr>
      </w:pPr>
    </w:p>
    <w:p w14:paraId="58DF6E27" w14:textId="1DC1ECFD" w:rsidR="009A567C" w:rsidRDefault="009A567C" w:rsidP="009A567C">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25E16"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176E641"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B334B9">
            <w:rPr>
              <w:rFonts w:ascii="Calibri" w:hAnsi="Calibri" w:cs="Calibri"/>
              <w:b/>
              <w:sz w:val="26"/>
              <w:szCs w:val="26"/>
              <w:lang w:val="it-IT"/>
            </w:rPr>
            <w:t>7</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30EA26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B334B9">
            <w:rPr>
              <w:rFonts w:ascii="Calibri" w:hAnsi="Calibri" w:cs="Calibri"/>
              <w:b/>
              <w:sz w:val="26"/>
              <w:szCs w:val="26"/>
              <w:lang w:val="it-IT"/>
            </w:rPr>
            <w:t>7</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DE54C33"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9368AF">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2E8D5B8"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F45E23">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85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534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18</Pages>
  <Words>4040</Words>
  <Characters>22225</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2024-04-24T20:19:00Z</cp:lastPrinted>
  <dcterms:created xsi:type="dcterms:W3CDTF">2024-04-24T15:01:00Z</dcterms:created>
  <dcterms:modified xsi:type="dcterms:W3CDTF">2024-04-24T20:26:00Z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