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31DA7" w14:textId="77777777" w:rsidR="00B06A00" w:rsidRPr="00FB18F8" w:rsidRDefault="00B06A00" w:rsidP="006106D5">
      <w:pPr>
        <w:pStyle w:val="Ttulo1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59686227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E391A">
        <w:rPr>
          <w:rFonts w:asciiTheme="minorHAnsi" w:hAnsiTheme="minorHAnsi" w:cstheme="minorHAnsi"/>
          <w:b/>
          <w:bCs/>
          <w:sz w:val="28"/>
          <w:szCs w:val="28"/>
        </w:rPr>
        <w:t>21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6E53C0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Heading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BodyTextIndent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BodyTextIndent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BodyTextIndent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2ADD10A9" w:rsidR="00E53D92" w:rsidRPr="002B3648" w:rsidRDefault="004724B4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4724B4">
        <w:drawing>
          <wp:inline distT="0" distB="0" distL="0" distR="0" wp14:anchorId="50E1A828" wp14:editId="144624B7">
            <wp:extent cx="5394960" cy="34061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0CA700EF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1B37B82A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5D50F6">
        <w:rPr>
          <w:rFonts w:asciiTheme="minorHAnsi" w:hAnsiTheme="minorHAnsi" w:cstheme="minorHAnsi"/>
          <w:sz w:val="22"/>
          <w:szCs w:val="22"/>
        </w:rPr>
        <w:t xml:space="preserve"> Gráfica N°1, desde enero a </w:t>
      </w:r>
      <w:r w:rsidR="004724B4">
        <w:rPr>
          <w:rFonts w:asciiTheme="minorHAnsi" w:hAnsiTheme="minorHAnsi" w:cstheme="minorHAnsi"/>
          <w:sz w:val="22"/>
          <w:szCs w:val="22"/>
        </w:rPr>
        <w:t>marzo</w:t>
      </w:r>
      <w:r w:rsidR="005D50F6">
        <w:rPr>
          <w:rFonts w:asciiTheme="minorHAnsi" w:hAnsiTheme="minorHAnsi" w:cstheme="minorHAnsi"/>
          <w:sz w:val="22"/>
          <w:szCs w:val="22"/>
        </w:rPr>
        <w:t xml:space="preserve"> 2022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0B1A38">
        <w:rPr>
          <w:rFonts w:asciiTheme="minorHAnsi" w:hAnsiTheme="minorHAnsi" w:cstheme="minorHAnsi"/>
          <w:sz w:val="22"/>
          <w:szCs w:val="22"/>
        </w:rPr>
        <w:t>Asimismo, e</w:t>
      </w:r>
      <w:r w:rsidR="003713E2">
        <w:rPr>
          <w:rFonts w:asciiTheme="minorHAnsi" w:hAnsiTheme="minorHAnsi" w:cstheme="minorHAnsi"/>
          <w:sz w:val="22"/>
          <w:szCs w:val="22"/>
        </w:rPr>
        <w:t xml:space="preserve">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493E17">
        <w:rPr>
          <w:rFonts w:asciiTheme="minorHAnsi" w:hAnsiTheme="minorHAnsi" w:cstheme="minorHAnsi"/>
          <w:sz w:val="22"/>
          <w:szCs w:val="22"/>
        </w:rPr>
        <w:t>10</w:t>
      </w:r>
      <w:r w:rsidR="004724B4">
        <w:rPr>
          <w:rFonts w:asciiTheme="minorHAnsi" w:hAnsiTheme="minorHAnsi" w:cstheme="minorHAnsi"/>
          <w:sz w:val="22"/>
          <w:szCs w:val="22"/>
        </w:rPr>
        <w:t>4</w:t>
      </w:r>
      <w:r w:rsidR="00493E17">
        <w:rPr>
          <w:rFonts w:asciiTheme="minorHAnsi" w:hAnsiTheme="minorHAnsi" w:cstheme="minorHAnsi"/>
          <w:sz w:val="22"/>
          <w:szCs w:val="22"/>
        </w:rPr>
        <w:t>.</w:t>
      </w:r>
      <w:r w:rsidR="004724B4">
        <w:rPr>
          <w:rFonts w:asciiTheme="minorHAnsi" w:hAnsiTheme="minorHAnsi" w:cstheme="minorHAnsi"/>
          <w:sz w:val="22"/>
          <w:szCs w:val="22"/>
        </w:rPr>
        <w:t>2</w:t>
      </w:r>
      <w:r w:rsidR="00493E17">
        <w:rPr>
          <w:rFonts w:asciiTheme="minorHAnsi" w:hAnsiTheme="minorHAnsi" w:cstheme="minorHAnsi"/>
          <w:sz w:val="22"/>
          <w:szCs w:val="22"/>
        </w:rPr>
        <w:t>9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</w:t>
      </w:r>
      <w:r w:rsidR="00493E17">
        <w:rPr>
          <w:rFonts w:asciiTheme="minorHAnsi" w:hAnsiTheme="minorHAnsi" w:cstheme="minorHAnsi"/>
          <w:sz w:val="22"/>
          <w:szCs w:val="22"/>
        </w:rPr>
        <w:t>3</w:t>
      </w:r>
      <w:r w:rsidR="004724B4">
        <w:rPr>
          <w:rFonts w:asciiTheme="minorHAnsi" w:hAnsiTheme="minorHAnsi" w:cstheme="minorHAnsi"/>
          <w:sz w:val="22"/>
          <w:szCs w:val="22"/>
        </w:rPr>
        <w:t>0</w:t>
      </w:r>
      <w:r w:rsidR="00D27C2C">
        <w:rPr>
          <w:rFonts w:asciiTheme="minorHAnsi" w:hAnsiTheme="minorHAnsi" w:cstheme="minorHAnsi"/>
          <w:sz w:val="22"/>
          <w:szCs w:val="22"/>
        </w:rPr>
        <w:t>.</w:t>
      </w:r>
      <w:r w:rsidR="006E53C0">
        <w:rPr>
          <w:rFonts w:asciiTheme="minorHAnsi" w:hAnsiTheme="minorHAnsi" w:cstheme="minorHAnsi"/>
          <w:sz w:val="22"/>
          <w:szCs w:val="22"/>
        </w:rPr>
        <w:t>00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493E17">
        <w:rPr>
          <w:rFonts w:asciiTheme="minorHAnsi" w:hAnsiTheme="minorHAnsi" w:cstheme="minorHAnsi"/>
          <w:sz w:val="22"/>
          <w:szCs w:val="22"/>
        </w:rPr>
        <w:t>6</w:t>
      </w:r>
      <w:r w:rsidR="004724B4">
        <w:rPr>
          <w:rFonts w:asciiTheme="minorHAnsi" w:hAnsiTheme="minorHAnsi" w:cstheme="minorHAnsi"/>
          <w:sz w:val="22"/>
          <w:szCs w:val="22"/>
        </w:rPr>
        <w:t>0</w:t>
      </w:r>
      <w:r w:rsidR="00493E17">
        <w:rPr>
          <w:rFonts w:asciiTheme="minorHAnsi" w:hAnsiTheme="minorHAnsi" w:cstheme="minorHAnsi"/>
          <w:sz w:val="22"/>
          <w:szCs w:val="22"/>
        </w:rPr>
        <w:t>.</w:t>
      </w:r>
      <w:r w:rsidR="004724B4">
        <w:rPr>
          <w:rFonts w:asciiTheme="minorHAnsi" w:hAnsiTheme="minorHAnsi" w:cstheme="minorHAnsi"/>
          <w:sz w:val="22"/>
          <w:szCs w:val="22"/>
        </w:rPr>
        <w:t>13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66ABF8CC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1635E3">
        <w:rPr>
          <w:rFonts w:asciiTheme="minorHAnsi" w:hAnsiTheme="minorHAnsi" w:cstheme="minorHAnsi"/>
          <w:sz w:val="22"/>
          <w:szCs w:val="22"/>
        </w:rPr>
        <w:t>07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1635E3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132FA5">
        <w:rPr>
          <w:rFonts w:asciiTheme="minorHAnsi" w:hAnsiTheme="minorHAnsi" w:cstheme="minorHAnsi"/>
          <w:sz w:val="22"/>
          <w:szCs w:val="22"/>
        </w:rPr>
        <w:t>1</w:t>
      </w:r>
      <w:r w:rsidR="001635E3">
        <w:rPr>
          <w:rFonts w:asciiTheme="minorHAnsi" w:hAnsiTheme="minorHAnsi" w:cstheme="minorHAnsi"/>
          <w:sz w:val="22"/>
          <w:szCs w:val="22"/>
        </w:rPr>
        <w:t>8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6315C2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7E060FF" w14:textId="77777777" w:rsidR="001635E3" w:rsidRPr="001635E3" w:rsidRDefault="001635E3" w:rsidP="001635E3">
      <w:pPr>
        <w:pStyle w:val="FootnoteText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El aumento de los inventarios de crudo y destilados medios, así como la disminución de las existencias de propano y gasolinas en EE.UU., al 11 de marzo 2022.</w:t>
      </w:r>
    </w:p>
    <w:p w14:paraId="25739CE0" w14:textId="77777777" w:rsidR="001635E3" w:rsidRPr="001635E3" w:rsidRDefault="001635E3" w:rsidP="001635E3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Los inventarios de petróleo en Estados Unidos subieron en 4,3 millones barriles, registrando un total de 415,9 millones de barriles, un 12% por debajo de la media de los últimos 5 años en esta época del año.</w:t>
      </w:r>
    </w:p>
    <w:p w14:paraId="5F560AA0" w14:textId="77777777" w:rsidR="001635E3" w:rsidRPr="001635E3" w:rsidRDefault="001635E3" w:rsidP="001635E3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Las existencias de gasolina bajaron 3,6 millones de barriles, reportando un total de 241,0 millones de barriles; mientras los inventarios de destilados, que incluyen al diésel y al combustible para calefacción, subieron 0,3 millones de barriles, con un total de 114,2 millones de barriles. Finalmente, las existencias de propano se redujeron en 2,22 millones de barriles.</w:t>
      </w:r>
    </w:p>
    <w:p w14:paraId="02E28062" w14:textId="77777777" w:rsidR="001635E3" w:rsidRPr="001635E3" w:rsidRDefault="001635E3" w:rsidP="001635E3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4663E46D" w14:textId="77777777" w:rsidR="001635E3" w:rsidRPr="001635E3" w:rsidRDefault="001635E3" w:rsidP="001635E3">
      <w:pPr>
        <w:pStyle w:val="FootnoteText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El repunte del coronavirus en China y las órdenes de confinamiento de millones de personas en el país, que se prevé llevará a una menor demanda del crudo.</w:t>
      </w:r>
    </w:p>
    <w:p w14:paraId="69C7249C" w14:textId="77777777" w:rsidR="001635E3" w:rsidRPr="001635E3" w:rsidRDefault="001635E3" w:rsidP="001635E3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Después de haber alcanzado los 130 dólares hace 10 días, la cotización del petróleo ha registrado disminuciones, tendencia que los analistas atribuyen no solo a la guerra en Ucrania, sino al repunte del coronavirus en China, que se ha traducido en nuevos confinamientos, situación que podría desembocar en una menor demanda de crudo.</w:t>
      </w:r>
    </w:p>
    <w:p w14:paraId="17D466F1" w14:textId="77777777" w:rsidR="001635E3" w:rsidRPr="001635E3" w:rsidRDefault="001635E3" w:rsidP="001635E3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4A7DEA91" w14:textId="77777777" w:rsidR="001635E3" w:rsidRPr="001635E3" w:rsidRDefault="001635E3" w:rsidP="001635E3">
      <w:pPr>
        <w:pStyle w:val="FootnoteText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La Agencia Internacional de la Energía (AIE) alertó que existe el riesgo de una crisis petrolera a partir de la primavera a causa de la invasión rusa de Ucrania y puso presión a la OPEP, que hasta ahora no ha mostrado disposición para compensar en el mercado las pérdidas de crudo ruso.</w:t>
      </w:r>
    </w:p>
    <w:p w14:paraId="34334E68" w14:textId="77777777" w:rsidR="001635E3" w:rsidRDefault="001635E3" w:rsidP="001635E3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1635E3">
        <w:rPr>
          <w:rFonts w:asciiTheme="minorHAnsi" w:hAnsiTheme="minorHAnsi" w:cstheme="minorHAnsi"/>
          <w:sz w:val="22"/>
          <w:szCs w:val="22"/>
        </w:rPr>
        <w:t>Las tensiones generadas por el conflicto entre Rusia y Ucrania, con relación al suministro global de energéticos, debido al veto de Estados Unidos a las importaciones de petróleo, gas natural y carbón de Rusia.</w:t>
      </w:r>
    </w:p>
    <w:p w14:paraId="6A8F88AA" w14:textId="77708F38" w:rsidR="00AF270F" w:rsidRDefault="00D0106C" w:rsidP="001635E3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</w:t>
      </w:r>
      <w:r w:rsidR="00707ED0">
        <w:rPr>
          <w:rFonts w:asciiTheme="minorHAnsi" w:hAnsiTheme="minorHAnsi" w:cstheme="minorHAnsi"/>
          <w:b/>
          <w:bCs/>
          <w:u w:val="single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FootnoteText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721D7151" w:rsidR="00F60765" w:rsidRDefault="00F60765" w:rsidP="0004242F">
      <w:pPr>
        <w:pStyle w:val="BodyTextIndent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430CF0">
        <w:rPr>
          <w:rFonts w:asciiTheme="minorHAnsi" w:hAnsiTheme="minorHAnsi" w:cstheme="minorHAnsi"/>
          <w:sz w:val="22"/>
          <w:szCs w:val="22"/>
        </w:rPr>
        <w:t>martes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3612E7">
        <w:rPr>
          <w:rFonts w:asciiTheme="minorHAnsi" w:hAnsiTheme="minorHAnsi" w:cstheme="minorHAnsi"/>
          <w:sz w:val="22"/>
          <w:szCs w:val="22"/>
        </w:rPr>
        <w:t>15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3612E7">
        <w:rPr>
          <w:rFonts w:asciiTheme="minorHAnsi" w:hAnsiTheme="minorHAnsi" w:cstheme="minorHAnsi"/>
          <w:sz w:val="22"/>
          <w:szCs w:val="22"/>
        </w:rPr>
        <w:t>21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430CF0">
        <w:rPr>
          <w:rFonts w:asciiTheme="minorHAnsi" w:hAnsiTheme="minorHAnsi" w:cstheme="minorHAnsi"/>
          <w:sz w:val="22"/>
          <w:szCs w:val="22"/>
        </w:rPr>
        <w:t>marzo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66A1E65A" w14:textId="77777777" w:rsidR="00F60765" w:rsidRDefault="00F60765" w:rsidP="00F6076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57BFBD38" w14:textId="22155E06" w:rsidR="00F60765" w:rsidRPr="006D1E4E" w:rsidRDefault="00F60765" w:rsidP="0004242F">
      <w:pPr>
        <w:pStyle w:val="BodyTextIndent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92068F">
        <w:rPr>
          <w:rFonts w:asciiTheme="minorHAnsi" w:hAnsiTheme="minorHAnsi" w:cstheme="minorHAnsi"/>
          <w:sz w:val="22"/>
          <w:szCs w:val="22"/>
        </w:rPr>
        <w:t>10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2E45C6">
        <w:rPr>
          <w:rFonts w:asciiTheme="minorHAnsi" w:hAnsiTheme="minorHAnsi" w:cstheme="minorHAnsi"/>
          <w:sz w:val="22"/>
          <w:szCs w:val="22"/>
        </w:rPr>
        <w:t>3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90 (+</w:t>
      </w:r>
      <w:r w:rsidR="0092068F">
        <w:rPr>
          <w:rFonts w:asciiTheme="minorHAnsi" w:hAnsiTheme="minorHAnsi" w:cstheme="minorHAnsi"/>
          <w:sz w:val="22"/>
          <w:szCs w:val="22"/>
        </w:rPr>
        <w:t>1.54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y 84 (+</w:t>
      </w:r>
      <w:r w:rsidR="0092068F">
        <w:rPr>
          <w:rFonts w:asciiTheme="minorHAnsi" w:hAnsiTheme="minorHAnsi" w:cstheme="minorHAnsi"/>
          <w:sz w:val="22"/>
          <w:szCs w:val="22"/>
        </w:rPr>
        <w:t>1.64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octanos, los gasoholes de 97 (+</w:t>
      </w:r>
      <w:r w:rsidR="0092068F">
        <w:rPr>
          <w:rFonts w:asciiTheme="minorHAnsi" w:hAnsiTheme="minorHAnsi" w:cstheme="minorHAnsi"/>
          <w:sz w:val="22"/>
          <w:szCs w:val="22"/>
        </w:rPr>
        <w:t>1.49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95 (+</w:t>
      </w:r>
      <w:r w:rsidR="0092068F">
        <w:rPr>
          <w:rFonts w:asciiTheme="minorHAnsi" w:hAnsiTheme="minorHAnsi" w:cstheme="minorHAnsi"/>
          <w:sz w:val="22"/>
          <w:szCs w:val="22"/>
        </w:rPr>
        <w:t>1.45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90 (+</w:t>
      </w:r>
      <w:r w:rsidR="0092068F">
        <w:rPr>
          <w:rFonts w:asciiTheme="minorHAnsi" w:hAnsiTheme="minorHAnsi" w:cstheme="minorHAnsi"/>
          <w:sz w:val="22"/>
          <w:szCs w:val="22"/>
        </w:rPr>
        <w:t>1.37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84 (+</w:t>
      </w:r>
      <w:r w:rsidR="0092068F">
        <w:rPr>
          <w:rFonts w:asciiTheme="minorHAnsi" w:hAnsiTheme="minorHAnsi" w:cstheme="minorHAnsi"/>
          <w:sz w:val="22"/>
          <w:szCs w:val="22"/>
        </w:rPr>
        <w:t>1</w:t>
      </w:r>
      <w:r w:rsidR="00D155E7">
        <w:rPr>
          <w:rFonts w:asciiTheme="minorHAnsi" w:hAnsiTheme="minorHAnsi" w:cstheme="minorHAnsi"/>
          <w:sz w:val="22"/>
          <w:szCs w:val="22"/>
        </w:rPr>
        <w:t>.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466888">
        <w:rPr>
          <w:rFonts w:asciiTheme="minorHAnsi" w:hAnsiTheme="minorHAnsi" w:cstheme="minorHAnsi"/>
          <w:sz w:val="22"/>
          <w:szCs w:val="22"/>
        </w:rPr>
        <w:t>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octanos, así como en el Diesel B5 (+</w:t>
      </w:r>
      <w:r w:rsidR="0092068F">
        <w:rPr>
          <w:rFonts w:asciiTheme="minorHAnsi" w:hAnsiTheme="minorHAnsi" w:cstheme="minorHAnsi"/>
          <w:sz w:val="22"/>
          <w:szCs w:val="22"/>
        </w:rPr>
        <w:t>1.76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los residuales R6 (+0.</w:t>
      </w:r>
      <w:r w:rsidR="0092068F">
        <w:rPr>
          <w:rFonts w:asciiTheme="minorHAnsi" w:hAnsiTheme="minorHAnsi" w:cstheme="minorHAnsi"/>
          <w:sz w:val="22"/>
          <w:szCs w:val="22"/>
        </w:rPr>
        <w:t>5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R500 (+0.</w:t>
      </w:r>
      <w:r w:rsidR="0092068F">
        <w:rPr>
          <w:rFonts w:asciiTheme="minorHAnsi" w:hAnsiTheme="minorHAnsi" w:cstheme="minorHAnsi"/>
          <w:sz w:val="22"/>
          <w:szCs w:val="22"/>
        </w:rPr>
        <w:t>49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S/Gln).</w:t>
      </w:r>
      <w:r w:rsidR="00760AA8">
        <w:rPr>
          <w:rFonts w:asciiTheme="minorHAnsi" w:hAnsiTheme="minorHAnsi" w:cstheme="minorHAnsi"/>
          <w:sz w:val="22"/>
          <w:szCs w:val="22"/>
        </w:rPr>
        <w:t xml:space="preserve"> La lista publicada el 17/03 no registra variaciones en los precios.</w:t>
      </w:r>
    </w:p>
    <w:p w14:paraId="12100FB1" w14:textId="77777777" w:rsidR="00F60765" w:rsidRDefault="00F60765" w:rsidP="00F60765">
      <w:pPr>
        <w:pStyle w:val="BodyTextIndent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04242F">
      <w:pPr>
        <w:pStyle w:val="FootnoteText"/>
        <w:numPr>
          <w:ilvl w:val="0"/>
          <w:numId w:val="2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04242F">
      <w:pPr>
        <w:pStyle w:val="FootnoteText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FootnoteText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BodyTextIndent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FootnoteText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ListParagraph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2B6DFA23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1E6B2E">
        <w:rPr>
          <w:rFonts w:asciiTheme="minorHAnsi" w:hAnsiTheme="minorHAnsi" w:cstheme="minorHAnsi"/>
          <w:sz w:val="22"/>
          <w:szCs w:val="22"/>
        </w:rPr>
        <w:t>04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1E6B2E">
        <w:rPr>
          <w:rFonts w:asciiTheme="minorHAnsi" w:hAnsiTheme="minorHAnsi" w:cstheme="minorHAnsi"/>
          <w:sz w:val="22"/>
          <w:szCs w:val="22"/>
        </w:rPr>
        <w:t>3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254CF5">
        <w:rPr>
          <w:rFonts w:asciiTheme="minorHAnsi" w:hAnsiTheme="minorHAnsi" w:cstheme="minorHAnsi"/>
          <w:sz w:val="22"/>
          <w:szCs w:val="22"/>
        </w:rPr>
        <w:t>1</w:t>
      </w:r>
      <w:r w:rsidR="001E6B2E">
        <w:rPr>
          <w:rFonts w:asciiTheme="minorHAnsi" w:hAnsiTheme="minorHAnsi" w:cstheme="minorHAnsi"/>
          <w:sz w:val="22"/>
          <w:szCs w:val="22"/>
        </w:rPr>
        <w:t>8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C72F9C">
        <w:rPr>
          <w:rFonts w:asciiTheme="minorHAnsi" w:hAnsiTheme="minorHAnsi" w:cstheme="minorHAnsi"/>
          <w:sz w:val="22"/>
          <w:szCs w:val="22"/>
        </w:rPr>
        <w:t>3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546E8FD4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254CF5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 w:rsidR="001E6B2E">
        <w:rPr>
          <w:rFonts w:ascii="Calibri" w:hAnsi="Calibri" w:cs="Arial"/>
          <w:b/>
          <w:bCs/>
          <w:i/>
          <w:sz w:val="22"/>
          <w:szCs w:val="22"/>
          <w:lang w:eastAsia="es-PE"/>
        </w:rPr>
        <w:t>8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C72F9C">
        <w:rPr>
          <w:rFonts w:ascii="Calibri" w:hAnsi="Calibri" w:cs="Arial"/>
          <w:b/>
          <w:bCs/>
          <w:i/>
          <w:sz w:val="22"/>
          <w:szCs w:val="22"/>
          <w:lang w:eastAsia="es-PE"/>
        </w:rPr>
        <w:t>3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77199456" w:rsidR="00F85D23" w:rsidRPr="0068251B" w:rsidRDefault="001E6B2E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1E6B2E">
        <w:drawing>
          <wp:inline distT="0" distB="0" distL="0" distR="0" wp14:anchorId="4BA04513" wp14:editId="71221246">
            <wp:extent cx="5490845" cy="3359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1821A072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1E6B2E">
        <w:rPr>
          <w:rFonts w:asciiTheme="minorHAnsi" w:hAnsiTheme="minorHAnsi" w:cstheme="minorHAnsi"/>
          <w:sz w:val="22"/>
          <w:szCs w:val="22"/>
        </w:rPr>
        <w:t>5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C72F9C">
        <w:rPr>
          <w:rFonts w:asciiTheme="minorHAnsi" w:hAnsiTheme="minorHAnsi" w:cstheme="minorHAnsi"/>
          <w:sz w:val="22"/>
          <w:szCs w:val="22"/>
        </w:rPr>
        <w:t>9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254CF5">
        <w:rPr>
          <w:rFonts w:asciiTheme="minorHAnsi" w:hAnsiTheme="minorHAnsi" w:cstheme="minorHAnsi"/>
          <w:sz w:val="22"/>
          <w:szCs w:val="22"/>
        </w:rPr>
        <w:t xml:space="preserve"> </w:t>
      </w:r>
      <w:r w:rsidR="00030E5E" w:rsidRPr="00061BE1">
        <w:rPr>
          <w:rFonts w:asciiTheme="minorHAnsi" w:hAnsiTheme="minorHAnsi" w:cstheme="minorHAnsi"/>
          <w:sz w:val="22"/>
          <w:szCs w:val="22"/>
        </w:rPr>
        <w:t>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1E6B2E">
        <w:rPr>
          <w:rFonts w:asciiTheme="minorHAnsi" w:hAnsiTheme="minorHAnsi" w:cstheme="minorHAnsi"/>
          <w:sz w:val="22"/>
          <w:szCs w:val="22"/>
        </w:rPr>
        <w:t>1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20A8777C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1E6B2E">
        <w:rPr>
          <w:rFonts w:asciiTheme="minorHAnsi" w:hAnsiTheme="minorHAnsi" w:cstheme="minorHAnsi"/>
          <w:sz w:val="22"/>
          <w:szCs w:val="22"/>
        </w:rPr>
        <w:t>21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C72F9C">
        <w:rPr>
          <w:rFonts w:asciiTheme="minorHAnsi" w:hAnsiTheme="minorHAnsi" w:cstheme="minorHAnsi"/>
          <w:sz w:val="22"/>
          <w:szCs w:val="22"/>
        </w:rPr>
        <w:t>marzo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ListParagraph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6EAF455F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7762FD">
        <w:rPr>
          <w:rFonts w:asciiTheme="minorHAnsi" w:hAnsiTheme="minorHAnsi" w:cstheme="minorHAnsi"/>
          <w:sz w:val="22"/>
          <w:szCs w:val="22"/>
        </w:rPr>
        <w:t>7.39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25AE5D27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7762FD">
        <w:rPr>
          <w:rFonts w:asciiTheme="minorHAnsi" w:hAnsiTheme="minorHAnsi" w:cstheme="minorHAnsi"/>
          <w:sz w:val="22"/>
          <w:szCs w:val="22"/>
          <w:lang w:val="en-US"/>
        </w:rPr>
        <w:t>7.39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7762FD">
        <w:rPr>
          <w:rFonts w:asciiTheme="minorHAnsi" w:hAnsiTheme="minorHAnsi" w:cstheme="minorHAnsi"/>
          <w:sz w:val="22"/>
          <w:szCs w:val="22"/>
          <w:lang w:val="en-US"/>
        </w:rPr>
        <w:t>5.29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574A2C13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AA1AAF">
        <w:rPr>
          <w:rFonts w:asciiTheme="minorHAnsi" w:hAnsiTheme="minorHAnsi" w:cstheme="minorHAnsi"/>
          <w:sz w:val="22"/>
          <w:szCs w:val="22"/>
          <w:lang w:val="en-US"/>
        </w:rPr>
        <w:t>2.</w:t>
      </w:r>
      <w:r w:rsidR="007762FD">
        <w:rPr>
          <w:rFonts w:asciiTheme="minorHAnsi" w:hAnsiTheme="minorHAnsi" w:cstheme="minorHAnsi"/>
          <w:sz w:val="22"/>
          <w:szCs w:val="22"/>
          <w:lang w:val="en-US"/>
        </w:rPr>
        <w:t>22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0BAA1A59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BF5A56">
        <w:rPr>
          <w:rFonts w:asciiTheme="minorHAnsi" w:hAnsiTheme="minorHAnsi" w:cstheme="minorHAnsi"/>
          <w:sz w:val="22"/>
          <w:szCs w:val="22"/>
        </w:rPr>
        <w:t>28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554F9DEE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BF5A56">
        <w:rPr>
          <w:rFonts w:asciiTheme="minorHAnsi" w:hAnsiTheme="minorHAnsi" w:cstheme="minorHAnsi"/>
          <w:sz w:val="22"/>
          <w:szCs w:val="22"/>
        </w:rPr>
        <w:t>18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BF5A56">
        <w:rPr>
          <w:rFonts w:asciiTheme="minorHAnsi" w:hAnsiTheme="minorHAnsi" w:cstheme="minorHAnsi"/>
          <w:sz w:val="22"/>
          <w:szCs w:val="22"/>
        </w:rPr>
        <w:t>15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2F9286BD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951339">
        <w:rPr>
          <w:rFonts w:asciiTheme="minorHAnsi" w:hAnsiTheme="minorHAnsi" w:cstheme="minorHAnsi"/>
          <w:sz w:val="22"/>
          <w:szCs w:val="22"/>
        </w:rPr>
        <w:t>1.</w:t>
      </w:r>
      <w:r w:rsidR="00BF5A56">
        <w:rPr>
          <w:rFonts w:asciiTheme="minorHAnsi" w:hAnsiTheme="minorHAnsi" w:cstheme="minorHAnsi"/>
          <w:sz w:val="22"/>
          <w:szCs w:val="22"/>
        </w:rPr>
        <w:t>19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BF5A56">
        <w:rPr>
          <w:rFonts w:asciiTheme="minorHAnsi" w:hAnsiTheme="minorHAnsi" w:cstheme="minorHAnsi"/>
          <w:sz w:val="22"/>
          <w:szCs w:val="22"/>
        </w:rPr>
        <w:t>6.43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7541E563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BF5A56">
        <w:rPr>
          <w:rFonts w:asciiTheme="minorHAnsi" w:hAnsiTheme="minorHAnsi" w:cstheme="minorHAnsi"/>
          <w:sz w:val="22"/>
          <w:szCs w:val="22"/>
        </w:rPr>
        <w:t>28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02F44631" w:rsidR="00B45C0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</w:t>
      </w:r>
      <w:r w:rsidR="00D72ECC">
        <w:rPr>
          <w:rFonts w:asciiTheme="minorHAnsi" w:hAnsiTheme="minorHAnsi" w:cstheme="minorHAnsi"/>
          <w:sz w:val="22"/>
          <w:szCs w:val="22"/>
        </w:rPr>
        <w:t>1.</w:t>
      </w:r>
      <w:r w:rsidR="00AC0696">
        <w:rPr>
          <w:rFonts w:asciiTheme="minorHAnsi" w:hAnsiTheme="minorHAnsi" w:cstheme="minorHAnsi"/>
          <w:sz w:val="22"/>
          <w:szCs w:val="22"/>
        </w:rPr>
        <w:t>54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682778E4" w:rsidR="004F74EE" w:rsidRDefault="00AC0696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AC0696">
        <w:drawing>
          <wp:inline distT="0" distB="0" distL="0" distR="0" wp14:anchorId="1436E8BD" wp14:editId="5ED29F77">
            <wp:extent cx="8173085" cy="3015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BodyTextIndent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4BEECCDA" w:rsidR="00F85D23" w:rsidRPr="002B3648" w:rsidRDefault="00FA6C31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FA6C31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2E2A241" wp14:editId="140982E2">
                  <wp:extent cx="3526155" cy="3427095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2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052E4E7F" w:rsidR="00F85D23" w:rsidRPr="00CE793E" w:rsidRDefault="00FA6C31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FA6C31">
              <w:rPr>
                <w:rFonts w:asciiTheme="minorHAnsi" w:hAnsiTheme="minorHAnsi" w:cstheme="minorHAnsi"/>
                <w:noProof/>
                <w:lang w:val="es-MX"/>
              </w:rPr>
              <w:drawing>
                <wp:inline distT="0" distB="0" distL="0" distR="0" wp14:anchorId="61619988" wp14:editId="3546F545">
                  <wp:extent cx="5204460" cy="22479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Heading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3A119C72" w:rsidR="000A6BC2" w:rsidRPr="00737F8F" w:rsidRDefault="00FA6C31" w:rsidP="00737F8F">
      <w:pPr>
        <w:pStyle w:val="Header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FA6C31">
        <w:drawing>
          <wp:inline distT="0" distB="0" distL="0" distR="0" wp14:anchorId="433F085C" wp14:editId="3366F976">
            <wp:extent cx="5600700" cy="23545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Heading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Heading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57BED989" w:rsidR="005C4A97" w:rsidRDefault="00FA6C31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A6C31">
        <w:drawing>
          <wp:inline distT="0" distB="0" distL="0" distR="0" wp14:anchorId="2927E814" wp14:editId="0B5D72E2">
            <wp:extent cx="5850255" cy="218694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72FE9C7D" w:rsidR="007B04A3" w:rsidRDefault="00FA6C31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FA6C31">
        <w:drawing>
          <wp:inline distT="0" distB="0" distL="0" distR="0" wp14:anchorId="1556A45C" wp14:editId="6AC20D14">
            <wp:extent cx="5850255" cy="48850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88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FootnoteReferenc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1907620F" w:rsidR="00214BFB" w:rsidRDefault="006A0604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7D0DE9B" wp14:editId="0E5B1563">
            <wp:extent cx="4531300" cy="2419350"/>
            <wp:effectExtent l="19050" t="19050" r="22225" b="19050"/>
            <wp:docPr id="14" name="Picture 14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433" cy="24252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0C24E660" w:rsidR="009D445C" w:rsidRDefault="006A0604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006F8A22" wp14:editId="506BEA7B">
            <wp:extent cx="4499610" cy="2402429"/>
            <wp:effectExtent l="19050" t="19050" r="15240" b="17145"/>
            <wp:docPr id="16" name="Picture 1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13" cy="24088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07ABAD16" w:rsidR="005932D3" w:rsidRDefault="006A0604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93BB0BD" wp14:editId="222B5372">
            <wp:extent cx="4461510" cy="2382088"/>
            <wp:effectExtent l="19050" t="19050" r="15240" b="18415"/>
            <wp:docPr id="17" name="Picture 1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281" cy="23969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221456CA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6A0604">
        <w:rPr>
          <w:noProof/>
        </w:rPr>
        <w:lastRenderedPageBreak/>
        <w:drawing>
          <wp:inline distT="0" distB="0" distL="0" distR="0" wp14:anchorId="239D6EB5" wp14:editId="50D6ED4D">
            <wp:extent cx="4508594" cy="2407227"/>
            <wp:effectExtent l="19050" t="19050" r="25400" b="12700"/>
            <wp:docPr id="26" name="Picture 26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844" cy="24116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97623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yperlink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27AF" w14:textId="77777777" w:rsidR="00976237" w:rsidRDefault="00976237" w:rsidP="006502B5">
      <w:r>
        <w:separator/>
      </w:r>
    </w:p>
  </w:endnote>
  <w:endnote w:type="continuationSeparator" w:id="0">
    <w:p w14:paraId="4AF3C72B" w14:textId="77777777" w:rsidR="00976237" w:rsidRDefault="00976237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5336" w14:textId="76257187" w:rsidR="00287F9F" w:rsidRPr="00287F9F" w:rsidRDefault="00287F9F" w:rsidP="000E2DD7">
    <w:pPr>
      <w:pStyle w:val="Footer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5F4D68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99BA" w14:textId="1AA3B74F" w:rsidR="00287F9F" w:rsidRPr="00287F9F" w:rsidRDefault="00287F9F" w:rsidP="000E2DD7">
    <w:pPr>
      <w:pStyle w:val="Footer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5F4D68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Footer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670A" w14:textId="77777777" w:rsidR="004F74EE" w:rsidRPr="00376371" w:rsidRDefault="004F74EE" w:rsidP="00376371">
    <w:pPr>
      <w:pStyle w:val="Footer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845A" w14:textId="0C5E48F9" w:rsidR="0087386D" w:rsidRPr="0087386D" w:rsidRDefault="0087386D" w:rsidP="000E2DD7">
    <w:pPr>
      <w:pStyle w:val="Footer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5F4D68">
          <w:rPr>
            <w:rFonts w:asciiTheme="minorHAnsi" w:hAnsiTheme="minorHAnsi" w:cstheme="minorHAnsi"/>
            <w:b/>
            <w:noProof/>
            <w:color w:val="002060"/>
            <w:lang w:val="en-US"/>
          </w:rPr>
          <w:t>9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n-US" w:eastAsia="en-US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Footer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291D" w14:textId="77777777" w:rsidR="00976237" w:rsidRDefault="00976237" w:rsidP="006502B5">
      <w:r>
        <w:separator/>
      </w:r>
    </w:p>
  </w:footnote>
  <w:footnote w:type="continuationSeparator" w:id="0">
    <w:p w14:paraId="7048FF74" w14:textId="77777777" w:rsidR="00976237" w:rsidRDefault="00976237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FootnoteText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FootnoteText"/>
        <w:rPr>
          <w:rStyle w:val="FootnoteReferenc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yperlink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FootnoteText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FootnoteReferenc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F31C" w14:textId="77777777" w:rsidR="00FF1622" w:rsidRPr="002E3C90" w:rsidRDefault="005A0113" w:rsidP="00FF1622">
    <w:pPr>
      <w:pStyle w:val="Header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n-US" w:eastAsia="en-US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ED61" w14:textId="77777777" w:rsidR="00FD404B" w:rsidRPr="002E3C90" w:rsidRDefault="005A0113" w:rsidP="005A0113">
    <w:pPr>
      <w:pStyle w:val="Header"/>
      <w:tabs>
        <w:tab w:val="clear" w:pos="8838"/>
        <w:tab w:val="right" w:pos="426"/>
      </w:tabs>
      <w:ind w:left="-1276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2ABC" w14:textId="77777777" w:rsidR="00494331" w:rsidRPr="002E3C90" w:rsidRDefault="00287F9F" w:rsidP="0081371D">
    <w:pPr>
      <w:pStyle w:val="Header"/>
      <w:tabs>
        <w:tab w:val="clear" w:pos="8838"/>
        <w:tab w:val="right" w:pos="8646"/>
      </w:tabs>
      <w:ind w:left="-1418"/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Footer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n-US" w:eastAsia="en-US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Footer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Footer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A92434"/>
    <w:multiLevelType w:val="hybridMultilevel"/>
    <w:tmpl w:val="53E040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0EC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640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2FA5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5E3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2E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4CF5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2E7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4B4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3E17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0C1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D68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604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D0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A8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2FD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68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6F39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339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37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52"/>
    <w:rsid w:val="00AC03E9"/>
    <w:rsid w:val="00AC0696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56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2F9C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0B1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91A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2ECC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370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C31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Heading2">
    <w:name w:val="heading 2"/>
    <w:basedOn w:val="Normal"/>
    <w:next w:val="Normal"/>
    <w:link w:val="Heading2Ch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Heading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2B5"/>
  </w:style>
  <w:style w:type="paragraph" w:styleId="Footer">
    <w:name w:val="footer"/>
    <w:basedOn w:val="Normal"/>
    <w:link w:val="Foot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2B5"/>
  </w:style>
  <w:style w:type="paragraph" w:styleId="BalloonText">
    <w:name w:val="Balloon Text"/>
    <w:basedOn w:val="Normal"/>
    <w:link w:val="BalloonTextCh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Heading2Char">
    <w:name w:val="Heading 2 Char"/>
    <w:link w:val="Heading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FootnoteReference">
    <w:name w:val="footnote reference"/>
    <w:uiPriority w:val="99"/>
    <w:rsid w:val="00C64D47"/>
    <w:rPr>
      <w:vertAlign w:val="superscript"/>
    </w:rPr>
  </w:style>
  <w:style w:type="paragraph" w:customStyle="1" w:styleId="Ttulo1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BodyTextIndent">
    <w:name w:val="Body Text Indent"/>
    <w:basedOn w:val="Normal"/>
    <w:link w:val="BodyTextIndentCh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DefaultParagraphFont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DefaultParagraphFont"/>
    <w:rsid w:val="00CB6B83"/>
  </w:style>
  <w:style w:type="character" w:styleId="Strong">
    <w:name w:val="Strong"/>
    <w:uiPriority w:val="22"/>
    <w:qFormat/>
    <w:rsid w:val="00CB6B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F0E45"/>
    <w:pPr>
      <w:ind w:left="720"/>
    </w:pPr>
  </w:style>
  <w:style w:type="character" w:customStyle="1" w:styleId="yshortcuts">
    <w:name w:val="yshortcuts"/>
    <w:basedOn w:val="DefaultParagraphFont"/>
    <w:rsid w:val="00ED4480"/>
  </w:style>
  <w:style w:type="character" w:styleId="Hyperlink">
    <w:name w:val="Hyperlink"/>
    <w:uiPriority w:val="99"/>
    <w:unhideWhenUsed/>
    <w:rsid w:val="009967BF"/>
    <w:rPr>
      <w:color w:val="0000FF"/>
      <w:u w:val="single"/>
    </w:rPr>
  </w:style>
  <w:style w:type="character" w:styleId="Emphasis">
    <w:name w:val="Emphasis"/>
    <w:uiPriority w:val="20"/>
    <w:qFormat/>
    <w:rsid w:val="00A269E6"/>
    <w:rPr>
      <w:i/>
      <w:iCs/>
    </w:rPr>
  </w:style>
  <w:style w:type="table" w:styleId="TableGrid">
    <w:name w:val="Table Grid"/>
    <w:basedOn w:val="Table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EndnoteText">
    <w:name w:val="endnote text"/>
    <w:basedOn w:val="Normal"/>
    <w:link w:val="EndnoteTextChar"/>
    <w:uiPriority w:val="99"/>
    <w:semiHidden/>
    <w:unhideWhenUsed/>
    <w:rsid w:val="00511A5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EndnoteReference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BodyTextIndentChar">
    <w:name w:val="Body Text Indent Char"/>
    <w:link w:val="BodyTextIndent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FootnoteTextChar">
    <w:name w:val="Footnote Text Char"/>
    <w:link w:val="FootnoteText"/>
    <w:uiPriority w:val="99"/>
    <w:rsid w:val="0068798C"/>
    <w:rPr>
      <w:rFonts w:ascii="Arial" w:eastAsia="Times New Roman" w:hAnsi="Arial"/>
      <w:lang w:val="es-ES" w:eastAsia="es-ES"/>
    </w:rPr>
  </w:style>
  <w:style w:type="paragraph" w:styleId="ListContinue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0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E50E-3402-4556-B042-09194402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2223</Words>
  <Characters>12229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Consultor Asociado</cp:lastModifiedBy>
  <cp:revision>16</cp:revision>
  <cp:lastPrinted>2022-02-01T17:00:00Z</cp:lastPrinted>
  <dcterms:created xsi:type="dcterms:W3CDTF">2022-03-22T13:49:00Z</dcterms:created>
  <dcterms:modified xsi:type="dcterms:W3CDTF">2022-03-22T14:11:00Z</dcterms:modified>
</cp:coreProperties>
</file>