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AB9876" w14:textId="699D7E5A"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 xml:space="preserve">INFORME N° PR </w:t>
      </w:r>
      <w:r w:rsidR="002A50E6">
        <w:rPr>
          <w:rFonts w:asciiTheme="minorHAnsi" w:hAnsiTheme="minorHAnsi" w:cstheme="minorHAnsi"/>
          <w:sz w:val="32"/>
          <w:szCs w:val="28"/>
          <w:u w:val="single"/>
          <w:lang w:val="it-IT"/>
        </w:rPr>
        <w:t>-</w:t>
      </w:r>
      <w:r w:rsidRPr="00352B3A">
        <w:rPr>
          <w:rFonts w:asciiTheme="minorHAnsi" w:hAnsiTheme="minorHAnsi" w:cstheme="minorHAnsi"/>
          <w:sz w:val="32"/>
          <w:szCs w:val="28"/>
          <w:u w:val="single"/>
          <w:lang w:val="it-IT"/>
        </w:rPr>
        <w:t xml:space="preserve"> 0</w:t>
      </w:r>
      <w:r w:rsidR="00F36F1C">
        <w:rPr>
          <w:rFonts w:asciiTheme="minorHAnsi" w:hAnsiTheme="minorHAnsi" w:cstheme="minorHAnsi"/>
          <w:sz w:val="32"/>
          <w:szCs w:val="28"/>
          <w:u w:val="single"/>
          <w:lang w:val="it-IT"/>
        </w:rPr>
        <w:t>8</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1593F25C" w:rsidR="00AF270F" w:rsidRDefault="00AF270F" w:rsidP="00027D8A">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F36F1C">
        <w:rPr>
          <w:rFonts w:asciiTheme="minorHAnsi" w:hAnsiTheme="minorHAnsi" w:cstheme="minorHAnsi"/>
          <w:b/>
          <w:bCs/>
          <w:sz w:val="28"/>
          <w:szCs w:val="28"/>
        </w:rPr>
        <w:t>20</w:t>
      </w:r>
      <w:r w:rsidR="00D13504" w:rsidRPr="00FB18F8">
        <w:rPr>
          <w:rFonts w:asciiTheme="minorHAnsi" w:hAnsiTheme="minorHAnsi" w:cstheme="minorHAnsi"/>
          <w:b/>
          <w:bCs/>
          <w:sz w:val="28"/>
          <w:szCs w:val="28"/>
        </w:rPr>
        <w:t>/</w:t>
      </w:r>
      <w:r w:rsidR="00C823A9">
        <w:rPr>
          <w:rFonts w:asciiTheme="minorHAnsi" w:hAnsiTheme="minorHAnsi" w:cstheme="minorHAnsi"/>
          <w:b/>
          <w:bCs/>
          <w:sz w:val="28"/>
          <w:szCs w:val="28"/>
        </w:rPr>
        <w:t>0</w:t>
      </w:r>
      <w:r w:rsidR="00277E11">
        <w:rPr>
          <w:rFonts w:asciiTheme="minorHAnsi" w:hAnsiTheme="minorHAnsi" w:cstheme="minorHAnsi"/>
          <w:b/>
          <w:bCs/>
          <w:sz w:val="28"/>
          <w:szCs w:val="28"/>
        </w:rPr>
        <w:t>2</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77777777"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0C7F79C5" w:rsidR="00E53D92" w:rsidRPr="002B3648" w:rsidRDefault="00E20E3D"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Pr>
          <w:rFonts w:asciiTheme="minorHAnsi" w:hAnsiTheme="minorHAnsi" w:cstheme="minorHAnsi"/>
          <w:noProof/>
          <w:sz w:val="22"/>
          <w:szCs w:val="22"/>
          <w:lang w:val="es-PE" w:eastAsia="es-PE"/>
        </w:rPr>
        <w:drawing>
          <wp:inline distT="0" distB="0" distL="0" distR="0" wp14:anchorId="6B0CFF13" wp14:editId="7CF4B14C">
            <wp:extent cx="5439600" cy="3405600"/>
            <wp:effectExtent l="0" t="0" r="8890" b="444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9600" cy="3405600"/>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71F32A8A"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65F46842" w14:textId="77777777" w:rsidR="00973DE9" w:rsidRDefault="00973DE9" w:rsidP="00973DE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6C50A32F" w14:textId="77777777" w:rsidR="00973DE9" w:rsidRDefault="00973DE9" w:rsidP="00973DE9">
      <w:pPr>
        <w:jc w:val="both"/>
        <w:rPr>
          <w:rFonts w:asciiTheme="minorHAnsi" w:hAnsiTheme="minorHAnsi" w:cstheme="minorHAnsi"/>
          <w:sz w:val="22"/>
          <w:szCs w:val="22"/>
        </w:rPr>
      </w:pPr>
      <w:r>
        <w:rPr>
          <w:rFonts w:asciiTheme="minorHAnsi" w:hAnsiTheme="minorHAnsi" w:cstheme="minorHAnsi"/>
          <w:sz w:val="22"/>
          <w:szCs w:val="22"/>
        </w:rPr>
        <w:t xml:space="preserve">  </w:t>
      </w:r>
    </w:p>
    <w:p w14:paraId="73F420EC" w14:textId="77777777" w:rsidR="00FA2319" w:rsidRDefault="00277E11" w:rsidP="00C5275D">
      <w:pPr>
        <w:jc w:val="both"/>
        <w:rPr>
          <w:rFonts w:asciiTheme="minorHAnsi" w:hAnsiTheme="minorHAnsi" w:cstheme="minorHAnsi"/>
          <w:sz w:val="22"/>
          <w:szCs w:val="22"/>
        </w:rPr>
      </w:pPr>
      <w:r>
        <w:rPr>
          <w:rFonts w:asciiTheme="minorHAnsi" w:hAnsiTheme="minorHAnsi" w:cstheme="minorHAnsi"/>
          <w:sz w:val="22"/>
          <w:szCs w:val="22"/>
        </w:rPr>
        <w:t xml:space="preserve">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en el caso del petróleo crudo WTI, el GLP y el Residual 3%. </w:t>
      </w:r>
    </w:p>
    <w:p w14:paraId="07D94F10" w14:textId="77777777" w:rsidR="00FA2319" w:rsidRDefault="00FA2319" w:rsidP="00C5275D">
      <w:pPr>
        <w:jc w:val="both"/>
        <w:rPr>
          <w:rFonts w:asciiTheme="minorHAnsi" w:hAnsiTheme="minorHAnsi" w:cstheme="minorHAnsi"/>
          <w:sz w:val="22"/>
          <w:szCs w:val="22"/>
        </w:rPr>
      </w:pPr>
    </w:p>
    <w:p w14:paraId="301BF1D1" w14:textId="22FB4DE4" w:rsidR="00C5275D" w:rsidRDefault="00E52F93" w:rsidP="00C5275D">
      <w:pPr>
        <w:jc w:val="both"/>
        <w:rPr>
          <w:rFonts w:asciiTheme="minorHAnsi" w:hAnsiTheme="minorHAnsi" w:cstheme="minorHAnsi"/>
          <w:sz w:val="22"/>
          <w:szCs w:val="22"/>
        </w:rPr>
      </w:pPr>
      <w:r>
        <w:rPr>
          <w:rFonts w:asciiTheme="minorHAnsi" w:hAnsiTheme="minorHAnsi" w:cstheme="minorHAnsi"/>
          <w:sz w:val="22"/>
          <w:szCs w:val="22"/>
        </w:rPr>
        <w:t xml:space="preserve">En lo que va del año </w:t>
      </w:r>
      <w:r w:rsidR="00C5275D">
        <w:rPr>
          <w:rFonts w:asciiTheme="minorHAnsi" w:hAnsiTheme="minorHAnsi" w:cstheme="minorHAnsi"/>
          <w:sz w:val="22"/>
          <w:szCs w:val="22"/>
        </w:rPr>
        <w:t xml:space="preserve">2023, </w:t>
      </w:r>
      <w:r w:rsidR="00511D1B">
        <w:rPr>
          <w:rFonts w:asciiTheme="minorHAnsi" w:hAnsiTheme="minorHAnsi" w:cstheme="minorHAnsi"/>
          <w:sz w:val="22"/>
          <w:szCs w:val="22"/>
        </w:rPr>
        <w:t xml:space="preserve">los precios </w:t>
      </w:r>
      <w:r w:rsidR="001235C5">
        <w:rPr>
          <w:rFonts w:asciiTheme="minorHAnsi" w:hAnsiTheme="minorHAnsi" w:cstheme="minorHAnsi"/>
          <w:sz w:val="22"/>
          <w:szCs w:val="22"/>
        </w:rPr>
        <w:t xml:space="preserve">internacionales </w:t>
      </w:r>
      <w:r w:rsidR="00511D1B">
        <w:rPr>
          <w:rFonts w:asciiTheme="minorHAnsi" w:hAnsiTheme="minorHAnsi" w:cstheme="minorHAnsi"/>
          <w:sz w:val="22"/>
          <w:szCs w:val="22"/>
        </w:rPr>
        <w:t xml:space="preserve">del GLP, Gasolina y Residual, se han incrementado, mientras que los precios del </w:t>
      </w:r>
      <w:r w:rsidR="001235C5">
        <w:rPr>
          <w:rFonts w:asciiTheme="minorHAnsi" w:hAnsiTheme="minorHAnsi" w:cstheme="minorHAnsi"/>
          <w:sz w:val="22"/>
          <w:szCs w:val="22"/>
        </w:rPr>
        <w:t xml:space="preserve">crudo WTI, </w:t>
      </w:r>
      <w:r w:rsidR="00511D1B">
        <w:rPr>
          <w:rFonts w:asciiTheme="minorHAnsi" w:hAnsiTheme="minorHAnsi" w:cstheme="minorHAnsi"/>
          <w:sz w:val="22"/>
          <w:szCs w:val="22"/>
        </w:rPr>
        <w:t xml:space="preserve">Diésel y </w:t>
      </w:r>
      <w:r w:rsidR="001235C5">
        <w:rPr>
          <w:rFonts w:asciiTheme="minorHAnsi" w:hAnsiTheme="minorHAnsi" w:cstheme="minorHAnsi"/>
          <w:sz w:val="22"/>
          <w:szCs w:val="22"/>
        </w:rPr>
        <w:t>Jet fuel</w:t>
      </w:r>
      <w:r w:rsidR="00511D1B">
        <w:rPr>
          <w:rFonts w:asciiTheme="minorHAnsi" w:hAnsiTheme="minorHAnsi" w:cstheme="minorHAnsi"/>
          <w:sz w:val="22"/>
          <w:szCs w:val="22"/>
        </w:rPr>
        <w:t xml:space="preserve"> han caído respecto al cierre del año 2022</w:t>
      </w:r>
      <w:r w:rsidR="001235C5">
        <w:rPr>
          <w:rFonts w:asciiTheme="minorHAnsi" w:hAnsiTheme="minorHAnsi" w:cstheme="minorHAnsi"/>
          <w:sz w:val="22"/>
          <w:szCs w:val="22"/>
        </w:rPr>
        <w:t>.</w:t>
      </w:r>
      <w:r w:rsidR="00C5275D" w:rsidRPr="00C5275D">
        <w:rPr>
          <w:rFonts w:asciiTheme="minorHAnsi" w:hAnsiTheme="minorHAnsi" w:cstheme="minorHAnsi"/>
          <w:sz w:val="22"/>
          <w:szCs w:val="22"/>
        </w:rPr>
        <w:t xml:space="preserve"> </w:t>
      </w:r>
      <w:r w:rsidR="007769B8">
        <w:rPr>
          <w:rFonts w:asciiTheme="minorHAnsi" w:hAnsiTheme="minorHAnsi" w:cstheme="minorHAnsi"/>
          <w:sz w:val="22"/>
          <w:szCs w:val="22"/>
        </w:rPr>
        <w:t>A</w:t>
      </w:r>
      <w:r w:rsidR="00C5275D" w:rsidRPr="00C5275D">
        <w:rPr>
          <w:rFonts w:asciiTheme="minorHAnsi" w:hAnsiTheme="minorHAnsi" w:cstheme="minorHAnsi"/>
          <w:sz w:val="22"/>
          <w:szCs w:val="22"/>
        </w:rPr>
        <w:t>l cierre de la última semana del periodo de evaluación</w:t>
      </w:r>
      <w:r w:rsidR="005C5731">
        <w:rPr>
          <w:rStyle w:val="Refdenotaalpie"/>
          <w:rFonts w:asciiTheme="minorHAnsi" w:hAnsiTheme="minorHAnsi" w:cstheme="minorHAnsi"/>
          <w:sz w:val="22"/>
          <w:szCs w:val="22"/>
        </w:rPr>
        <w:footnoteReference w:id="2"/>
      </w:r>
      <w:r w:rsidR="005C5731">
        <w:rPr>
          <w:rFonts w:asciiTheme="minorHAnsi" w:hAnsiTheme="minorHAnsi" w:cstheme="minorHAnsi"/>
          <w:sz w:val="22"/>
          <w:szCs w:val="22"/>
        </w:rPr>
        <w:t>,</w:t>
      </w:r>
      <w:r w:rsidR="00C5275D" w:rsidRPr="00C5275D">
        <w:rPr>
          <w:rFonts w:asciiTheme="minorHAnsi" w:hAnsiTheme="minorHAnsi" w:cstheme="minorHAnsi"/>
          <w:sz w:val="22"/>
          <w:szCs w:val="22"/>
        </w:rPr>
        <w:t xml:space="preserve"> el precio del crudo WTI se ubicó en 76</w:t>
      </w:r>
      <w:r w:rsidR="005C5731">
        <w:rPr>
          <w:rFonts w:asciiTheme="minorHAnsi" w:hAnsiTheme="minorHAnsi" w:cstheme="minorHAnsi"/>
          <w:sz w:val="22"/>
          <w:szCs w:val="22"/>
        </w:rPr>
        <w:t>.</w:t>
      </w:r>
      <w:r w:rsidR="00C5275D" w:rsidRPr="00C5275D">
        <w:rPr>
          <w:rFonts w:asciiTheme="minorHAnsi" w:hAnsiTheme="minorHAnsi" w:cstheme="minorHAnsi"/>
          <w:sz w:val="22"/>
          <w:szCs w:val="22"/>
        </w:rPr>
        <w:t>66 US$/</w:t>
      </w:r>
      <w:proofErr w:type="spellStart"/>
      <w:r w:rsidR="00C5275D" w:rsidRPr="00C5275D">
        <w:rPr>
          <w:rFonts w:asciiTheme="minorHAnsi" w:hAnsiTheme="minorHAnsi" w:cstheme="minorHAnsi"/>
          <w:sz w:val="22"/>
          <w:szCs w:val="22"/>
        </w:rPr>
        <w:t>Bl</w:t>
      </w:r>
      <w:proofErr w:type="spellEnd"/>
      <w:r w:rsidR="00C5275D" w:rsidRPr="00C5275D">
        <w:rPr>
          <w:rFonts w:asciiTheme="minorHAnsi" w:hAnsiTheme="minorHAnsi" w:cstheme="minorHAnsi"/>
          <w:sz w:val="22"/>
          <w:szCs w:val="22"/>
        </w:rPr>
        <w:t>, las gasolinas registraron un precio de 97</w:t>
      </w:r>
      <w:r w:rsidR="005C5731">
        <w:rPr>
          <w:rFonts w:asciiTheme="minorHAnsi" w:hAnsiTheme="minorHAnsi" w:cstheme="minorHAnsi"/>
          <w:sz w:val="22"/>
          <w:szCs w:val="22"/>
        </w:rPr>
        <w:t>.</w:t>
      </w:r>
      <w:r w:rsidR="00C5275D" w:rsidRPr="00C5275D">
        <w:rPr>
          <w:rFonts w:asciiTheme="minorHAnsi" w:hAnsiTheme="minorHAnsi" w:cstheme="minorHAnsi"/>
          <w:sz w:val="22"/>
          <w:szCs w:val="22"/>
        </w:rPr>
        <w:t>94 US$/</w:t>
      </w:r>
      <w:proofErr w:type="spellStart"/>
      <w:r w:rsidR="00C5275D" w:rsidRPr="00C5275D">
        <w:rPr>
          <w:rFonts w:asciiTheme="minorHAnsi" w:hAnsiTheme="minorHAnsi" w:cstheme="minorHAnsi"/>
          <w:sz w:val="22"/>
          <w:szCs w:val="22"/>
        </w:rPr>
        <w:t>Bl</w:t>
      </w:r>
      <w:proofErr w:type="spellEnd"/>
      <w:r w:rsidR="00C5275D" w:rsidRPr="00C5275D">
        <w:rPr>
          <w:rFonts w:asciiTheme="minorHAnsi" w:hAnsiTheme="minorHAnsi" w:cstheme="minorHAnsi"/>
          <w:sz w:val="22"/>
          <w:szCs w:val="22"/>
        </w:rPr>
        <w:t xml:space="preserve"> y el diésel registró niveles cercanos a los 112 US$/</w:t>
      </w:r>
      <w:proofErr w:type="spellStart"/>
      <w:r w:rsidR="00C5275D" w:rsidRPr="00C5275D">
        <w:rPr>
          <w:rFonts w:asciiTheme="minorHAnsi" w:hAnsiTheme="minorHAnsi" w:cstheme="minorHAnsi"/>
          <w:sz w:val="22"/>
          <w:szCs w:val="22"/>
        </w:rPr>
        <w:t>Bl</w:t>
      </w:r>
      <w:proofErr w:type="spellEnd"/>
      <w:r w:rsidR="00C5275D" w:rsidRPr="00C5275D">
        <w:rPr>
          <w:rFonts w:asciiTheme="minorHAnsi" w:hAnsiTheme="minorHAnsi" w:cstheme="minorHAnsi"/>
          <w:sz w:val="22"/>
          <w:szCs w:val="22"/>
        </w:rPr>
        <w:t>. Para el mismo periodo, el precio del GLP al cierre de la semana fue de 39</w:t>
      </w:r>
      <w:r w:rsidR="005C5731">
        <w:rPr>
          <w:rFonts w:asciiTheme="minorHAnsi" w:hAnsiTheme="minorHAnsi" w:cstheme="minorHAnsi"/>
          <w:sz w:val="22"/>
          <w:szCs w:val="22"/>
        </w:rPr>
        <w:t>.</w:t>
      </w:r>
      <w:r w:rsidR="00C5275D" w:rsidRPr="00C5275D">
        <w:rPr>
          <w:rFonts w:asciiTheme="minorHAnsi" w:hAnsiTheme="minorHAnsi" w:cstheme="minorHAnsi"/>
          <w:sz w:val="22"/>
          <w:szCs w:val="22"/>
        </w:rPr>
        <w:t>00 US$/</w:t>
      </w:r>
      <w:proofErr w:type="spellStart"/>
      <w:r w:rsidR="00C5275D" w:rsidRPr="00C5275D">
        <w:rPr>
          <w:rFonts w:asciiTheme="minorHAnsi" w:hAnsiTheme="minorHAnsi" w:cstheme="minorHAnsi"/>
          <w:sz w:val="22"/>
          <w:szCs w:val="22"/>
        </w:rPr>
        <w:t>Bl</w:t>
      </w:r>
      <w:proofErr w:type="spellEnd"/>
      <w:r w:rsidR="00C5275D" w:rsidRPr="00C5275D">
        <w:rPr>
          <w:rFonts w:asciiTheme="minorHAnsi" w:hAnsiTheme="minorHAnsi" w:cstheme="minorHAnsi"/>
          <w:sz w:val="22"/>
          <w:szCs w:val="22"/>
        </w:rPr>
        <w:t>.</w:t>
      </w:r>
    </w:p>
    <w:p w14:paraId="36A818AD" w14:textId="77777777" w:rsidR="00C5275D" w:rsidRDefault="00C5275D" w:rsidP="00277E11">
      <w:pPr>
        <w:jc w:val="both"/>
        <w:rPr>
          <w:rFonts w:asciiTheme="minorHAnsi" w:hAnsiTheme="minorHAnsi" w:cstheme="minorHAnsi"/>
          <w:sz w:val="22"/>
          <w:szCs w:val="22"/>
        </w:rPr>
      </w:pPr>
    </w:p>
    <w:p w14:paraId="78DDA322" w14:textId="3A3CBD88" w:rsidR="00277E11" w:rsidRPr="004A4F55" w:rsidRDefault="00277E11" w:rsidP="00BC50CE">
      <w:pPr>
        <w:jc w:val="both"/>
        <w:rPr>
          <w:rFonts w:asciiTheme="minorHAnsi" w:hAnsiTheme="minorHAnsi" w:cstheme="minorHAnsi"/>
          <w:bCs/>
          <w:sz w:val="22"/>
          <w:szCs w:val="22"/>
        </w:rPr>
      </w:pPr>
      <w:r w:rsidRPr="00431A8E">
        <w:rPr>
          <w:rFonts w:asciiTheme="minorHAnsi" w:hAnsiTheme="minorHAnsi" w:cstheme="minorHAnsi"/>
          <w:sz w:val="22"/>
          <w:szCs w:val="22"/>
        </w:rPr>
        <w:t xml:space="preserve">En las semanas del </w:t>
      </w:r>
      <w:r w:rsidR="005C5731">
        <w:rPr>
          <w:rFonts w:asciiTheme="minorHAnsi" w:hAnsiTheme="minorHAnsi" w:cstheme="minorHAnsi"/>
          <w:sz w:val="22"/>
          <w:szCs w:val="22"/>
        </w:rPr>
        <w:t>06</w:t>
      </w:r>
      <w:r w:rsidRPr="00431A8E">
        <w:rPr>
          <w:rFonts w:asciiTheme="minorHAnsi" w:hAnsiTheme="minorHAnsi" w:cstheme="minorHAnsi"/>
          <w:sz w:val="22"/>
          <w:szCs w:val="22"/>
        </w:rPr>
        <w:t>.</w:t>
      </w:r>
      <w:r>
        <w:rPr>
          <w:rFonts w:asciiTheme="minorHAnsi" w:hAnsiTheme="minorHAnsi" w:cstheme="minorHAnsi"/>
          <w:sz w:val="22"/>
          <w:szCs w:val="22"/>
        </w:rPr>
        <w:t>0</w:t>
      </w:r>
      <w:r w:rsidR="005C5731">
        <w:rPr>
          <w:rFonts w:asciiTheme="minorHAnsi" w:hAnsiTheme="minorHAnsi" w:cstheme="minorHAnsi"/>
          <w:sz w:val="22"/>
          <w:szCs w:val="22"/>
        </w:rPr>
        <w:t>2</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xml:space="preserve"> al </w:t>
      </w:r>
      <w:r w:rsidR="005C5731">
        <w:rPr>
          <w:rFonts w:asciiTheme="minorHAnsi" w:hAnsiTheme="minorHAnsi" w:cstheme="minorHAnsi"/>
          <w:sz w:val="22"/>
          <w:szCs w:val="22"/>
        </w:rPr>
        <w:t>17</w:t>
      </w:r>
      <w:r w:rsidRPr="00431A8E">
        <w:rPr>
          <w:rFonts w:asciiTheme="minorHAnsi" w:hAnsiTheme="minorHAnsi" w:cstheme="minorHAnsi"/>
          <w:sz w:val="22"/>
          <w:szCs w:val="22"/>
        </w:rPr>
        <w:t>.0</w:t>
      </w:r>
      <w:r>
        <w:rPr>
          <w:rFonts w:asciiTheme="minorHAnsi" w:hAnsiTheme="minorHAnsi" w:cstheme="minorHAnsi"/>
          <w:sz w:val="22"/>
          <w:szCs w:val="22"/>
        </w:rPr>
        <w:t>2</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los principales factores que incidieron en la variación de los precios del petróleo crudo y combustibles fueron los siguientes:</w:t>
      </w:r>
    </w:p>
    <w:p w14:paraId="73A9FEEC" w14:textId="2D0862D3" w:rsidR="00277E11" w:rsidRDefault="00277E11" w:rsidP="00277E11">
      <w:pPr>
        <w:pStyle w:val="Prrafodelista"/>
        <w:ind w:left="426"/>
        <w:jc w:val="both"/>
        <w:rPr>
          <w:rFonts w:asciiTheme="minorHAnsi" w:hAnsiTheme="minorHAnsi" w:cstheme="minorHAnsi"/>
          <w:sz w:val="22"/>
          <w:szCs w:val="22"/>
        </w:rPr>
      </w:pPr>
    </w:p>
    <w:p w14:paraId="657F7A3F" w14:textId="3148F091" w:rsidR="005C5731" w:rsidRPr="00BC50CE" w:rsidRDefault="005C5731" w:rsidP="00BC50CE">
      <w:pPr>
        <w:pStyle w:val="Prrafodelista"/>
        <w:numPr>
          <w:ilvl w:val="0"/>
          <w:numId w:val="13"/>
        </w:numPr>
        <w:ind w:left="426"/>
        <w:contextualSpacing/>
        <w:jc w:val="both"/>
        <w:rPr>
          <w:rFonts w:asciiTheme="minorHAnsi" w:hAnsiTheme="minorHAnsi" w:cstheme="minorHAnsi"/>
          <w:b/>
          <w:sz w:val="22"/>
          <w:szCs w:val="22"/>
        </w:rPr>
      </w:pPr>
      <w:r w:rsidRPr="00BC50CE">
        <w:rPr>
          <w:rFonts w:asciiTheme="minorHAnsi" w:hAnsiTheme="minorHAnsi" w:cstheme="minorHAnsi"/>
          <w:b/>
          <w:sz w:val="22"/>
          <w:szCs w:val="22"/>
        </w:rPr>
        <w:t>El aumento de los inventarios de crudo y gasolinas; así como la reducción de las existencias de propano y destilados, al 10 de febrero del 2023.</w:t>
      </w:r>
    </w:p>
    <w:p w14:paraId="6681B18E" w14:textId="77777777" w:rsidR="005C5731" w:rsidRPr="005C5731" w:rsidRDefault="005C5731" w:rsidP="005C5731">
      <w:pPr>
        <w:pStyle w:val="Prrafodelista"/>
        <w:ind w:left="426"/>
        <w:jc w:val="both"/>
        <w:rPr>
          <w:rFonts w:asciiTheme="minorHAnsi" w:hAnsiTheme="minorHAnsi" w:cstheme="minorHAnsi"/>
          <w:sz w:val="22"/>
          <w:szCs w:val="22"/>
        </w:rPr>
      </w:pPr>
    </w:p>
    <w:p w14:paraId="1885794B" w14:textId="77777777" w:rsidR="005C5731" w:rsidRPr="005C5731" w:rsidRDefault="005C5731" w:rsidP="005C5731">
      <w:pPr>
        <w:pStyle w:val="Prrafodelista"/>
        <w:ind w:left="426"/>
        <w:jc w:val="both"/>
        <w:rPr>
          <w:rFonts w:asciiTheme="minorHAnsi" w:hAnsiTheme="minorHAnsi" w:cstheme="minorHAnsi"/>
          <w:sz w:val="22"/>
          <w:szCs w:val="22"/>
        </w:rPr>
      </w:pPr>
      <w:r w:rsidRPr="005C5731">
        <w:rPr>
          <w:rFonts w:asciiTheme="minorHAnsi" w:hAnsiTheme="minorHAnsi" w:cstheme="minorHAnsi"/>
          <w:sz w:val="22"/>
          <w:szCs w:val="22"/>
        </w:rPr>
        <w:t>Los inventarios</w:t>
      </w:r>
      <w:bookmarkStart w:id="0" w:name="_GoBack"/>
      <w:bookmarkEnd w:id="0"/>
      <w:r w:rsidRPr="005C5731">
        <w:rPr>
          <w:rFonts w:asciiTheme="minorHAnsi" w:hAnsiTheme="minorHAnsi" w:cstheme="minorHAnsi"/>
          <w:sz w:val="22"/>
          <w:szCs w:val="22"/>
        </w:rPr>
        <w:t xml:space="preserve"> de petróleo subieron 16,3 millones de barriles, registrando un total de 471,4 millones de barriles, un 8% por encima de la media de los últimos 5 años en esta época del año.</w:t>
      </w:r>
    </w:p>
    <w:p w14:paraId="538AEA84" w14:textId="77777777" w:rsidR="005C5731" w:rsidRPr="005C5731" w:rsidRDefault="005C5731" w:rsidP="005C5731">
      <w:pPr>
        <w:pStyle w:val="Prrafodelista"/>
        <w:ind w:left="426"/>
        <w:jc w:val="both"/>
        <w:rPr>
          <w:rFonts w:asciiTheme="minorHAnsi" w:hAnsiTheme="minorHAnsi" w:cstheme="minorHAnsi"/>
          <w:sz w:val="22"/>
          <w:szCs w:val="22"/>
        </w:rPr>
      </w:pPr>
    </w:p>
    <w:p w14:paraId="1353B39B" w14:textId="77777777" w:rsidR="005C5731" w:rsidRPr="005C5731" w:rsidRDefault="005C5731" w:rsidP="005C5731">
      <w:pPr>
        <w:pStyle w:val="Prrafodelista"/>
        <w:ind w:left="426"/>
        <w:jc w:val="both"/>
        <w:rPr>
          <w:rFonts w:asciiTheme="minorHAnsi" w:hAnsiTheme="minorHAnsi" w:cstheme="minorHAnsi"/>
          <w:sz w:val="22"/>
          <w:szCs w:val="22"/>
        </w:rPr>
      </w:pPr>
      <w:r w:rsidRPr="005C5731">
        <w:rPr>
          <w:rFonts w:asciiTheme="minorHAnsi" w:hAnsiTheme="minorHAnsi" w:cstheme="minorHAnsi"/>
          <w:sz w:val="22"/>
          <w:szCs w:val="22"/>
        </w:rPr>
        <w:t>Las existencias de gasolina se incrementaron en 2,3 millones de barriles, reportando un total de 241,9 millones de barriles; mientras los inventarios de destilados, que incluyen al diésel y al combustible para calefacción, disminuyeron 1,3 millones de barriles, con un total de 119,2 millones de barriles. Finalmente, las existencias de propano se redujeron 2,58 millones de barriles, ubicándose en los 66,3 millones de barriles.</w:t>
      </w:r>
    </w:p>
    <w:p w14:paraId="0D1DF922" w14:textId="77777777" w:rsidR="005C5731" w:rsidRPr="005C5731" w:rsidRDefault="005C5731" w:rsidP="005C5731">
      <w:pPr>
        <w:pStyle w:val="Prrafodelista"/>
        <w:ind w:left="426"/>
        <w:jc w:val="both"/>
        <w:rPr>
          <w:rFonts w:asciiTheme="minorHAnsi" w:hAnsiTheme="minorHAnsi" w:cstheme="minorHAnsi"/>
          <w:sz w:val="22"/>
          <w:szCs w:val="22"/>
        </w:rPr>
      </w:pPr>
    </w:p>
    <w:p w14:paraId="51EB4D31" w14:textId="1FD238C2" w:rsidR="005C5731" w:rsidRPr="00BC50CE" w:rsidRDefault="005C5731" w:rsidP="00BC50CE">
      <w:pPr>
        <w:pStyle w:val="Prrafodelista"/>
        <w:numPr>
          <w:ilvl w:val="0"/>
          <w:numId w:val="13"/>
        </w:numPr>
        <w:ind w:left="426"/>
        <w:contextualSpacing/>
        <w:jc w:val="both"/>
        <w:rPr>
          <w:rFonts w:asciiTheme="minorHAnsi" w:hAnsiTheme="minorHAnsi" w:cstheme="minorHAnsi"/>
          <w:b/>
          <w:sz w:val="22"/>
          <w:szCs w:val="22"/>
        </w:rPr>
      </w:pPr>
      <w:r w:rsidRPr="00BC50CE">
        <w:rPr>
          <w:rFonts w:asciiTheme="minorHAnsi" w:hAnsiTheme="minorHAnsi" w:cstheme="minorHAnsi"/>
          <w:b/>
          <w:sz w:val="22"/>
          <w:szCs w:val="22"/>
        </w:rPr>
        <w:t>Las preocupaciones por el alza de las tasas de interés en Estados Unidos y los resultados de un destacado informe sobre inflación que podría obligar a la FED a endurecer su política monetaria de forma mucho más agresiva</w:t>
      </w:r>
    </w:p>
    <w:p w14:paraId="4AFD2159" w14:textId="77777777" w:rsidR="005C5731" w:rsidRPr="005C5731" w:rsidRDefault="005C5731" w:rsidP="005C5731">
      <w:pPr>
        <w:pStyle w:val="Prrafodelista"/>
        <w:ind w:left="426"/>
        <w:jc w:val="both"/>
        <w:rPr>
          <w:rFonts w:asciiTheme="minorHAnsi" w:hAnsiTheme="minorHAnsi" w:cstheme="minorHAnsi"/>
          <w:sz w:val="22"/>
          <w:szCs w:val="22"/>
        </w:rPr>
      </w:pPr>
    </w:p>
    <w:p w14:paraId="6BF53749" w14:textId="77777777" w:rsidR="005C5731" w:rsidRPr="005C5731" w:rsidRDefault="005C5731" w:rsidP="005C5731">
      <w:pPr>
        <w:pStyle w:val="Prrafodelista"/>
        <w:ind w:left="426"/>
        <w:jc w:val="both"/>
        <w:rPr>
          <w:rFonts w:asciiTheme="minorHAnsi" w:hAnsiTheme="minorHAnsi" w:cstheme="minorHAnsi"/>
          <w:sz w:val="22"/>
          <w:szCs w:val="22"/>
        </w:rPr>
      </w:pPr>
      <w:r w:rsidRPr="005C5731">
        <w:rPr>
          <w:rFonts w:asciiTheme="minorHAnsi" w:hAnsiTheme="minorHAnsi" w:cstheme="minorHAnsi"/>
          <w:sz w:val="22"/>
          <w:szCs w:val="22"/>
        </w:rPr>
        <w:t xml:space="preserve">Dirigentes de la Reserva Federal (FED) advirtieron de que es esencial subir más los costos de los préstamos para reducir la inflación a los niveles deseados. </w:t>
      </w:r>
    </w:p>
    <w:p w14:paraId="3956D133" w14:textId="77777777" w:rsidR="005C5731" w:rsidRPr="005C5731" w:rsidRDefault="005C5731" w:rsidP="005C5731">
      <w:pPr>
        <w:pStyle w:val="Prrafodelista"/>
        <w:ind w:left="426"/>
        <w:jc w:val="both"/>
        <w:rPr>
          <w:rFonts w:asciiTheme="minorHAnsi" w:hAnsiTheme="minorHAnsi" w:cstheme="minorHAnsi"/>
          <w:sz w:val="22"/>
          <w:szCs w:val="22"/>
        </w:rPr>
      </w:pPr>
    </w:p>
    <w:p w14:paraId="52A457BC" w14:textId="77777777" w:rsidR="005C5731" w:rsidRPr="005C5731" w:rsidRDefault="005C5731" w:rsidP="005C5731">
      <w:pPr>
        <w:pStyle w:val="Prrafodelista"/>
        <w:ind w:left="426"/>
        <w:jc w:val="both"/>
        <w:rPr>
          <w:rFonts w:asciiTheme="minorHAnsi" w:hAnsiTheme="minorHAnsi" w:cstheme="minorHAnsi"/>
          <w:sz w:val="22"/>
          <w:szCs w:val="22"/>
        </w:rPr>
      </w:pPr>
      <w:r w:rsidRPr="005C5731">
        <w:rPr>
          <w:rFonts w:asciiTheme="minorHAnsi" w:hAnsiTheme="minorHAnsi" w:cstheme="minorHAnsi"/>
          <w:sz w:val="22"/>
          <w:szCs w:val="22"/>
        </w:rPr>
        <w:t>La FED ha estado elevando las tasas para frenar la inflación, lo que ha suscitado la preocupación de que esta medida ralentice la actividad económica y la demanda de petróleo. Funcionarios de la Reserva Federal de Estados Unidos manifestaron que se prevén más subidas de las tasas de interés.</w:t>
      </w:r>
    </w:p>
    <w:p w14:paraId="05C6A8B5" w14:textId="77777777" w:rsidR="005C5731" w:rsidRPr="005C5731" w:rsidRDefault="005C5731" w:rsidP="005C5731">
      <w:pPr>
        <w:pStyle w:val="Prrafodelista"/>
        <w:ind w:left="426"/>
        <w:jc w:val="both"/>
        <w:rPr>
          <w:rFonts w:asciiTheme="minorHAnsi" w:hAnsiTheme="minorHAnsi" w:cstheme="minorHAnsi"/>
          <w:sz w:val="22"/>
          <w:szCs w:val="22"/>
        </w:rPr>
      </w:pPr>
    </w:p>
    <w:p w14:paraId="3142E053" w14:textId="77777777" w:rsidR="005C5731" w:rsidRPr="005C5731" w:rsidRDefault="005C5731" w:rsidP="005C5731">
      <w:pPr>
        <w:pStyle w:val="Prrafodelista"/>
        <w:ind w:left="426"/>
        <w:jc w:val="both"/>
        <w:rPr>
          <w:rFonts w:asciiTheme="minorHAnsi" w:hAnsiTheme="minorHAnsi" w:cstheme="minorHAnsi"/>
          <w:sz w:val="22"/>
          <w:szCs w:val="22"/>
        </w:rPr>
      </w:pPr>
      <w:r w:rsidRPr="005C5731">
        <w:rPr>
          <w:rFonts w:asciiTheme="minorHAnsi" w:hAnsiTheme="minorHAnsi" w:cstheme="minorHAnsi"/>
          <w:sz w:val="22"/>
          <w:szCs w:val="22"/>
        </w:rPr>
        <w:lastRenderedPageBreak/>
        <w:t xml:space="preserve">En esa línea, Goldman Sachs y Bank of </w:t>
      </w:r>
      <w:proofErr w:type="spellStart"/>
      <w:r w:rsidRPr="005C5731">
        <w:rPr>
          <w:rFonts w:asciiTheme="minorHAnsi" w:hAnsiTheme="minorHAnsi" w:cstheme="minorHAnsi"/>
          <w:sz w:val="22"/>
          <w:szCs w:val="22"/>
        </w:rPr>
        <w:t>America</w:t>
      </w:r>
      <w:proofErr w:type="spellEnd"/>
      <w:r w:rsidRPr="005C5731">
        <w:rPr>
          <w:rFonts w:asciiTheme="minorHAnsi" w:hAnsiTheme="minorHAnsi" w:cstheme="minorHAnsi"/>
          <w:sz w:val="22"/>
          <w:szCs w:val="22"/>
        </w:rPr>
        <w:t xml:space="preserve"> pronostican que la Reserva Federal subiría las tasas de interés tres veces más este año por lo que, a su previsión inicial de dos subidas de tasas de 25 puntos cada una, en las reuniones de marzo y mayo, le añadió una nueva previsión de subida de los mismos puntos básicos en el mes de junio.</w:t>
      </w:r>
    </w:p>
    <w:p w14:paraId="6DA4AF4F" w14:textId="77777777" w:rsidR="005C5731" w:rsidRPr="005C5731" w:rsidRDefault="005C5731" w:rsidP="005C5731">
      <w:pPr>
        <w:pStyle w:val="Prrafodelista"/>
        <w:ind w:left="426"/>
        <w:jc w:val="both"/>
        <w:rPr>
          <w:rFonts w:asciiTheme="minorHAnsi" w:hAnsiTheme="minorHAnsi" w:cstheme="minorHAnsi"/>
          <w:sz w:val="22"/>
          <w:szCs w:val="22"/>
        </w:rPr>
      </w:pPr>
    </w:p>
    <w:p w14:paraId="61E65DC3" w14:textId="53FFAA27" w:rsidR="005C5731" w:rsidRPr="00BC50CE" w:rsidRDefault="005C5731" w:rsidP="00BC50CE">
      <w:pPr>
        <w:pStyle w:val="Prrafodelista"/>
        <w:numPr>
          <w:ilvl w:val="0"/>
          <w:numId w:val="13"/>
        </w:numPr>
        <w:ind w:left="426"/>
        <w:contextualSpacing/>
        <w:jc w:val="both"/>
        <w:rPr>
          <w:rFonts w:asciiTheme="minorHAnsi" w:hAnsiTheme="minorHAnsi" w:cstheme="minorHAnsi"/>
          <w:b/>
          <w:sz w:val="22"/>
          <w:szCs w:val="22"/>
        </w:rPr>
      </w:pPr>
      <w:r w:rsidRPr="00BC50CE">
        <w:rPr>
          <w:rFonts w:asciiTheme="minorHAnsi" w:hAnsiTheme="minorHAnsi" w:cstheme="minorHAnsi"/>
          <w:b/>
          <w:sz w:val="22"/>
          <w:szCs w:val="22"/>
        </w:rPr>
        <w:t>El gobierno de EE.UU. dispuso la liberación de 26 millones de barriles de crudo de sus reservas estratégicas, mientras la EIA pronostica producción récord en marzo</w:t>
      </w:r>
    </w:p>
    <w:p w14:paraId="5DA7E99D" w14:textId="77777777" w:rsidR="005C5731" w:rsidRPr="005C5731" w:rsidRDefault="005C5731" w:rsidP="005C5731">
      <w:pPr>
        <w:pStyle w:val="Prrafodelista"/>
        <w:ind w:left="426"/>
        <w:jc w:val="both"/>
        <w:rPr>
          <w:rFonts w:asciiTheme="minorHAnsi" w:hAnsiTheme="minorHAnsi" w:cstheme="minorHAnsi"/>
          <w:sz w:val="22"/>
          <w:szCs w:val="22"/>
        </w:rPr>
      </w:pPr>
    </w:p>
    <w:p w14:paraId="0DBA1BD5" w14:textId="77777777" w:rsidR="005C5731" w:rsidRPr="005C5731" w:rsidRDefault="005C5731" w:rsidP="005C5731">
      <w:pPr>
        <w:pStyle w:val="Prrafodelista"/>
        <w:ind w:left="426"/>
        <w:jc w:val="both"/>
        <w:rPr>
          <w:rFonts w:asciiTheme="minorHAnsi" w:hAnsiTheme="minorHAnsi" w:cstheme="minorHAnsi"/>
          <w:sz w:val="22"/>
          <w:szCs w:val="22"/>
        </w:rPr>
      </w:pPr>
      <w:r w:rsidRPr="005C5731">
        <w:rPr>
          <w:rFonts w:asciiTheme="minorHAnsi" w:hAnsiTheme="minorHAnsi" w:cstheme="minorHAnsi"/>
          <w:sz w:val="22"/>
          <w:szCs w:val="22"/>
        </w:rPr>
        <w:t>El precio del petróleo fue presionado a la baja, con la disposición del 14 de febrero, por parte del gobierno de EE.UU. de una nueva liberación de su reserva estratégica de 26 millones de barriles en el mercado.</w:t>
      </w:r>
    </w:p>
    <w:p w14:paraId="37CA6E28" w14:textId="77777777" w:rsidR="005C5731" w:rsidRPr="005C5731" w:rsidRDefault="005C5731" w:rsidP="005C5731">
      <w:pPr>
        <w:pStyle w:val="Prrafodelista"/>
        <w:ind w:left="426"/>
        <w:jc w:val="both"/>
        <w:rPr>
          <w:rFonts w:asciiTheme="minorHAnsi" w:hAnsiTheme="minorHAnsi" w:cstheme="minorHAnsi"/>
          <w:sz w:val="22"/>
          <w:szCs w:val="22"/>
        </w:rPr>
      </w:pPr>
    </w:p>
    <w:p w14:paraId="6BF0BBB6" w14:textId="77777777" w:rsidR="005C5731" w:rsidRPr="005C5731" w:rsidRDefault="005C5731" w:rsidP="005C5731">
      <w:pPr>
        <w:pStyle w:val="Prrafodelista"/>
        <w:ind w:left="426"/>
        <w:jc w:val="both"/>
        <w:rPr>
          <w:rFonts w:asciiTheme="minorHAnsi" w:hAnsiTheme="minorHAnsi" w:cstheme="minorHAnsi"/>
          <w:sz w:val="22"/>
          <w:szCs w:val="22"/>
        </w:rPr>
      </w:pPr>
      <w:r w:rsidRPr="005C5731">
        <w:rPr>
          <w:rFonts w:asciiTheme="minorHAnsi" w:hAnsiTheme="minorHAnsi" w:cstheme="minorHAnsi"/>
          <w:sz w:val="22"/>
          <w:szCs w:val="22"/>
        </w:rPr>
        <w:t>Este hecho se da después que se reportara que los inventarios comerciales de petróleo, excluidas la Reservas Estratégicas de Petróleo, aumentaron considerablemente, encontrándose en ese momento, un 8% por encima del promedio del último lustro. Con la liberación de las reservas, se estiman que, realizada esta acción, restarían 372 millones de barriles almacenados, el nivel más bajo desde 1983.</w:t>
      </w:r>
    </w:p>
    <w:p w14:paraId="0D5E2464" w14:textId="77777777" w:rsidR="005C5731" w:rsidRPr="005C5731" w:rsidRDefault="005C5731" w:rsidP="005C5731">
      <w:pPr>
        <w:pStyle w:val="Prrafodelista"/>
        <w:ind w:left="426"/>
        <w:jc w:val="both"/>
        <w:rPr>
          <w:rFonts w:asciiTheme="minorHAnsi" w:hAnsiTheme="minorHAnsi" w:cstheme="minorHAnsi"/>
          <w:sz w:val="22"/>
          <w:szCs w:val="22"/>
        </w:rPr>
      </w:pPr>
    </w:p>
    <w:p w14:paraId="6FA6B9C3" w14:textId="77777777" w:rsidR="005C5731" w:rsidRPr="005C5731" w:rsidRDefault="005C5731" w:rsidP="005C5731">
      <w:pPr>
        <w:pStyle w:val="Prrafodelista"/>
        <w:ind w:left="426"/>
        <w:jc w:val="both"/>
        <w:rPr>
          <w:rFonts w:asciiTheme="minorHAnsi" w:hAnsiTheme="minorHAnsi" w:cstheme="minorHAnsi"/>
          <w:sz w:val="22"/>
          <w:szCs w:val="22"/>
        </w:rPr>
      </w:pPr>
      <w:r w:rsidRPr="005C5731">
        <w:rPr>
          <w:rFonts w:asciiTheme="minorHAnsi" w:hAnsiTheme="minorHAnsi" w:cstheme="minorHAnsi"/>
          <w:sz w:val="22"/>
          <w:szCs w:val="22"/>
        </w:rPr>
        <w:t>Sin embargo, a pesar de estas acciones, la EIA proyecta que la producción de crudo en las siete cuencas de esquisto más grandes alcance niveles récord en marzo. Según sus proyecciones, estas cuencas productoras aumentarán producción en unos 75 000 bpd para esa fecha, para una producción récord de 9,36 millones de bpd.</w:t>
      </w:r>
    </w:p>
    <w:p w14:paraId="6A3158D6" w14:textId="77777777" w:rsidR="005C5731" w:rsidRPr="005C5731" w:rsidRDefault="005C5731" w:rsidP="005C5731">
      <w:pPr>
        <w:pStyle w:val="Prrafodelista"/>
        <w:ind w:left="426"/>
        <w:jc w:val="both"/>
        <w:rPr>
          <w:rFonts w:asciiTheme="minorHAnsi" w:hAnsiTheme="minorHAnsi" w:cstheme="minorHAnsi"/>
          <w:sz w:val="22"/>
          <w:szCs w:val="22"/>
        </w:rPr>
      </w:pPr>
    </w:p>
    <w:p w14:paraId="0229F245" w14:textId="712147C4" w:rsidR="005C5731" w:rsidRPr="00BC50CE" w:rsidRDefault="005C5731" w:rsidP="00BC50CE">
      <w:pPr>
        <w:pStyle w:val="Prrafodelista"/>
        <w:numPr>
          <w:ilvl w:val="0"/>
          <w:numId w:val="13"/>
        </w:numPr>
        <w:ind w:left="426"/>
        <w:contextualSpacing/>
        <w:jc w:val="both"/>
        <w:rPr>
          <w:rFonts w:asciiTheme="minorHAnsi" w:hAnsiTheme="minorHAnsi" w:cstheme="minorHAnsi"/>
          <w:b/>
          <w:sz w:val="22"/>
          <w:szCs w:val="22"/>
        </w:rPr>
      </w:pPr>
      <w:r w:rsidRPr="00BC50CE">
        <w:rPr>
          <w:rFonts w:asciiTheme="minorHAnsi" w:hAnsiTheme="minorHAnsi" w:cstheme="minorHAnsi"/>
          <w:b/>
          <w:sz w:val="22"/>
          <w:szCs w:val="22"/>
        </w:rPr>
        <w:t xml:space="preserve">Acuerdo de la OPEP+ alcanzado a finales de 2022 se mantendría durante el resto del año, según declaraciones del ministro de Energía de Arabia Saudita </w:t>
      </w:r>
    </w:p>
    <w:p w14:paraId="1E400375" w14:textId="77777777" w:rsidR="005C5731" w:rsidRPr="005C5731" w:rsidRDefault="005C5731" w:rsidP="005C5731">
      <w:pPr>
        <w:pStyle w:val="Prrafodelista"/>
        <w:ind w:left="426"/>
        <w:jc w:val="both"/>
        <w:rPr>
          <w:rFonts w:asciiTheme="minorHAnsi" w:hAnsiTheme="minorHAnsi" w:cstheme="minorHAnsi"/>
          <w:sz w:val="22"/>
          <w:szCs w:val="22"/>
        </w:rPr>
      </w:pPr>
    </w:p>
    <w:p w14:paraId="18D15070" w14:textId="77777777" w:rsidR="005C5731" w:rsidRPr="005C5731" w:rsidRDefault="005C5731" w:rsidP="005C5731">
      <w:pPr>
        <w:pStyle w:val="Prrafodelista"/>
        <w:ind w:left="426"/>
        <w:jc w:val="both"/>
        <w:rPr>
          <w:rFonts w:asciiTheme="minorHAnsi" w:hAnsiTheme="minorHAnsi" w:cstheme="minorHAnsi"/>
          <w:sz w:val="22"/>
          <w:szCs w:val="22"/>
        </w:rPr>
      </w:pPr>
      <w:r w:rsidRPr="005C5731">
        <w:rPr>
          <w:rFonts w:asciiTheme="minorHAnsi" w:hAnsiTheme="minorHAnsi" w:cstheme="minorHAnsi"/>
          <w:sz w:val="22"/>
          <w:szCs w:val="22"/>
        </w:rPr>
        <w:t>La alianza OPEP+ tendría previsto mantener durante el resto del año el acuerdo petrolero de su reunión de octubre de 2022, según declaraciones del ministro de Energía de Arabia Saudita, reforzando así las anteriores señales del grupo.</w:t>
      </w:r>
    </w:p>
    <w:p w14:paraId="31079442" w14:textId="77777777" w:rsidR="005C5731" w:rsidRPr="005C5731" w:rsidRDefault="005C5731" w:rsidP="005C5731">
      <w:pPr>
        <w:pStyle w:val="Prrafodelista"/>
        <w:ind w:left="426"/>
        <w:jc w:val="both"/>
        <w:rPr>
          <w:rFonts w:asciiTheme="minorHAnsi" w:hAnsiTheme="minorHAnsi" w:cstheme="minorHAnsi"/>
          <w:sz w:val="22"/>
          <w:szCs w:val="22"/>
        </w:rPr>
      </w:pPr>
    </w:p>
    <w:p w14:paraId="0ACF6AF7" w14:textId="77777777" w:rsidR="005C5731" w:rsidRPr="005C5731" w:rsidRDefault="005C5731" w:rsidP="005C5731">
      <w:pPr>
        <w:pStyle w:val="Prrafodelista"/>
        <w:ind w:left="426"/>
        <w:jc w:val="both"/>
        <w:rPr>
          <w:rFonts w:asciiTheme="minorHAnsi" w:hAnsiTheme="minorHAnsi" w:cstheme="minorHAnsi"/>
          <w:sz w:val="22"/>
          <w:szCs w:val="22"/>
        </w:rPr>
      </w:pPr>
      <w:r w:rsidRPr="005C5731">
        <w:rPr>
          <w:rFonts w:asciiTheme="minorHAnsi" w:hAnsiTheme="minorHAnsi" w:cstheme="minorHAnsi"/>
          <w:sz w:val="22"/>
          <w:szCs w:val="22"/>
        </w:rPr>
        <w:t>En aquella reunión, la OPEP y sus socios decidieron asignar objetivos fijos de producción para todo un año. Los principales funcionarios han indicado que tienen la intención de mantener las cuotas sin cambios a lo largo de 2023.</w:t>
      </w:r>
    </w:p>
    <w:p w14:paraId="5247480B" w14:textId="77777777" w:rsidR="005C5731" w:rsidRPr="005C5731" w:rsidRDefault="005C5731" w:rsidP="005C5731">
      <w:pPr>
        <w:pStyle w:val="Prrafodelista"/>
        <w:ind w:left="426"/>
        <w:jc w:val="both"/>
        <w:rPr>
          <w:rFonts w:asciiTheme="minorHAnsi" w:hAnsiTheme="minorHAnsi" w:cstheme="minorHAnsi"/>
          <w:sz w:val="22"/>
          <w:szCs w:val="22"/>
        </w:rPr>
      </w:pPr>
    </w:p>
    <w:p w14:paraId="13A39E52" w14:textId="77777777" w:rsidR="005C5731" w:rsidRPr="005C5731" w:rsidRDefault="005C5731" w:rsidP="005C5731">
      <w:pPr>
        <w:pStyle w:val="Prrafodelista"/>
        <w:ind w:left="426"/>
        <w:jc w:val="both"/>
        <w:rPr>
          <w:rFonts w:asciiTheme="minorHAnsi" w:hAnsiTheme="minorHAnsi" w:cstheme="minorHAnsi"/>
          <w:sz w:val="22"/>
          <w:szCs w:val="22"/>
        </w:rPr>
      </w:pPr>
      <w:r w:rsidRPr="005C5731">
        <w:rPr>
          <w:rFonts w:asciiTheme="minorHAnsi" w:hAnsiTheme="minorHAnsi" w:cstheme="minorHAnsi"/>
          <w:sz w:val="22"/>
          <w:szCs w:val="22"/>
        </w:rPr>
        <w:t>Por otro lado, los Emiratos Árabes Unidos, otra nación clave de la OPEP, también sugirió que hay poca necesidad de que el grupo cambie de rumbo. La oferta y la demanda mundiales de petróleo están equilibradas, con inventarios cómodos y el nivel de los precios del crudo son “un testimonio del equilibrio”, declaró su ministro de Energía, en Dubái.</w:t>
      </w:r>
    </w:p>
    <w:p w14:paraId="06FD7ED8" w14:textId="77777777" w:rsidR="005C5731" w:rsidRPr="005C5731" w:rsidRDefault="005C5731" w:rsidP="005C5731">
      <w:pPr>
        <w:pStyle w:val="Prrafodelista"/>
        <w:ind w:left="426"/>
        <w:jc w:val="both"/>
        <w:rPr>
          <w:rFonts w:asciiTheme="minorHAnsi" w:hAnsiTheme="minorHAnsi" w:cstheme="minorHAnsi"/>
          <w:sz w:val="22"/>
          <w:szCs w:val="22"/>
        </w:rPr>
      </w:pPr>
    </w:p>
    <w:p w14:paraId="45F7C9C8" w14:textId="3F1F3EE7" w:rsidR="005C5731" w:rsidRPr="00BC50CE" w:rsidRDefault="005C5731" w:rsidP="00BC50CE">
      <w:pPr>
        <w:pStyle w:val="Prrafodelista"/>
        <w:numPr>
          <w:ilvl w:val="0"/>
          <w:numId w:val="13"/>
        </w:numPr>
        <w:ind w:left="426"/>
        <w:contextualSpacing/>
        <w:jc w:val="both"/>
        <w:rPr>
          <w:rFonts w:asciiTheme="minorHAnsi" w:hAnsiTheme="minorHAnsi" w:cstheme="minorHAnsi"/>
          <w:b/>
          <w:sz w:val="22"/>
          <w:szCs w:val="22"/>
        </w:rPr>
      </w:pPr>
      <w:r w:rsidRPr="00BC50CE">
        <w:rPr>
          <w:rFonts w:asciiTheme="minorHAnsi" w:hAnsiTheme="minorHAnsi" w:cstheme="minorHAnsi"/>
          <w:b/>
          <w:sz w:val="22"/>
          <w:szCs w:val="22"/>
        </w:rPr>
        <w:t xml:space="preserve">La reanudación de los flujos de crudo desde el oleoducto iraquí hacia el centro de exportaciones y de las exportaciones de petróleo azerbaiyano desde la terminal turca de </w:t>
      </w:r>
      <w:proofErr w:type="spellStart"/>
      <w:r w:rsidRPr="00BC50CE">
        <w:rPr>
          <w:rFonts w:asciiTheme="minorHAnsi" w:hAnsiTheme="minorHAnsi" w:cstheme="minorHAnsi"/>
          <w:b/>
          <w:sz w:val="22"/>
          <w:szCs w:val="22"/>
        </w:rPr>
        <w:t>Ceyhan</w:t>
      </w:r>
      <w:proofErr w:type="spellEnd"/>
      <w:r w:rsidRPr="00BC50CE">
        <w:rPr>
          <w:rFonts w:asciiTheme="minorHAnsi" w:hAnsiTheme="minorHAnsi" w:cstheme="minorHAnsi"/>
          <w:b/>
          <w:sz w:val="22"/>
          <w:szCs w:val="22"/>
        </w:rPr>
        <w:t>, después de las interrupciones causadas por los terremotos en Turquía y Siria.</w:t>
      </w:r>
    </w:p>
    <w:p w14:paraId="4E04E907" w14:textId="77777777" w:rsidR="005C5731" w:rsidRPr="005C5731" w:rsidRDefault="005C5731" w:rsidP="005C5731">
      <w:pPr>
        <w:pStyle w:val="Prrafodelista"/>
        <w:ind w:left="426"/>
        <w:jc w:val="both"/>
        <w:rPr>
          <w:rFonts w:asciiTheme="minorHAnsi" w:hAnsiTheme="minorHAnsi" w:cstheme="minorHAnsi"/>
          <w:sz w:val="22"/>
          <w:szCs w:val="22"/>
        </w:rPr>
      </w:pPr>
    </w:p>
    <w:p w14:paraId="2D6C968C" w14:textId="77777777" w:rsidR="005C5731" w:rsidRPr="005C5731" w:rsidRDefault="005C5731" w:rsidP="005C5731">
      <w:pPr>
        <w:pStyle w:val="Prrafodelista"/>
        <w:ind w:left="426"/>
        <w:jc w:val="both"/>
        <w:rPr>
          <w:rFonts w:asciiTheme="minorHAnsi" w:hAnsiTheme="minorHAnsi" w:cstheme="minorHAnsi"/>
          <w:sz w:val="22"/>
          <w:szCs w:val="22"/>
        </w:rPr>
      </w:pPr>
      <w:r w:rsidRPr="005C5731">
        <w:rPr>
          <w:rFonts w:asciiTheme="minorHAnsi" w:hAnsiTheme="minorHAnsi" w:cstheme="minorHAnsi"/>
          <w:sz w:val="22"/>
          <w:szCs w:val="22"/>
        </w:rPr>
        <w:t xml:space="preserve">Los terremotos ocurridos el lunes 6 de febrero en Turquía y Siria interrumpieron los flujos de crudo procedentes de Irak y Azerbaiyán desde </w:t>
      </w:r>
      <w:proofErr w:type="spellStart"/>
      <w:r w:rsidRPr="005C5731">
        <w:rPr>
          <w:rFonts w:asciiTheme="minorHAnsi" w:hAnsiTheme="minorHAnsi" w:cstheme="minorHAnsi"/>
          <w:sz w:val="22"/>
          <w:szCs w:val="22"/>
        </w:rPr>
        <w:t>Ceyhan</w:t>
      </w:r>
      <w:proofErr w:type="spellEnd"/>
      <w:r w:rsidRPr="005C5731">
        <w:rPr>
          <w:rFonts w:asciiTheme="minorHAnsi" w:hAnsiTheme="minorHAnsi" w:cstheme="minorHAnsi"/>
          <w:sz w:val="22"/>
          <w:szCs w:val="22"/>
        </w:rPr>
        <w:t xml:space="preserve">. Las operaciones en la terminal turca de exportación de petróleo de 1 millón de barriles diarios (bpd) de </w:t>
      </w:r>
      <w:proofErr w:type="spellStart"/>
      <w:r w:rsidRPr="005C5731">
        <w:rPr>
          <w:rFonts w:asciiTheme="minorHAnsi" w:hAnsiTheme="minorHAnsi" w:cstheme="minorHAnsi"/>
          <w:sz w:val="22"/>
          <w:szCs w:val="22"/>
        </w:rPr>
        <w:t>Ceyhan</w:t>
      </w:r>
      <w:proofErr w:type="spellEnd"/>
      <w:r w:rsidRPr="005C5731">
        <w:rPr>
          <w:rFonts w:asciiTheme="minorHAnsi" w:hAnsiTheme="minorHAnsi" w:cstheme="minorHAnsi"/>
          <w:sz w:val="22"/>
          <w:szCs w:val="22"/>
        </w:rPr>
        <w:t xml:space="preserve"> se suspendieron debido a que sufrió serios daños por el fuerte terremoto que sacudió la región.</w:t>
      </w:r>
    </w:p>
    <w:p w14:paraId="39D84D01" w14:textId="77777777" w:rsidR="005C5731" w:rsidRPr="005C5731" w:rsidRDefault="005C5731" w:rsidP="005C5731">
      <w:pPr>
        <w:pStyle w:val="Prrafodelista"/>
        <w:ind w:left="426"/>
        <w:jc w:val="both"/>
        <w:rPr>
          <w:rFonts w:asciiTheme="minorHAnsi" w:hAnsiTheme="minorHAnsi" w:cstheme="minorHAnsi"/>
          <w:sz w:val="22"/>
          <w:szCs w:val="22"/>
        </w:rPr>
      </w:pPr>
    </w:p>
    <w:p w14:paraId="5FEDA13E" w14:textId="19E110BD" w:rsidR="001A76BF" w:rsidRPr="005C5731" w:rsidRDefault="005C5731" w:rsidP="005C5731">
      <w:pPr>
        <w:pStyle w:val="Prrafodelista"/>
        <w:ind w:left="426"/>
        <w:jc w:val="both"/>
        <w:rPr>
          <w:rFonts w:asciiTheme="minorHAnsi" w:hAnsiTheme="minorHAnsi" w:cstheme="minorHAnsi"/>
          <w:sz w:val="22"/>
          <w:szCs w:val="22"/>
        </w:rPr>
      </w:pPr>
      <w:r w:rsidRPr="005C5731">
        <w:rPr>
          <w:rFonts w:asciiTheme="minorHAnsi" w:hAnsiTheme="minorHAnsi" w:cstheme="minorHAnsi"/>
          <w:sz w:val="22"/>
          <w:szCs w:val="22"/>
        </w:rPr>
        <w:lastRenderedPageBreak/>
        <w:t>La terminal turca es el punto de almacenamiento y carga de los oleoductos que transportan petróleo desde Azerbaiyán e Irak.</w:t>
      </w:r>
      <w:r w:rsidR="001A76BF">
        <w:rPr>
          <w:rFonts w:asciiTheme="minorHAnsi" w:hAnsiTheme="minorHAnsi" w:cstheme="minorHAnsi"/>
          <w:sz w:val="22"/>
          <w:szCs w:val="22"/>
        </w:rPr>
        <w:t xml:space="preserve"> Sin embargo, </w:t>
      </w:r>
      <w:r w:rsidR="001A76BF" w:rsidRPr="001A76BF">
        <w:rPr>
          <w:rFonts w:asciiTheme="minorHAnsi" w:hAnsiTheme="minorHAnsi" w:cstheme="minorHAnsi"/>
          <w:sz w:val="22"/>
          <w:szCs w:val="22"/>
        </w:rPr>
        <w:t>la reanudación</w:t>
      </w:r>
      <w:r w:rsidR="001A76BF">
        <w:rPr>
          <w:rFonts w:asciiTheme="minorHAnsi" w:hAnsiTheme="minorHAnsi" w:cstheme="minorHAnsi"/>
          <w:sz w:val="22"/>
          <w:szCs w:val="22"/>
        </w:rPr>
        <w:t xml:space="preserve"> del terminal </w:t>
      </w:r>
      <w:r w:rsidR="001A76BF" w:rsidRPr="001A76BF">
        <w:rPr>
          <w:rFonts w:asciiTheme="minorHAnsi" w:hAnsiTheme="minorHAnsi" w:cstheme="minorHAnsi"/>
          <w:sz w:val="22"/>
          <w:szCs w:val="22"/>
        </w:rPr>
        <w:t xml:space="preserve">el domingo </w:t>
      </w:r>
      <w:r w:rsidR="001A76BF">
        <w:rPr>
          <w:rFonts w:asciiTheme="minorHAnsi" w:hAnsiTheme="minorHAnsi" w:cstheme="minorHAnsi"/>
          <w:sz w:val="22"/>
          <w:szCs w:val="22"/>
        </w:rPr>
        <w:t xml:space="preserve">12 de febrero y </w:t>
      </w:r>
      <w:r w:rsidR="001A76BF" w:rsidRPr="001A76BF">
        <w:rPr>
          <w:rFonts w:asciiTheme="minorHAnsi" w:hAnsiTheme="minorHAnsi" w:cstheme="minorHAnsi"/>
          <w:sz w:val="22"/>
          <w:szCs w:val="22"/>
        </w:rPr>
        <w:t>de las exportaciones de petróleo alivió en cierta medida la preocupación por la oferta.</w:t>
      </w:r>
    </w:p>
    <w:p w14:paraId="6B6132B9" w14:textId="77777777" w:rsidR="005C5731" w:rsidRPr="005C5731" w:rsidRDefault="005C5731" w:rsidP="005C5731">
      <w:pPr>
        <w:pStyle w:val="Prrafodelista"/>
        <w:ind w:left="426"/>
        <w:jc w:val="both"/>
        <w:rPr>
          <w:rFonts w:asciiTheme="minorHAnsi" w:hAnsiTheme="minorHAnsi" w:cstheme="minorHAnsi"/>
          <w:sz w:val="22"/>
          <w:szCs w:val="22"/>
        </w:rPr>
      </w:pPr>
    </w:p>
    <w:p w14:paraId="0AE3E1B1" w14:textId="25E66A40" w:rsidR="005C5731" w:rsidRPr="00BC50CE" w:rsidRDefault="005C5731" w:rsidP="00BC50CE">
      <w:pPr>
        <w:pStyle w:val="Prrafodelista"/>
        <w:numPr>
          <w:ilvl w:val="0"/>
          <w:numId w:val="13"/>
        </w:numPr>
        <w:ind w:left="426"/>
        <w:contextualSpacing/>
        <w:jc w:val="both"/>
        <w:rPr>
          <w:rFonts w:asciiTheme="minorHAnsi" w:hAnsiTheme="minorHAnsi" w:cstheme="minorHAnsi"/>
          <w:b/>
          <w:sz w:val="22"/>
          <w:szCs w:val="22"/>
        </w:rPr>
      </w:pPr>
      <w:r w:rsidRPr="00BC50CE">
        <w:rPr>
          <w:rFonts w:asciiTheme="minorHAnsi" w:hAnsiTheme="minorHAnsi" w:cstheme="minorHAnsi"/>
          <w:b/>
          <w:sz w:val="22"/>
          <w:szCs w:val="22"/>
        </w:rPr>
        <w:t>Aumento de la oferta rusa vía marítima a pesar de las sanciones de Occidente.</w:t>
      </w:r>
    </w:p>
    <w:p w14:paraId="6355E7CA" w14:textId="77777777" w:rsidR="005C5731" w:rsidRPr="005C5731" w:rsidRDefault="005C5731" w:rsidP="005C5731">
      <w:pPr>
        <w:pStyle w:val="Prrafodelista"/>
        <w:ind w:left="426"/>
        <w:jc w:val="both"/>
        <w:rPr>
          <w:rFonts w:asciiTheme="minorHAnsi" w:hAnsiTheme="minorHAnsi" w:cstheme="minorHAnsi"/>
          <w:sz w:val="22"/>
          <w:szCs w:val="22"/>
        </w:rPr>
      </w:pPr>
    </w:p>
    <w:p w14:paraId="71AA1BD4" w14:textId="77777777" w:rsidR="005C5731" w:rsidRPr="005C5731" w:rsidRDefault="005C5731" w:rsidP="005C5731">
      <w:pPr>
        <w:pStyle w:val="Prrafodelista"/>
        <w:ind w:left="426"/>
        <w:jc w:val="both"/>
        <w:rPr>
          <w:rFonts w:asciiTheme="minorHAnsi" w:hAnsiTheme="minorHAnsi" w:cstheme="minorHAnsi"/>
          <w:sz w:val="22"/>
          <w:szCs w:val="22"/>
        </w:rPr>
      </w:pPr>
      <w:r w:rsidRPr="005C5731">
        <w:rPr>
          <w:rFonts w:asciiTheme="minorHAnsi" w:hAnsiTheme="minorHAnsi" w:cstheme="minorHAnsi"/>
          <w:sz w:val="22"/>
          <w:szCs w:val="22"/>
        </w:rPr>
        <w:t xml:space="preserve">Durante las últimas semanas, el mercado se vio presionado por una fuerte oferta rusa a pesar de la prohibición de la Unión Europea y el tope de precios impuesto por el G7. Los precios de los crudos Urales registraron la semana pasada su primera pérdida semanal, en virtud que, dentro de la semana hasta el 27 de enero, Rusia aumentó sus exportaciones de petróleo en alta mar en 480 000 barriles por día (bpd) respecto a la semana anterior (+16%) llegando a 3,6 millones de bpd, según estimaciones de analistas de </w:t>
      </w:r>
      <w:proofErr w:type="spellStart"/>
      <w:r w:rsidRPr="005C5731">
        <w:rPr>
          <w:rFonts w:asciiTheme="minorHAnsi" w:hAnsiTheme="minorHAnsi" w:cstheme="minorHAnsi"/>
          <w:sz w:val="22"/>
          <w:szCs w:val="22"/>
        </w:rPr>
        <w:t>Bloomberg</w:t>
      </w:r>
      <w:proofErr w:type="spellEnd"/>
      <w:r w:rsidRPr="005C5731">
        <w:rPr>
          <w:rFonts w:asciiTheme="minorHAnsi" w:hAnsiTheme="minorHAnsi" w:cstheme="minorHAnsi"/>
          <w:sz w:val="22"/>
          <w:szCs w:val="22"/>
        </w:rPr>
        <w:t>, basadas en datos de tráfico de embarcaciones.</w:t>
      </w:r>
    </w:p>
    <w:p w14:paraId="25FA7FFD" w14:textId="77777777" w:rsidR="005C5731" w:rsidRPr="005C5731" w:rsidRDefault="005C5731" w:rsidP="005C5731">
      <w:pPr>
        <w:pStyle w:val="Prrafodelista"/>
        <w:ind w:left="426"/>
        <w:jc w:val="both"/>
        <w:rPr>
          <w:rFonts w:asciiTheme="minorHAnsi" w:hAnsiTheme="minorHAnsi" w:cstheme="minorHAnsi"/>
          <w:sz w:val="22"/>
          <w:szCs w:val="22"/>
        </w:rPr>
      </w:pPr>
    </w:p>
    <w:p w14:paraId="35C40F58" w14:textId="160CDD03" w:rsidR="00277E11" w:rsidRDefault="005C5731" w:rsidP="005C5731">
      <w:pPr>
        <w:pStyle w:val="Prrafodelista"/>
        <w:ind w:left="426"/>
        <w:jc w:val="both"/>
        <w:rPr>
          <w:rFonts w:asciiTheme="minorHAnsi" w:hAnsiTheme="minorHAnsi" w:cstheme="minorHAnsi"/>
          <w:sz w:val="22"/>
          <w:szCs w:val="22"/>
        </w:rPr>
      </w:pPr>
      <w:r w:rsidRPr="005C5731">
        <w:rPr>
          <w:rFonts w:asciiTheme="minorHAnsi" w:hAnsiTheme="minorHAnsi" w:cstheme="minorHAnsi"/>
          <w:sz w:val="22"/>
          <w:szCs w:val="22"/>
        </w:rPr>
        <w:t>China, India y Turquía actualmente son los tres mayores compradores de petróleo ruso. Asimismo, se desconocen los compradores de una parte importante de los suministros, dado que el número de petroleros que no muestran su destino final también está creciendo a medida que el comercio de barriles rusos se dinamiza.</w:t>
      </w:r>
    </w:p>
    <w:p w14:paraId="0B18F734" w14:textId="7A0F3A7D" w:rsidR="007F6458" w:rsidRPr="007F6458" w:rsidRDefault="007F6458" w:rsidP="007F6458">
      <w:pPr>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1"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1"/>
    <w:p w14:paraId="475EEA7C" w14:textId="7AE77B42" w:rsidR="008A748B" w:rsidRDefault="00303B42" w:rsidP="00F02322">
      <w:pPr>
        <w:pStyle w:val="Textonotapie"/>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t>Según</w:t>
      </w:r>
      <w:r w:rsidR="008A748B" w:rsidRPr="00FD6B4B">
        <w:rPr>
          <w:rFonts w:asciiTheme="minorHAnsi" w:hAnsiTheme="minorHAnsi" w:cstheme="minorHAnsi"/>
          <w:sz w:val="22"/>
          <w:szCs w:val="22"/>
        </w:rPr>
        <w:t xml:space="preserve"> el </w:t>
      </w:r>
      <w:hyperlink r:id="rId11" w:history="1">
        <w:r w:rsidR="008A748B" w:rsidRPr="00FD6B4B">
          <w:rPr>
            <w:rFonts w:asciiTheme="minorHAnsi" w:hAnsiTheme="minorHAnsi" w:cstheme="minorHAnsi"/>
            <w:sz w:val="22"/>
            <w:szCs w:val="22"/>
          </w:rPr>
          <w:t>Decreto Supremo N° 02</w:t>
        </w:r>
        <w:r w:rsidR="003A1313" w:rsidRPr="00FD6B4B">
          <w:rPr>
            <w:rFonts w:asciiTheme="minorHAnsi" w:hAnsiTheme="minorHAnsi" w:cstheme="minorHAnsi"/>
            <w:sz w:val="22"/>
            <w:szCs w:val="22"/>
          </w:rPr>
          <w:t>5</w:t>
        </w:r>
        <w:r w:rsidR="008A748B" w:rsidRPr="00FD6B4B">
          <w:rPr>
            <w:rFonts w:asciiTheme="minorHAnsi" w:hAnsiTheme="minorHAnsi" w:cstheme="minorHAnsi"/>
            <w:sz w:val="22"/>
            <w:szCs w:val="22"/>
          </w:rPr>
          <w:t>-2021-EM</w:t>
        </w:r>
      </w:hyperlink>
      <w:r w:rsidR="008A748B" w:rsidRPr="00FD6B4B">
        <w:rPr>
          <w:rFonts w:asciiTheme="minorHAnsi" w:hAnsiTheme="minorHAnsi" w:cstheme="minorHAnsi"/>
          <w:sz w:val="22"/>
          <w:szCs w:val="22"/>
        </w:rPr>
        <w:t xml:space="preserve"> publicado el </w:t>
      </w:r>
      <w:r w:rsidR="003A1313" w:rsidRPr="00FD6B4B">
        <w:rPr>
          <w:rFonts w:asciiTheme="minorHAnsi" w:hAnsiTheme="minorHAnsi" w:cstheme="minorHAnsi"/>
          <w:sz w:val="22"/>
          <w:szCs w:val="22"/>
        </w:rPr>
        <w:t>09</w:t>
      </w:r>
      <w:r w:rsidR="008A748B" w:rsidRPr="00FD6B4B">
        <w:rPr>
          <w:rFonts w:asciiTheme="minorHAnsi" w:hAnsiTheme="minorHAnsi" w:cstheme="minorHAnsi"/>
          <w:sz w:val="22"/>
          <w:szCs w:val="22"/>
        </w:rPr>
        <w:t>.</w:t>
      </w:r>
      <w:r w:rsidR="003A1313" w:rsidRPr="00FD6B4B">
        <w:rPr>
          <w:rFonts w:asciiTheme="minorHAnsi" w:hAnsiTheme="minorHAnsi" w:cstheme="minorHAnsi"/>
          <w:sz w:val="22"/>
          <w:szCs w:val="22"/>
        </w:rPr>
        <w:t>11</w:t>
      </w:r>
      <w:r w:rsidR="008A748B" w:rsidRPr="00FD6B4B">
        <w:rPr>
          <w:rFonts w:asciiTheme="minorHAnsi" w:hAnsiTheme="minorHAnsi" w:cstheme="minorHAnsi"/>
          <w:sz w:val="22"/>
          <w:szCs w:val="22"/>
        </w:rPr>
        <w:t xml:space="preserve">.2021 en el Diario Oficial «El Peruano», se incluyó al </w:t>
      </w:r>
      <w:proofErr w:type="spellStart"/>
      <w:r w:rsidR="00FD6B4B" w:rsidRPr="00FD6B4B">
        <w:rPr>
          <w:rFonts w:asciiTheme="minorHAnsi" w:hAnsiTheme="minorHAnsi" w:cstheme="minorHAnsi"/>
          <w:sz w:val="22"/>
          <w:szCs w:val="22"/>
        </w:rPr>
        <w:t>Diesel</w:t>
      </w:r>
      <w:proofErr w:type="spellEnd"/>
      <w:r w:rsidR="00FD6B4B" w:rsidRPr="00FD6B4B">
        <w:rPr>
          <w:rFonts w:asciiTheme="minorHAnsi" w:hAnsiTheme="minorHAnsi" w:cstheme="minorHAnsi"/>
          <w:sz w:val="22"/>
          <w:szCs w:val="22"/>
        </w:rPr>
        <w:t xml:space="preserve"> BX destinado al uso vehicular en </w:t>
      </w:r>
      <w:r w:rsidR="008A748B" w:rsidRPr="00FD6B4B">
        <w:rPr>
          <w:rFonts w:asciiTheme="minorHAnsi" w:hAnsiTheme="minorHAnsi" w:cstheme="minorHAnsi"/>
          <w:sz w:val="22"/>
          <w:szCs w:val="22"/>
        </w:rPr>
        <w:t>la lista de productos afectos al FEPC.</w:t>
      </w:r>
    </w:p>
    <w:p w14:paraId="4A22C02B" w14:textId="77777777" w:rsidR="00FD6B4B" w:rsidRDefault="00FD6B4B" w:rsidP="00F02322">
      <w:pPr>
        <w:pStyle w:val="Prrafodelista"/>
        <w:ind w:left="568" w:hanging="426"/>
        <w:rPr>
          <w:rFonts w:asciiTheme="minorHAnsi" w:hAnsiTheme="minorHAnsi" w:cstheme="minorHAnsi"/>
          <w:sz w:val="22"/>
          <w:szCs w:val="22"/>
        </w:rPr>
      </w:pPr>
    </w:p>
    <w:p w14:paraId="4824E2EF" w14:textId="16F88408" w:rsidR="00FD6B4B" w:rsidRDefault="00FD6B4B" w:rsidP="00F02322">
      <w:pPr>
        <w:pStyle w:val="Textonotapie"/>
        <w:numPr>
          <w:ilvl w:val="0"/>
          <w:numId w:val="2"/>
        </w:numPr>
        <w:spacing w:before="0" w:after="0"/>
        <w:ind w:left="568" w:hanging="426"/>
        <w:rPr>
          <w:rFonts w:asciiTheme="minorHAnsi" w:hAnsiTheme="minorHAnsi" w:cstheme="minorHAnsi"/>
          <w:sz w:val="22"/>
          <w:szCs w:val="22"/>
        </w:rPr>
      </w:pPr>
      <w:r w:rsidRPr="00422783">
        <w:rPr>
          <w:rFonts w:asciiTheme="minorHAnsi" w:hAnsiTheme="minorHAnsi" w:cstheme="minorHAnsi"/>
          <w:sz w:val="22"/>
          <w:szCs w:val="22"/>
        </w:rPr>
        <w:t>Mediante el </w:t>
      </w:r>
      <w:hyperlink r:id="rId12" w:history="1">
        <w:r w:rsidRPr="00422783">
          <w:rPr>
            <w:rFonts w:asciiTheme="minorHAnsi" w:hAnsiTheme="minorHAnsi" w:cstheme="minorHAnsi"/>
            <w:sz w:val="22"/>
            <w:szCs w:val="22"/>
          </w:rPr>
          <w:t>Decreto Supremo N° 002-2022-EM</w:t>
        </w:r>
      </w:hyperlink>
      <w:r w:rsidRPr="00422783">
        <w:rPr>
          <w:rFonts w:asciiTheme="minorHAnsi" w:hAnsiTheme="minorHAnsi" w:cstheme="minorHAnsi"/>
          <w:sz w:val="22"/>
          <w:szCs w:val="22"/>
        </w:rPr>
        <w:t xml:space="preserve"> publicado el </w:t>
      </w:r>
      <w:r w:rsidR="00422783" w:rsidRPr="00422783">
        <w:rPr>
          <w:rFonts w:asciiTheme="minorHAnsi" w:hAnsiTheme="minorHAnsi" w:cstheme="minorHAnsi"/>
          <w:sz w:val="22"/>
          <w:szCs w:val="22"/>
        </w:rPr>
        <w:t>28</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03</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2022</w:t>
      </w:r>
      <w:r w:rsidRPr="00422783">
        <w:rPr>
          <w:rFonts w:asciiTheme="minorHAnsi" w:hAnsiTheme="minorHAnsi" w:cstheme="minorHAnsi"/>
          <w:sz w:val="22"/>
          <w:szCs w:val="22"/>
        </w:rPr>
        <w:t xml:space="preserve"> en el Diario Oficial «El Peruano», se incluyó </w:t>
      </w:r>
      <w:r w:rsidR="00422783" w:rsidRPr="00422783">
        <w:rPr>
          <w:rFonts w:asciiTheme="minorHAnsi" w:hAnsiTheme="minorHAnsi" w:cstheme="minorHAnsi"/>
          <w:sz w:val="22"/>
          <w:szCs w:val="22"/>
        </w:rPr>
        <w:t xml:space="preserve">a las Gasolinas de 84 y 90 octanos, al Gasohol de 84 octanos y al Gas Licuado de Petróleo destinado para </w:t>
      </w:r>
      <w:r w:rsidR="00567AE0">
        <w:rPr>
          <w:rFonts w:asciiTheme="minorHAnsi" w:hAnsiTheme="minorHAnsi" w:cstheme="minorHAnsi"/>
          <w:sz w:val="22"/>
          <w:szCs w:val="22"/>
        </w:rPr>
        <w:t>g</w:t>
      </w:r>
      <w:r w:rsidR="00422783" w:rsidRPr="00422783">
        <w:rPr>
          <w:rFonts w:asciiTheme="minorHAnsi" w:hAnsiTheme="minorHAnsi" w:cstheme="minorHAnsi"/>
          <w:sz w:val="22"/>
          <w:szCs w:val="22"/>
        </w:rPr>
        <w:t xml:space="preserve">ranel (GLP-G), </w:t>
      </w:r>
      <w:r w:rsidRPr="00422783">
        <w:rPr>
          <w:rFonts w:asciiTheme="minorHAnsi" w:hAnsiTheme="minorHAnsi" w:cstheme="minorHAnsi"/>
          <w:sz w:val="22"/>
          <w:szCs w:val="22"/>
        </w:rPr>
        <w:t>en la lista de productos afectos al FEPC</w:t>
      </w:r>
      <w:r w:rsidR="009427C6">
        <w:rPr>
          <w:rFonts w:asciiTheme="minorHAnsi" w:hAnsiTheme="minorHAnsi" w:cstheme="minorHAnsi"/>
          <w:sz w:val="22"/>
          <w:szCs w:val="22"/>
        </w:rPr>
        <w:t>.</w:t>
      </w:r>
      <w:r w:rsidR="00422783" w:rsidRPr="00422783">
        <w:rPr>
          <w:rFonts w:asciiTheme="minorHAnsi" w:hAnsiTheme="minorHAnsi" w:cstheme="minorHAnsi"/>
          <w:sz w:val="22"/>
          <w:szCs w:val="22"/>
        </w:rPr>
        <w:t xml:space="preserve"> Dicha inclusión se realiz</w:t>
      </w:r>
      <w:r w:rsidR="003C6C63">
        <w:rPr>
          <w:rFonts w:asciiTheme="minorHAnsi" w:hAnsiTheme="minorHAnsi" w:cstheme="minorHAnsi"/>
          <w:sz w:val="22"/>
          <w:szCs w:val="22"/>
        </w:rPr>
        <w:t>ó</w:t>
      </w:r>
      <w:r w:rsidR="00422783" w:rsidRPr="00422783">
        <w:rPr>
          <w:rFonts w:asciiTheme="minorHAnsi" w:hAnsiTheme="minorHAnsi" w:cstheme="minorHAnsi"/>
          <w:sz w:val="22"/>
          <w:szCs w:val="22"/>
        </w:rPr>
        <w:t xml:space="preserve"> por un plazo de noventa (90) días calendario, contado</w:t>
      </w:r>
      <w:r w:rsidR="00303B42">
        <w:rPr>
          <w:rFonts w:asciiTheme="minorHAnsi" w:hAnsiTheme="minorHAnsi" w:cstheme="minorHAnsi"/>
          <w:sz w:val="22"/>
          <w:szCs w:val="22"/>
        </w:rPr>
        <w:t>s</w:t>
      </w:r>
      <w:r w:rsidR="00422783" w:rsidRPr="00422783">
        <w:rPr>
          <w:rFonts w:asciiTheme="minorHAnsi" w:hAnsiTheme="minorHAnsi" w:cstheme="minorHAnsi"/>
          <w:sz w:val="22"/>
          <w:szCs w:val="22"/>
        </w:rPr>
        <w:t xml:space="preserve"> a partir de la entrada en vigencia de </w:t>
      </w:r>
      <w:r w:rsidR="003C6C63">
        <w:rPr>
          <w:rFonts w:asciiTheme="minorHAnsi" w:hAnsiTheme="minorHAnsi" w:cstheme="minorHAnsi"/>
          <w:sz w:val="22"/>
          <w:szCs w:val="22"/>
        </w:rPr>
        <w:t>dicha Norma</w:t>
      </w:r>
      <w:r w:rsidR="00422783" w:rsidRPr="00422783">
        <w:rPr>
          <w:rFonts w:asciiTheme="minorHAnsi" w:hAnsiTheme="minorHAnsi" w:cstheme="minorHAnsi"/>
          <w:sz w:val="22"/>
          <w:szCs w:val="22"/>
        </w:rPr>
        <w:t>.</w:t>
      </w:r>
    </w:p>
    <w:p w14:paraId="797D6CA1" w14:textId="77777777" w:rsidR="00313709" w:rsidRDefault="00313709" w:rsidP="00F02322">
      <w:pPr>
        <w:pStyle w:val="Textonotapie"/>
        <w:spacing w:before="0" w:after="0"/>
        <w:ind w:left="568" w:hanging="426"/>
        <w:rPr>
          <w:rFonts w:asciiTheme="minorHAnsi" w:hAnsiTheme="minorHAnsi" w:cstheme="minorHAnsi"/>
          <w:sz w:val="22"/>
          <w:szCs w:val="22"/>
        </w:rPr>
      </w:pPr>
    </w:p>
    <w:p w14:paraId="3F78A2E0" w14:textId="0BEAEC8B" w:rsidR="0020425C" w:rsidRDefault="003C6C63" w:rsidP="00F02322">
      <w:pPr>
        <w:pStyle w:val="Textonotapie"/>
        <w:numPr>
          <w:ilvl w:val="0"/>
          <w:numId w:val="2"/>
        </w:numPr>
        <w:spacing w:before="0" w:after="0"/>
        <w:ind w:left="568" w:hanging="426"/>
        <w:rPr>
          <w:rFonts w:asciiTheme="minorHAnsi" w:hAnsiTheme="minorHAnsi" w:cstheme="minorHAnsi"/>
          <w:sz w:val="22"/>
          <w:szCs w:val="22"/>
        </w:rPr>
      </w:pPr>
      <w:r w:rsidRPr="0020425C">
        <w:rPr>
          <w:rFonts w:asciiTheme="minorHAnsi" w:hAnsiTheme="minorHAnsi" w:cstheme="minorHAnsi"/>
          <w:sz w:val="22"/>
          <w:szCs w:val="22"/>
        </w:rPr>
        <w:t>Asimis</w:t>
      </w:r>
      <w:r w:rsidR="00303B42" w:rsidRPr="0020425C">
        <w:rPr>
          <w:rFonts w:asciiTheme="minorHAnsi" w:hAnsiTheme="minorHAnsi" w:cstheme="minorHAnsi"/>
          <w:sz w:val="22"/>
          <w:szCs w:val="22"/>
        </w:rPr>
        <w:t>mo, mediante el Decreto Supremo</w:t>
      </w:r>
      <w:r w:rsidRPr="0020425C">
        <w:rPr>
          <w:rFonts w:asciiTheme="minorHAnsi" w:hAnsiTheme="minorHAnsi" w:cstheme="minorHAnsi"/>
          <w:sz w:val="22"/>
          <w:szCs w:val="22"/>
        </w:rPr>
        <w:t xml:space="preserve"> N° 002-2022-EM, se incluyó al </w:t>
      </w:r>
      <w:r w:rsidR="00955351" w:rsidRPr="0020425C">
        <w:rPr>
          <w:rFonts w:asciiTheme="minorHAnsi" w:hAnsiTheme="minorHAnsi" w:cstheme="minorHAnsi"/>
          <w:sz w:val="22"/>
          <w:szCs w:val="22"/>
        </w:rPr>
        <w:t>Diésel</w:t>
      </w:r>
      <w:r w:rsidRPr="0020425C">
        <w:rPr>
          <w:rFonts w:asciiTheme="minorHAnsi" w:hAnsiTheme="minorHAnsi" w:cstheme="minorHAnsi"/>
          <w:sz w:val="22"/>
          <w:szCs w:val="22"/>
        </w:rPr>
        <w:t xml:space="preserve"> 2 destinado al uso vehicular, en la lista de productos afectos al FEPC</w:t>
      </w:r>
      <w:r w:rsidR="009427C6" w:rsidRPr="0020425C">
        <w:rPr>
          <w:rFonts w:asciiTheme="minorHAnsi" w:hAnsiTheme="minorHAnsi" w:cstheme="minorHAnsi"/>
          <w:sz w:val="22"/>
          <w:szCs w:val="22"/>
        </w:rPr>
        <w:t>. Dicha inclusión se realiz</w:t>
      </w:r>
      <w:r w:rsidR="00567AE0" w:rsidRPr="0020425C">
        <w:rPr>
          <w:rFonts w:asciiTheme="minorHAnsi" w:hAnsiTheme="minorHAnsi" w:cstheme="minorHAnsi"/>
          <w:sz w:val="22"/>
          <w:szCs w:val="22"/>
        </w:rPr>
        <w:t>ó</w:t>
      </w:r>
      <w:r w:rsidR="009427C6" w:rsidRPr="0020425C">
        <w:rPr>
          <w:rFonts w:asciiTheme="minorHAnsi" w:hAnsiTheme="minorHAnsi" w:cstheme="minorHAnsi"/>
          <w:sz w:val="22"/>
          <w:szCs w:val="22"/>
        </w:rPr>
        <w:t xml:space="preserve"> durante el plazo que el MINEM autorice su comercialización, en aplicación del artículo 2 del Decreto Supremo Nº 001-2011-EM, por una afectación de alcance nacional.</w:t>
      </w:r>
    </w:p>
    <w:p w14:paraId="61F15353" w14:textId="77777777" w:rsidR="0020425C" w:rsidRDefault="0020425C" w:rsidP="00F02322">
      <w:pPr>
        <w:pStyle w:val="Prrafodelista"/>
        <w:ind w:left="568" w:hanging="426"/>
        <w:rPr>
          <w:rFonts w:asciiTheme="minorHAnsi" w:hAnsiTheme="minorHAnsi" w:cstheme="minorHAnsi"/>
          <w:sz w:val="22"/>
          <w:szCs w:val="22"/>
        </w:rPr>
      </w:pPr>
    </w:p>
    <w:p w14:paraId="1E583194" w14:textId="5EB072D1" w:rsidR="0020425C" w:rsidRDefault="0074476A" w:rsidP="00F02322">
      <w:pPr>
        <w:pStyle w:val="Textonotapie"/>
        <w:numPr>
          <w:ilvl w:val="0"/>
          <w:numId w:val="2"/>
        </w:numPr>
        <w:spacing w:before="0" w:after="0"/>
        <w:ind w:left="568" w:hanging="426"/>
      </w:pPr>
      <w:r>
        <w:rPr>
          <w:rFonts w:asciiTheme="minorHAnsi" w:hAnsiTheme="minorHAnsi" w:cstheme="minorHAnsi"/>
          <w:sz w:val="22"/>
          <w:szCs w:val="22"/>
        </w:rPr>
        <w:t>M</w:t>
      </w:r>
      <w:r w:rsidR="0020425C" w:rsidRPr="0020425C">
        <w:rPr>
          <w:rFonts w:asciiTheme="minorHAnsi" w:hAnsiTheme="minorHAnsi" w:cstheme="minorHAnsi"/>
          <w:sz w:val="22"/>
          <w:szCs w:val="22"/>
        </w:rPr>
        <w:t>ediante Decreto Supremo N° 007-2022-EM, publicado el 26 de junio de 2022, se modificó el numeral 1.1 del artículo 1 del Decreto 002 precisando la inclusión de las Gasolinas de 90 y 84 octanos, Gasohol de 84 octanos y GLP-G en la lista de Productos sujetos al Fondo establecida en el literal m) del artículo 2 del DU 010 hasta el 30 de septiembre de 2022</w:t>
      </w:r>
      <w:r w:rsidR="0020425C">
        <w:rPr>
          <w:rFonts w:asciiTheme="minorHAnsi" w:hAnsiTheme="minorHAnsi" w:cstheme="minorHAnsi"/>
          <w:sz w:val="22"/>
          <w:szCs w:val="22"/>
        </w:rPr>
        <w:t>.</w:t>
      </w:r>
    </w:p>
    <w:p w14:paraId="03C9F47A" w14:textId="77777777" w:rsidR="00F60765" w:rsidRDefault="00F60765" w:rsidP="00F02322">
      <w:pPr>
        <w:pStyle w:val="Textonotapie"/>
        <w:spacing w:before="0" w:after="0"/>
        <w:ind w:left="568" w:hanging="426"/>
        <w:rPr>
          <w:rFonts w:asciiTheme="minorHAnsi" w:hAnsiTheme="minorHAnsi" w:cstheme="minorHAnsi"/>
          <w:sz w:val="22"/>
          <w:szCs w:val="22"/>
        </w:rPr>
      </w:pPr>
    </w:p>
    <w:p w14:paraId="3C8B4389" w14:textId="590C6561" w:rsidR="0074476A" w:rsidRDefault="0074476A" w:rsidP="0074476A">
      <w:pPr>
        <w:pStyle w:val="Textonotapie"/>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lastRenderedPageBreak/>
        <w:t>Posteriormente</w:t>
      </w:r>
      <w:r w:rsidRPr="0020425C">
        <w:rPr>
          <w:rFonts w:asciiTheme="minorHAnsi" w:hAnsiTheme="minorHAnsi" w:cstheme="minorHAnsi"/>
          <w:sz w:val="22"/>
          <w:szCs w:val="22"/>
        </w:rPr>
        <w:t>, mediante Decreto Supremo N° 0</w:t>
      </w:r>
      <w:r>
        <w:rPr>
          <w:rFonts w:asciiTheme="minorHAnsi" w:hAnsiTheme="minorHAnsi" w:cstheme="minorHAnsi"/>
          <w:sz w:val="22"/>
          <w:szCs w:val="22"/>
        </w:rPr>
        <w:t>11</w:t>
      </w:r>
      <w:r w:rsidRPr="0020425C">
        <w:rPr>
          <w:rFonts w:asciiTheme="minorHAnsi" w:hAnsiTheme="minorHAnsi" w:cstheme="minorHAnsi"/>
          <w:sz w:val="22"/>
          <w:szCs w:val="22"/>
        </w:rPr>
        <w:t xml:space="preserve">-2022-EM, publicado el </w:t>
      </w:r>
      <w:r>
        <w:rPr>
          <w:rFonts w:asciiTheme="minorHAnsi" w:hAnsiTheme="minorHAnsi" w:cstheme="minorHAnsi"/>
          <w:sz w:val="22"/>
          <w:szCs w:val="22"/>
        </w:rPr>
        <w:t>18</w:t>
      </w:r>
      <w:r w:rsidRPr="0020425C">
        <w:rPr>
          <w:rFonts w:asciiTheme="minorHAnsi" w:hAnsiTheme="minorHAnsi" w:cstheme="minorHAnsi"/>
          <w:sz w:val="22"/>
          <w:szCs w:val="22"/>
        </w:rPr>
        <w:t xml:space="preserve"> de </w:t>
      </w:r>
      <w:r>
        <w:rPr>
          <w:rFonts w:asciiTheme="minorHAnsi" w:hAnsiTheme="minorHAnsi" w:cstheme="minorHAnsi"/>
          <w:sz w:val="22"/>
          <w:szCs w:val="22"/>
        </w:rPr>
        <w:t>septiembre</w:t>
      </w:r>
      <w:r w:rsidRPr="0020425C">
        <w:rPr>
          <w:rFonts w:asciiTheme="minorHAnsi" w:hAnsiTheme="minorHAnsi" w:cstheme="minorHAnsi"/>
          <w:sz w:val="22"/>
          <w:szCs w:val="22"/>
        </w:rPr>
        <w:t xml:space="preserve"> de 2022, se modificó el numeral 1.1 del artículo 1 del Decreto 002 precisando la inclusión de las Gasolinas de 90 y 84 octanos, Gasohol de 84 octanos y GLP-G en la lista de Productos sujetos al Fondo establecida en el literal m) del artículo 2 del DU 010 hasta el 3</w:t>
      </w:r>
      <w:r>
        <w:rPr>
          <w:rFonts w:asciiTheme="minorHAnsi" w:hAnsiTheme="minorHAnsi" w:cstheme="minorHAnsi"/>
          <w:sz w:val="22"/>
          <w:szCs w:val="22"/>
        </w:rPr>
        <w:t>1</w:t>
      </w:r>
      <w:r w:rsidRPr="0020425C">
        <w:rPr>
          <w:rFonts w:asciiTheme="minorHAnsi" w:hAnsiTheme="minorHAnsi" w:cstheme="minorHAnsi"/>
          <w:sz w:val="22"/>
          <w:szCs w:val="22"/>
        </w:rPr>
        <w:t xml:space="preserve"> de </w:t>
      </w:r>
      <w:r>
        <w:rPr>
          <w:rFonts w:asciiTheme="minorHAnsi" w:hAnsiTheme="minorHAnsi" w:cstheme="minorHAnsi"/>
          <w:sz w:val="22"/>
          <w:szCs w:val="22"/>
        </w:rPr>
        <w:t>dici</w:t>
      </w:r>
      <w:r w:rsidRPr="0020425C">
        <w:rPr>
          <w:rFonts w:asciiTheme="minorHAnsi" w:hAnsiTheme="minorHAnsi" w:cstheme="minorHAnsi"/>
          <w:sz w:val="22"/>
          <w:szCs w:val="22"/>
        </w:rPr>
        <w:t>embre de 2022</w:t>
      </w:r>
      <w:r>
        <w:rPr>
          <w:rFonts w:asciiTheme="minorHAnsi" w:hAnsiTheme="minorHAnsi" w:cstheme="minorHAnsi"/>
          <w:sz w:val="22"/>
          <w:szCs w:val="22"/>
        </w:rPr>
        <w:t>.</w:t>
      </w:r>
    </w:p>
    <w:p w14:paraId="5EFC9D28" w14:textId="77777777" w:rsidR="004D4B7D" w:rsidRDefault="004D4B7D" w:rsidP="004D4B7D">
      <w:pPr>
        <w:pStyle w:val="Prrafodelista"/>
        <w:rPr>
          <w:rFonts w:asciiTheme="minorHAnsi" w:hAnsiTheme="minorHAnsi" w:cstheme="minorHAnsi"/>
          <w:sz w:val="22"/>
          <w:szCs w:val="22"/>
        </w:rPr>
      </w:pPr>
    </w:p>
    <w:p w14:paraId="58929CEF" w14:textId="3C6B5028" w:rsidR="004D4B7D" w:rsidRDefault="004D4B7D" w:rsidP="004D4B7D">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Mediante Resolución N”074-2022-OS/GRT, se fijaron, entre otros, las Bandas de Precios y los Márgenes Comerciales para el Petróleo Industrial N°6 utilizado en actividades de generación eléctrica en sistemas eléctricos Aislados, con vigencia a partir del 30 de diciembre de 2022 hasta el 23 de febrero de 2023.</w:t>
      </w:r>
    </w:p>
    <w:p w14:paraId="45AAA73A" w14:textId="273014A8" w:rsidR="0074476A" w:rsidRDefault="0074476A" w:rsidP="0074476A">
      <w:pPr>
        <w:pStyle w:val="Textonotapie"/>
        <w:tabs>
          <w:tab w:val="left" w:pos="709"/>
        </w:tabs>
        <w:spacing w:before="0" w:after="0"/>
        <w:ind w:left="568"/>
        <w:rPr>
          <w:rFonts w:asciiTheme="minorHAnsi" w:hAnsiTheme="minorHAnsi" w:cstheme="minorHAnsi"/>
          <w:sz w:val="22"/>
          <w:szCs w:val="22"/>
        </w:rPr>
      </w:pPr>
    </w:p>
    <w:p w14:paraId="0A45E724" w14:textId="77777777" w:rsidR="004D4B7D" w:rsidRPr="00562D12" w:rsidRDefault="004D4B7D" w:rsidP="004D4B7D">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Posteriormente</w:t>
      </w:r>
      <w:r w:rsidRPr="0020425C">
        <w:rPr>
          <w:rFonts w:asciiTheme="minorHAnsi" w:hAnsiTheme="minorHAnsi" w:cstheme="minorHAnsi"/>
          <w:sz w:val="22"/>
          <w:szCs w:val="22"/>
        </w:rPr>
        <w:t>, mediante Decreto Supremo N° 0</w:t>
      </w:r>
      <w:r>
        <w:rPr>
          <w:rFonts w:asciiTheme="minorHAnsi" w:hAnsiTheme="minorHAnsi" w:cstheme="minorHAnsi"/>
          <w:sz w:val="22"/>
          <w:szCs w:val="22"/>
        </w:rPr>
        <w:t>17</w:t>
      </w:r>
      <w:r w:rsidRPr="0020425C">
        <w:rPr>
          <w:rFonts w:asciiTheme="minorHAnsi" w:hAnsiTheme="minorHAnsi" w:cstheme="minorHAnsi"/>
          <w:sz w:val="22"/>
          <w:szCs w:val="22"/>
        </w:rPr>
        <w:t xml:space="preserve">-2022-EM, publicado el </w:t>
      </w:r>
      <w:r>
        <w:rPr>
          <w:rFonts w:asciiTheme="minorHAnsi" w:hAnsiTheme="minorHAnsi" w:cstheme="minorHAnsi"/>
          <w:sz w:val="22"/>
          <w:szCs w:val="22"/>
        </w:rPr>
        <w:t>29</w:t>
      </w:r>
      <w:r w:rsidRPr="0020425C">
        <w:rPr>
          <w:rFonts w:asciiTheme="minorHAnsi" w:hAnsiTheme="minorHAnsi" w:cstheme="minorHAnsi"/>
          <w:sz w:val="22"/>
          <w:szCs w:val="22"/>
        </w:rPr>
        <w:t xml:space="preserve"> de </w:t>
      </w:r>
      <w:r>
        <w:rPr>
          <w:rFonts w:asciiTheme="minorHAnsi" w:hAnsiTheme="minorHAnsi" w:cstheme="minorHAnsi"/>
          <w:sz w:val="22"/>
          <w:szCs w:val="22"/>
        </w:rPr>
        <w:t>diciembre</w:t>
      </w:r>
      <w:r w:rsidRPr="0020425C">
        <w:rPr>
          <w:rFonts w:asciiTheme="minorHAnsi" w:hAnsiTheme="minorHAnsi" w:cstheme="minorHAnsi"/>
          <w:sz w:val="22"/>
          <w:szCs w:val="22"/>
        </w:rPr>
        <w:t xml:space="preserve"> de 2022, se modificó el numeral 1.1 del artículo 1 del Decreto 002 </w:t>
      </w:r>
      <w:r>
        <w:rPr>
          <w:rFonts w:asciiTheme="minorHAnsi" w:hAnsiTheme="minorHAnsi" w:cstheme="minorHAnsi"/>
          <w:sz w:val="22"/>
          <w:szCs w:val="22"/>
        </w:rPr>
        <w:t xml:space="preserve">extendiendo la inclusión del </w:t>
      </w:r>
      <w:r w:rsidRPr="0020425C">
        <w:rPr>
          <w:rFonts w:asciiTheme="minorHAnsi" w:hAnsiTheme="minorHAnsi" w:cstheme="minorHAnsi"/>
          <w:sz w:val="22"/>
          <w:szCs w:val="22"/>
        </w:rPr>
        <w:t>GLP-G en la lista de Productos sujetos al Fondo establecida en el literal m) del artículo 2 del DU 010 hasta el 3</w:t>
      </w:r>
      <w:r>
        <w:rPr>
          <w:rFonts w:asciiTheme="minorHAnsi" w:hAnsiTheme="minorHAnsi" w:cstheme="minorHAnsi"/>
          <w:sz w:val="22"/>
          <w:szCs w:val="22"/>
        </w:rPr>
        <w:t>1</w:t>
      </w:r>
      <w:r w:rsidRPr="0020425C">
        <w:rPr>
          <w:rFonts w:asciiTheme="minorHAnsi" w:hAnsiTheme="minorHAnsi" w:cstheme="minorHAnsi"/>
          <w:sz w:val="22"/>
          <w:szCs w:val="22"/>
        </w:rPr>
        <w:t xml:space="preserve"> de </w:t>
      </w:r>
      <w:r>
        <w:rPr>
          <w:rFonts w:asciiTheme="minorHAnsi" w:hAnsiTheme="minorHAnsi" w:cstheme="minorHAnsi"/>
          <w:sz w:val="22"/>
          <w:szCs w:val="22"/>
        </w:rPr>
        <w:t>marzo</w:t>
      </w:r>
      <w:r w:rsidRPr="0020425C">
        <w:rPr>
          <w:rFonts w:asciiTheme="minorHAnsi" w:hAnsiTheme="minorHAnsi" w:cstheme="minorHAnsi"/>
          <w:sz w:val="22"/>
          <w:szCs w:val="22"/>
        </w:rPr>
        <w:t xml:space="preserve"> de 202</w:t>
      </w:r>
      <w:r>
        <w:rPr>
          <w:rFonts w:asciiTheme="minorHAnsi" w:hAnsiTheme="minorHAnsi" w:cstheme="minorHAnsi"/>
          <w:sz w:val="22"/>
          <w:szCs w:val="22"/>
        </w:rPr>
        <w:t>3.</w:t>
      </w:r>
    </w:p>
    <w:p w14:paraId="7A953DAE" w14:textId="77777777" w:rsidR="004D4B7D" w:rsidRDefault="004D4B7D" w:rsidP="0074476A">
      <w:pPr>
        <w:pStyle w:val="Textonotapie"/>
        <w:tabs>
          <w:tab w:val="left" w:pos="709"/>
        </w:tabs>
        <w:spacing w:before="0" w:after="0"/>
        <w:ind w:left="568"/>
        <w:rPr>
          <w:rFonts w:asciiTheme="minorHAnsi" w:hAnsiTheme="minorHAnsi" w:cstheme="minorHAnsi"/>
          <w:sz w:val="22"/>
          <w:szCs w:val="22"/>
        </w:rPr>
      </w:pPr>
    </w:p>
    <w:p w14:paraId="24F917D0" w14:textId="77777777" w:rsidR="004D4B7D" w:rsidRDefault="009F0937" w:rsidP="003D1BCE">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Mediante Resolución N° 0</w:t>
      </w:r>
      <w:r w:rsidR="004D4B7D" w:rsidRPr="004D4B7D">
        <w:rPr>
          <w:rFonts w:asciiTheme="minorHAnsi" w:hAnsiTheme="minorHAnsi" w:cstheme="minorHAnsi"/>
          <w:sz w:val="22"/>
          <w:szCs w:val="22"/>
        </w:rPr>
        <w:t>03</w:t>
      </w:r>
      <w:r w:rsidRPr="004D4B7D">
        <w:rPr>
          <w:rFonts w:asciiTheme="minorHAnsi" w:hAnsiTheme="minorHAnsi" w:cstheme="minorHAnsi"/>
          <w:sz w:val="22"/>
          <w:szCs w:val="22"/>
        </w:rPr>
        <w:t>-202</w:t>
      </w:r>
      <w:r w:rsidR="004D4B7D" w:rsidRPr="004D4B7D">
        <w:rPr>
          <w:rFonts w:asciiTheme="minorHAnsi" w:hAnsiTheme="minorHAnsi" w:cstheme="minorHAnsi"/>
          <w:sz w:val="22"/>
          <w:szCs w:val="22"/>
        </w:rPr>
        <w:t>3</w:t>
      </w:r>
      <w:r w:rsidRPr="004D4B7D">
        <w:rPr>
          <w:rFonts w:asciiTheme="minorHAnsi" w:hAnsiTheme="minorHAnsi" w:cstheme="minorHAnsi"/>
          <w:sz w:val="22"/>
          <w:szCs w:val="22"/>
        </w:rPr>
        <w:t>-OS/GRT, se fijaron la</w:t>
      </w:r>
      <w:r w:rsidR="00952F32" w:rsidRPr="004D4B7D">
        <w:rPr>
          <w:rFonts w:asciiTheme="minorHAnsi" w:hAnsiTheme="minorHAnsi" w:cstheme="minorHAnsi"/>
          <w:sz w:val="22"/>
          <w:szCs w:val="22"/>
        </w:rPr>
        <w:t>s</w:t>
      </w:r>
      <w:r w:rsidRPr="004D4B7D">
        <w:rPr>
          <w:rFonts w:asciiTheme="minorHAnsi" w:hAnsiTheme="minorHAnsi" w:cstheme="minorHAnsi"/>
          <w:sz w:val="22"/>
          <w:szCs w:val="22"/>
        </w:rPr>
        <w:t xml:space="preserve"> Bandas de Precios y los Márgenes Comerciales para</w:t>
      </w:r>
      <w:r w:rsidR="0079038D" w:rsidRPr="004D4B7D">
        <w:rPr>
          <w:rFonts w:asciiTheme="minorHAnsi" w:hAnsiTheme="minorHAnsi" w:cstheme="minorHAnsi"/>
          <w:sz w:val="22"/>
          <w:szCs w:val="22"/>
        </w:rPr>
        <w:t xml:space="preserve"> el </w:t>
      </w:r>
      <w:r w:rsidR="004D4B7D" w:rsidRPr="004D4B7D">
        <w:rPr>
          <w:rFonts w:asciiTheme="minorHAnsi" w:hAnsiTheme="minorHAnsi" w:cstheme="minorHAnsi"/>
          <w:sz w:val="22"/>
          <w:szCs w:val="22"/>
        </w:rPr>
        <w:t xml:space="preserve">Gas Licuado de Petróleo destinado a envasado (GLP-E), el Gas Licuado de Petróleo destinado a granel (GLP-G) y </w:t>
      </w:r>
      <w:r w:rsidR="0079038D" w:rsidRPr="004D4B7D">
        <w:rPr>
          <w:rFonts w:asciiTheme="minorHAnsi" w:hAnsiTheme="minorHAnsi" w:cstheme="minorHAnsi"/>
          <w:sz w:val="22"/>
          <w:szCs w:val="22"/>
        </w:rPr>
        <w:t>Diésel B5 destinado al uso vehicular</w:t>
      </w:r>
      <w:r w:rsidR="00A526AB" w:rsidRPr="004D4B7D">
        <w:rPr>
          <w:rFonts w:asciiTheme="minorHAnsi" w:hAnsiTheme="minorHAnsi" w:cstheme="minorHAnsi"/>
          <w:sz w:val="22"/>
          <w:szCs w:val="22"/>
        </w:rPr>
        <w:t xml:space="preserve"> </w:t>
      </w:r>
      <w:r w:rsidR="009C0925" w:rsidRPr="004D4B7D">
        <w:rPr>
          <w:rFonts w:asciiTheme="minorHAnsi" w:hAnsiTheme="minorHAnsi" w:cstheme="minorHAnsi"/>
          <w:sz w:val="22"/>
          <w:szCs w:val="22"/>
        </w:rPr>
        <w:t xml:space="preserve">con vigencia desde el </w:t>
      </w:r>
      <w:r w:rsidR="004D4B7D" w:rsidRPr="004D4B7D">
        <w:rPr>
          <w:rFonts w:asciiTheme="minorHAnsi" w:hAnsiTheme="minorHAnsi" w:cstheme="minorHAnsi"/>
          <w:sz w:val="22"/>
          <w:szCs w:val="22"/>
        </w:rPr>
        <w:t>27</w:t>
      </w:r>
      <w:r w:rsidR="009C0925" w:rsidRPr="004D4B7D">
        <w:rPr>
          <w:rFonts w:asciiTheme="minorHAnsi" w:hAnsiTheme="minorHAnsi" w:cstheme="minorHAnsi"/>
          <w:sz w:val="22"/>
          <w:szCs w:val="22"/>
        </w:rPr>
        <w:t xml:space="preserve"> de </w:t>
      </w:r>
      <w:r w:rsidR="004D4B7D" w:rsidRPr="004D4B7D">
        <w:rPr>
          <w:rFonts w:asciiTheme="minorHAnsi" w:hAnsiTheme="minorHAnsi" w:cstheme="minorHAnsi"/>
          <w:sz w:val="22"/>
          <w:szCs w:val="22"/>
        </w:rPr>
        <w:t>enero</w:t>
      </w:r>
      <w:r w:rsidR="009C0925" w:rsidRPr="004D4B7D">
        <w:rPr>
          <w:rFonts w:asciiTheme="minorHAnsi" w:hAnsiTheme="minorHAnsi" w:cstheme="minorHAnsi"/>
          <w:sz w:val="22"/>
          <w:szCs w:val="22"/>
        </w:rPr>
        <w:t xml:space="preserve"> hasta el jueves 2</w:t>
      </w:r>
      <w:r w:rsidR="004D4B7D" w:rsidRPr="004D4B7D">
        <w:rPr>
          <w:rFonts w:asciiTheme="minorHAnsi" w:hAnsiTheme="minorHAnsi" w:cstheme="minorHAnsi"/>
          <w:sz w:val="22"/>
          <w:szCs w:val="22"/>
        </w:rPr>
        <w:t>3</w:t>
      </w:r>
      <w:r w:rsidR="009C0925" w:rsidRPr="004D4B7D">
        <w:rPr>
          <w:rFonts w:asciiTheme="minorHAnsi" w:hAnsiTheme="minorHAnsi" w:cstheme="minorHAnsi"/>
          <w:sz w:val="22"/>
          <w:szCs w:val="22"/>
        </w:rPr>
        <w:t xml:space="preserve"> de </w:t>
      </w:r>
      <w:r w:rsidR="004D4B7D" w:rsidRPr="004D4B7D">
        <w:rPr>
          <w:rFonts w:asciiTheme="minorHAnsi" w:hAnsiTheme="minorHAnsi" w:cstheme="minorHAnsi"/>
          <w:sz w:val="22"/>
          <w:szCs w:val="22"/>
        </w:rPr>
        <w:t>febrer</w:t>
      </w:r>
      <w:r w:rsidR="009C0925" w:rsidRPr="004D4B7D">
        <w:rPr>
          <w:rFonts w:asciiTheme="minorHAnsi" w:hAnsiTheme="minorHAnsi" w:cstheme="minorHAnsi"/>
          <w:sz w:val="22"/>
          <w:szCs w:val="22"/>
        </w:rPr>
        <w:t>o de 2023.</w:t>
      </w:r>
    </w:p>
    <w:p w14:paraId="394E0522" w14:textId="57921E4E" w:rsidR="00162126" w:rsidRDefault="009C0925" w:rsidP="004D4B7D">
      <w:pPr>
        <w:pStyle w:val="Textonotapie"/>
        <w:tabs>
          <w:tab w:val="left" w:pos="709"/>
        </w:tabs>
        <w:spacing w:before="0" w:after="0"/>
        <w:ind w:left="568"/>
        <w:rPr>
          <w:rFonts w:asciiTheme="minorHAnsi" w:hAnsiTheme="minorHAnsi" w:cstheme="minorHAnsi"/>
          <w:sz w:val="22"/>
          <w:szCs w:val="22"/>
        </w:rPr>
      </w:pPr>
      <w:r w:rsidRPr="004D4B7D">
        <w:rPr>
          <w:rFonts w:asciiTheme="minorHAnsi" w:hAnsiTheme="minorHAnsi" w:cstheme="minorHAnsi"/>
          <w:sz w:val="22"/>
          <w:szCs w:val="22"/>
        </w:rPr>
        <w:t xml:space="preserve"> </w:t>
      </w:r>
    </w:p>
    <w:p w14:paraId="304D497A" w14:textId="11F1BB45" w:rsidR="00277E11" w:rsidRPr="00511D1B" w:rsidRDefault="00277E11" w:rsidP="00511D1B">
      <w:pPr>
        <w:pStyle w:val="Sangradetextonormal"/>
        <w:numPr>
          <w:ilvl w:val="0"/>
          <w:numId w:val="16"/>
        </w:numPr>
        <w:ind w:left="568" w:hanging="426"/>
        <w:rPr>
          <w:rFonts w:asciiTheme="minorHAnsi" w:hAnsiTheme="minorHAnsi" w:cstheme="minorHAnsi"/>
          <w:sz w:val="22"/>
          <w:szCs w:val="22"/>
        </w:rPr>
      </w:pPr>
      <w:r w:rsidRPr="00511D1B">
        <w:rPr>
          <w:rFonts w:asciiTheme="minorHAnsi" w:hAnsiTheme="minorHAnsi" w:cstheme="minorHAnsi"/>
          <w:sz w:val="22"/>
          <w:szCs w:val="22"/>
        </w:rPr>
        <w:t xml:space="preserve">Teniendo en cuenta las Bandas de Precios y los Márgenes Comerciales de los combustibles establecidos mediante la Resolución </w:t>
      </w:r>
      <w:r w:rsidR="00511D1B">
        <w:rPr>
          <w:rFonts w:asciiTheme="minorHAnsi" w:hAnsiTheme="minorHAnsi" w:cstheme="minorHAnsi"/>
          <w:sz w:val="22"/>
          <w:szCs w:val="22"/>
        </w:rPr>
        <w:t>y</w:t>
      </w:r>
      <w:r w:rsidR="00511D1B" w:rsidRPr="00511D1B">
        <w:rPr>
          <w:rFonts w:asciiTheme="minorHAnsi" w:hAnsiTheme="minorHAnsi" w:cstheme="minorHAnsi"/>
          <w:sz w:val="22"/>
          <w:szCs w:val="22"/>
        </w:rPr>
        <w:t xml:space="preserve"> N° 0</w:t>
      </w:r>
      <w:r w:rsidR="00511D1B">
        <w:rPr>
          <w:rFonts w:asciiTheme="minorHAnsi" w:hAnsiTheme="minorHAnsi" w:cstheme="minorHAnsi"/>
          <w:sz w:val="22"/>
          <w:szCs w:val="22"/>
        </w:rPr>
        <w:t>74</w:t>
      </w:r>
      <w:r w:rsidR="00511D1B" w:rsidRPr="00511D1B">
        <w:rPr>
          <w:rFonts w:asciiTheme="minorHAnsi" w:hAnsiTheme="minorHAnsi" w:cstheme="minorHAnsi"/>
          <w:sz w:val="22"/>
          <w:szCs w:val="22"/>
        </w:rPr>
        <w:t xml:space="preserve">-2022-OS/GRT </w:t>
      </w:r>
      <w:r w:rsidRPr="00511D1B">
        <w:rPr>
          <w:rFonts w:asciiTheme="minorHAnsi" w:hAnsiTheme="minorHAnsi" w:cstheme="minorHAnsi"/>
          <w:sz w:val="22"/>
          <w:szCs w:val="22"/>
        </w:rPr>
        <w:t>N° 0</w:t>
      </w:r>
      <w:r w:rsidR="00511D1B" w:rsidRPr="00511D1B">
        <w:rPr>
          <w:rFonts w:asciiTheme="minorHAnsi" w:hAnsiTheme="minorHAnsi" w:cstheme="minorHAnsi"/>
          <w:sz w:val="22"/>
          <w:szCs w:val="22"/>
        </w:rPr>
        <w:t>03</w:t>
      </w:r>
      <w:r w:rsidRPr="00511D1B">
        <w:rPr>
          <w:rFonts w:asciiTheme="minorHAnsi" w:hAnsiTheme="minorHAnsi" w:cstheme="minorHAnsi"/>
          <w:sz w:val="22"/>
          <w:szCs w:val="22"/>
        </w:rPr>
        <w:t>-202</w:t>
      </w:r>
      <w:r w:rsidR="00511D1B">
        <w:rPr>
          <w:rFonts w:asciiTheme="minorHAnsi" w:hAnsiTheme="minorHAnsi" w:cstheme="minorHAnsi"/>
          <w:sz w:val="22"/>
          <w:szCs w:val="22"/>
        </w:rPr>
        <w:t>3</w:t>
      </w:r>
      <w:r w:rsidRPr="00511D1B">
        <w:rPr>
          <w:rFonts w:asciiTheme="minorHAnsi" w:hAnsiTheme="minorHAnsi" w:cstheme="minorHAnsi"/>
          <w:sz w:val="22"/>
          <w:szCs w:val="22"/>
        </w:rPr>
        <w:t xml:space="preserve">-OS/GRT, el MINEM publicó los Factores de Aportación y/o Compensación vigentes desde el martes </w:t>
      </w:r>
      <w:r w:rsidR="00511D1B" w:rsidRPr="00511D1B">
        <w:rPr>
          <w:rFonts w:asciiTheme="minorHAnsi" w:hAnsiTheme="minorHAnsi" w:cstheme="minorHAnsi"/>
          <w:sz w:val="22"/>
          <w:szCs w:val="22"/>
        </w:rPr>
        <w:t>14</w:t>
      </w:r>
      <w:r w:rsidRPr="00511D1B">
        <w:rPr>
          <w:rFonts w:asciiTheme="minorHAnsi" w:hAnsiTheme="minorHAnsi" w:cstheme="minorHAnsi"/>
          <w:sz w:val="22"/>
          <w:szCs w:val="22"/>
        </w:rPr>
        <w:t xml:space="preserve"> al lunes </w:t>
      </w:r>
      <w:r w:rsidR="00511D1B" w:rsidRPr="00511D1B">
        <w:rPr>
          <w:rFonts w:asciiTheme="minorHAnsi" w:hAnsiTheme="minorHAnsi" w:cstheme="minorHAnsi"/>
          <w:sz w:val="22"/>
          <w:szCs w:val="22"/>
        </w:rPr>
        <w:t>20</w:t>
      </w:r>
      <w:r w:rsidRPr="00511D1B">
        <w:rPr>
          <w:rFonts w:asciiTheme="minorHAnsi" w:hAnsiTheme="minorHAnsi" w:cstheme="minorHAnsi"/>
          <w:sz w:val="22"/>
          <w:szCs w:val="22"/>
        </w:rPr>
        <w:t xml:space="preserve"> de febrero de 2023.</w:t>
      </w:r>
    </w:p>
    <w:p w14:paraId="20088CF0" w14:textId="77777777" w:rsidR="00277E11" w:rsidRDefault="00277E11" w:rsidP="00277E11">
      <w:pPr>
        <w:pStyle w:val="Prrafodelista"/>
        <w:rPr>
          <w:rFonts w:asciiTheme="minorHAnsi" w:hAnsiTheme="minorHAnsi" w:cstheme="minorHAnsi"/>
          <w:sz w:val="22"/>
          <w:szCs w:val="22"/>
        </w:rPr>
      </w:pPr>
    </w:p>
    <w:p w14:paraId="157D0B3E" w14:textId="1729F1DD" w:rsidR="00352B3A" w:rsidRPr="004D4B7D" w:rsidRDefault="00277E11" w:rsidP="00277E11">
      <w:pPr>
        <w:pStyle w:val="Sangradetextonormal"/>
        <w:numPr>
          <w:ilvl w:val="0"/>
          <w:numId w:val="16"/>
        </w:numPr>
        <w:ind w:left="568" w:hanging="426"/>
        <w:rPr>
          <w:rFonts w:asciiTheme="minorHAnsi" w:hAnsiTheme="minorHAnsi" w:cstheme="minorHAnsi"/>
          <w:sz w:val="22"/>
          <w:szCs w:val="22"/>
        </w:rPr>
      </w:pPr>
      <w:r w:rsidRPr="00232A32">
        <w:rPr>
          <w:rFonts w:asciiTheme="minorHAnsi" w:hAnsiTheme="minorHAnsi" w:cstheme="minorHAnsi"/>
          <w:sz w:val="22"/>
          <w:szCs w:val="22"/>
        </w:rPr>
        <w:t xml:space="preserve">El día </w:t>
      </w:r>
      <w:r w:rsidR="00D22841">
        <w:rPr>
          <w:rFonts w:asciiTheme="minorHAnsi" w:hAnsiTheme="minorHAnsi" w:cstheme="minorHAnsi"/>
          <w:sz w:val="22"/>
          <w:szCs w:val="22"/>
        </w:rPr>
        <w:t>17</w:t>
      </w:r>
      <w:r w:rsidRPr="00232A32">
        <w:rPr>
          <w:rFonts w:asciiTheme="minorHAnsi" w:hAnsiTheme="minorHAnsi" w:cstheme="minorHAnsi"/>
          <w:sz w:val="22"/>
          <w:szCs w:val="22"/>
        </w:rPr>
        <w:t>.</w:t>
      </w:r>
      <w:r>
        <w:rPr>
          <w:rFonts w:asciiTheme="minorHAnsi" w:hAnsiTheme="minorHAnsi" w:cstheme="minorHAnsi"/>
          <w:sz w:val="22"/>
          <w:szCs w:val="22"/>
        </w:rPr>
        <w:t>02</w:t>
      </w:r>
      <w:r w:rsidRPr="00232A32">
        <w:rPr>
          <w:rFonts w:asciiTheme="minorHAnsi" w:hAnsiTheme="minorHAnsi" w:cstheme="minorHAnsi"/>
          <w:sz w:val="22"/>
          <w:szCs w:val="22"/>
        </w:rPr>
        <w:t>.202</w:t>
      </w:r>
      <w:r>
        <w:rPr>
          <w:rFonts w:asciiTheme="minorHAnsi" w:hAnsiTheme="minorHAnsi" w:cstheme="minorHAnsi"/>
          <w:sz w:val="22"/>
          <w:szCs w:val="22"/>
        </w:rPr>
        <w:t>3</w:t>
      </w:r>
      <w:r w:rsidRPr="00232A32">
        <w:rPr>
          <w:rFonts w:asciiTheme="minorHAnsi" w:hAnsiTheme="minorHAnsi" w:cstheme="minorHAnsi"/>
          <w:sz w:val="22"/>
          <w:szCs w:val="22"/>
        </w:rPr>
        <w:t>, PETROPERÚ publicó su lista de precios de venta de combustibles. Se registraron variaciones en los precios de las gasolinas de 97 (</w:t>
      </w:r>
      <w:r w:rsidR="00D22841">
        <w:rPr>
          <w:rFonts w:asciiTheme="minorHAnsi" w:hAnsiTheme="minorHAnsi" w:cstheme="minorHAnsi"/>
          <w:sz w:val="22"/>
          <w:szCs w:val="22"/>
        </w:rPr>
        <w:t>-0.19</w:t>
      </w:r>
      <w:r w:rsidRPr="00232A32">
        <w:rPr>
          <w:rFonts w:asciiTheme="minorHAnsi" w:hAnsiTheme="minorHAnsi" w:cstheme="minorHAnsi"/>
          <w:sz w:val="22"/>
          <w:szCs w:val="22"/>
        </w:rPr>
        <w:t xml:space="preserve"> S/</w:t>
      </w:r>
      <w:proofErr w:type="spellStart"/>
      <w:r w:rsidRPr="00232A32">
        <w:rPr>
          <w:rFonts w:asciiTheme="minorHAnsi" w:hAnsiTheme="minorHAnsi" w:cstheme="minorHAnsi"/>
          <w:sz w:val="22"/>
          <w:szCs w:val="22"/>
        </w:rPr>
        <w:t>Gln</w:t>
      </w:r>
      <w:proofErr w:type="spellEnd"/>
      <w:r w:rsidRPr="00232A32">
        <w:rPr>
          <w:rFonts w:asciiTheme="minorHAnsi" w:hAnsiTheme="minorHAnsi" w:cstheme="minorHAnsi"/>
          <w:sz w:val="22"/>
          <w:szCs w:val="22"/>
        </w:rPr>
        <w:t>), 95 (</w:t>
      </w:r>
      <w:r w:rsidR="00D22841">
        <w:rPr>
          <w:rFonts w:asciiTheme="minorHAnsi" w:hAnsiTheme="minorHAnsi" w:cstheme="minorHAnsi"/>
          <w:sz w:val="22"/>
          <w:szCs w:val="22"/>
        </w:rPr>
        <w:t>-0.18</w:t>
      </w:r>
      <w:r w:rsidRPr="00232A32">
        <w:rPr>
          <w:rFonts w:asciiTheme="minorHAnsi" w:hAnsiTheme="minorHAnsi" w:cstheme="minorHAnsi"/>
          <w:sz w:val="22"/>
          <w:szCs w:val="22"/>
        </w:rPr>
        <w:t xml:space="preserve"> S/</w:t>
      </w:r>
      <w:proofErr w:type="spellStart"/>
      <w:r w:rsidRPr="00232A32">
        <w:rPr>
          <w:rFonts w:asciiTheme="minorHAnsi" w:hAnsiTheme="minorHAnsi" w:cstheme="minorHAnsi"/>
          <w:sz w:val="22"/>
          <w:szCs w:val="22"/>
        </w:rPr>
        <w:t>Gln</w:t>
      </w:r>
      <w:proofErr w:type="spellEnd"/>
      <w:r w:rsidRPr="00232A32">
        <w:rPr>
          <w:rFonts w:asciiTheme="minorHAnsi" w:hAnsiTheme="minorHAnsi" w:cstheme="minorHAnsi"/>
          <w:sz w:val="22"/>
          <w:szCs w:val="22"/>
        </w:rPr>
        <w:t>), 90 (</w:t>
      </w:r>
      <w:r w:rsidR="00D22841">
        <w:rPr>
          <w:rFonts w:asciiTheme="minorHAnsi" w:hAnsiTheme="minorHAnsi" w:cstheme="minorHAnsi"/>
          <w:sz w:val="22"/>
          <w:szCs w:val="22"/>
        </w:rPr>
        <w:t>-0.17</w:t>
      </w:r>
      <w:r w:rsidRPr="00232A32">
        <w:rPr>
          <w:rFonts w:asciiTheme="minorHAnsi" w:hAnsiTheme="minorHAnsi" w:cstheme="minorHAnsi"/>
          <w:sz w:val="22"/>
          <w:szCs w:val="22"/>
        </w:rPr>
        <w:t xml:space="preserve"> S/</w:t>
      </w:r>
      <w:proofErr w:type="spellStart"/>
      <w:r w:rsidRPr="00232A32">
        <w:rPr>
          <w:rFonts w:asciiTheme="minorHAnsi" w:hAnsiTheme="minorHAnsi" w:cstheme="minorHAnsi"/>
          <w:sz w:val="22"/>
          <w:szCs w:val="22"/>
        </w:rPr>
        <w:t>Gln</w:t>
      </w:r>
      <w:proofErr w:type="spellEnd"/>
      <w:r w:rsidRPr="00232A32">
        <w:rPr>
          <w:rFonts w:asciiTheme="minorHAnsi" w:hAnsiTheme="minorHAnsi" w:cstheme="minorHAnsi"/>
          <w:sz w:val="22"/>
          <w:szCs w:val="22"/>
        </w:rPr>
        <w:t>) y 84 (</w:t>
      </w:r>
      <w:r w:rsidR="00D22841">
        <w:rPr>
          <w:rFonts w:asciiTheme="minorHAnsi" w:hAnsiTheme="minorHAnsi" w:cstheme="minorHAnsi"/>
          <w:sz w:val="22"/>
          <w:szCs w:val="22"/>
        </w:rPr>
        <w:t>-0.19</w:t>
      </w:r>
      <w:r w:rsidRPr="00232A32">
        <w:rPr>
          <w:rFonts w:asciiTheme="minorHAnsi" w:hAnsiTheme="minorHAnsi" w:cstheme="minorHAnsi"/>
          <w:sz w:val="22"/>
          <w:szCs w:val="22"/>
        </w:rPr>
        <w:t xml:space="preserve"> S/</w:t>
      </w:r>
      <w:proofErr w:type="spellStart"/>
      <w:r w:rsidRPr="00232A32">
        <w:rPr>
          <w:rFonts w:asciiTheme="minorHAnsi" w:hAnsiTheme="minorHAnsi" w:cstheme="minorHAnsi"/>
          <w:sz w:val="22"/>
          <w:szCs w:val="22"/>
        </w:rPr>
        <w:t>Gln</w:t>
      </w:r>
      <w:proofErr w:type="spellEnd"/>
      <w:r w:rsidRPr="00232A32">
        <w:rPr>
          <w:rFonts w:asciiTheme="minorHAnsi" w:hAnsiTheme="minorHAnsi" w:cstheme="minorHAnsi"/>
          <w:sz w:val="22"/>
          <w:szCs w:val="22"/>
        </w:rPr>
        <w:t>) octanos, los gasoholes de 97 (</w:t>
      </w:r>
      <w:r w:rsidR="00D22841">
        <w:rPr>
          <w:rFonts w:asciiTheme="minorHAnsi" w:hAnsiTheme="minorHAnsi" w:cstheme="minorHAnsi"/>
          <w:sz w:val="22"/>
          <w:szCs w:val="22"/>
        </w:rPr>
        <w:t>-0.17</w:t>
      </w:r>
      <w:r w:rsidRPr="00232A32">
        <w:rPr>
          <w:rFonts w:asciiTheme="minorHAnsi" w:hAnsiTheme="minorHAnsi" w:cstheme="minorHAnsi"/>
          <w:sz w:val="22"/>
          <w:szCs w:val="22"/>
        </w:rPr>
        <w:t xml:space="preserve"> S/</w:t>
      </w:r>
      <w:proofErr w:type="spellStart"/>
      <w:r w:rsidRPr="00232A32">
        <w:rPr>
          <w:rFonts w:asciiTheme="minorHAnsi" w:hAnsiTheme="minorHAnsi" w:cstheme="minorHAnsi"/>
          <w:sz w:val="22"/>
          <w:szCs w:val="22"/>
        </w:rPr>
        <w:t>Gln</w:t>
      </w:r>
      <w:proofErr w:type="spellEnd"/>
      <w:r w:rsidRPr="00232A32">
        <w:rPr>
          <w:rFonts w:asciiTheme="minorHAnsi" w:hAnsiTheme="minorHAnsi" w:cstheme="minorHAnsi"/>
          <w:sz w:val="22"/>
          <w:szCs w:val="22"/>
        </w:rPr>
        <w:t>), 95(</w:t>
      </w:r>
      <w:r w:rsidR="00D22841">
        <w:rPr>
          <w:rFonts w:asciiTheme="minorHAnsi" w:hAnsiTheme="minorHAnsi" w:cstheme="minorHAnsi"/>
          <w:sz w:val="22"/>
          <w:szCs w:val="22"/>
        </w:rPr>
        <w:t>-0.16</w:t>
      </w:r>
      <w:r w:rsidRPr="00232A32">
        <w:rPr>
          <w:rFonts w:asciiTheme="minorHAnsi" w:hAnsiTheme="minorHAnsi" w:cstheme="minorHAnsi"/>
          <w:sz w:val="22"/>
          <w:szCs w:val="22"/>
        </w:rPr>
        <w:t xml:space="preserve"> S/</w:t>
      </w:r>
      <w:proofErr w:type="spellStart"/>
      <w:r w:rsidRPr="00232A32">
        <w:rPr>
          <w:rFonts w:asciiTheme="minorHAnsi" w:hAnsiTheme="minorHAnsi" w:cstheme="minorHAnsi"/>
          <w:sz w:val="22"/>
          <w:szCs w:val="22"/>
        </w:rPr>
        <w:t>Gln</w:t>
      </w:r>
      <w:proofErr w:type="spellEnd"/>
      <w:r w:rsidRPr="00232A32">
        <w:rPr>
          <w:rFonts w:asciiTheme="minorHAnsi" w:hAnsiTheme="minorHAnsi" w:cstheme="minorHAnsi"/>
          <w:sz w:val="22"/>
          <w:szCs w:val="22"/>
        </w:rPr>
        <w:t>), 90(</w:t>
      </w:r>
      <w:r w:rsidR="00D22841">
        <w:rPr>
          <w:rFonts w:asciiTheme="minorHAnsi" w:hAnsiTheme="minorHAnsi" w:cstheme="minorHAnsi"/>
          <w:sz w:val="22"/>
          <w:szCs w:val="22"/>
        </w:rPr>
        <w:t>-0.14</w:t>
      </w:r>
      <w:r w:rsidRPr="00232A32">
        <w:rPr>
          <w:rFonts w:asciiTheme="minorHAnsi" w:hAnsiTheme="minorHAnsi" w:cstheme="minorHAnsi"/>
          <w:sz w:val="22"/>
          <w:szCs w:val="22"/>
        </w:rPr>
        <w:t xml:space="preserve"> S/</w:t>
      </w:r>
      <w:proofErr w:type="spellStart"/>
      <w:r w:rsidRPr="00232A32">
        <w:rPr>
          <w:rFonts w:asciiTheme="minorHAnsi" w:hAnsiTheme="minorHAnsi" w:cstheme="minorHAnsi"/>
          <w:sz w:val="22"/>
          <w:szCs w:val="22"/>
        </w:rPr>
        <w:t>Gln</w:t>
      </w:r>
      <w:proofErr w:type="spellEnd"/>
      <w:r w:rsidRPr="00232A32">
        <w:rPr>
          <w:rFonts w:asciiTheme="minorHAnsi" w:hAnsiTheme="minorHAnsi" w:cstheme="minorHAnsi"/>
          <w:sz w:val="22"/>
          <w:szCs w:val="22"/>
        </w:rPr>
        <w:t>) y 84 (</w:t>
      </w:r>
      <w:r w:rsidR="00D22841">
        <w:rPr>
          <w:rFonts w:asciiTheme="minorHAnsi" w:hAnsiTheme="minorHAnsi" w:cstheme="minorHAnsi"/>
          <w:sz w:val="22"/>
          <w:szCs w:val="22"/>
        </w:rPr>
        <w:t>-0.17</w:t>
      </w:r>
      <w:r w:rsidRPr="00232A32">
        <w:rPr>
          <w:rFonts w:asciiTheme="minorHAnsi" w:hAnsiTheme="minorHAnsi" w:cstheme="minorHAnsi"/>
          <w:sz w:val="22"/>
          <w:szCs w:val="22"/>
        </w:rPr>
        <w:t xml:space="preserve"> S/</w:t>
      </w:r>
      <w:proofErr w:type="spellStart"/>
      <w:r w:rsidRPr="00232A32">
        <w:rPr>
          <w:rFonts w:asciiTheme="minorHAnsi" w:hAnsiTheme="minorHAnsi" w:cstheme="minorHAnsi"/>
          <w:sz w:val="22"/>
          <w:szCs w:val="22"/>
        </w:rPr>
        <w:t>Gln</w:t>
      </w:r>
      <w:proofErr w:type="spellEnd"/>
      <w:r w:rsidRPr="00232A32">
        <w:rPr>
          <w:rFonts w:asciiTheme="minorHAnsi" w:hAnsiTheme="minorHAnsi" w:cstheme="minorHAnsi"/>
          <w:sz w:val="22"/>
          <w:szCs w:val="22"/>
        </w:rPr>
        <w:t xml:space="preserve">) octanos, así como en el </w:t>
      </w:r>
      <w:proofErr w:type="spellStart"/>
      <w:r w:rsidRPr="00232A32">
        <w:rPr>
          <w:rFonts w:asciiTheme="minorHAnsi" w:hAnsiTheme="minorHAnsi" w:cstheme="minorHAnsi"/>
          <w:sz w:val="22"/>
          <w:szCs w:val="22"/>
        </w:rPr>
        <w:t>Diesel</w:t>
      </w:r>
      <w:proofErr w:type="spellEnd"/>
      <w:r w:rsidRPr="00232A32">
        <w:rPr>
          <w:rFonts w:asciiTheme="minorHAnsi" w:hAnsiTheme="minorHAnsi" w:cstheme="minorHAnsi"/>
          <w:sz w:val="22"/>
          <w:szCs w:val="22"/>
        </w:rPr>
        <w:t xml:space="preserve"> B5(</w:t>
      </w:r>
      <w:r w:rsidR="00D22841">
        <w:rPr>
          <w:rFonts w:asciiTheme="minorHAnsi" w:hAnsiTheme="minorHAnsi" w:cstheme="minorHAnsi"/>
          <w:sz w:val="22"/>
          <w:szCs w:val="22"/>
        </w:rPr>
        <w:t>-0.42</w:t>
      </w:r>
      <w:r w:rsidRPr="00232A32">
        <w:rPr>
          <w:rFonts w:asciiTheme="minorHAnsi" w:hAnsiTheme="minorHAnsi" w:cstheme="minorHAnsi"/>
          <w:sz w:val="22"/>
          <w:szCs w:val="22"/>
        </w:rPr>
        <w:t xml:space="preserve"> S/</w:t>
      </w:r>
      <w:proofErr w:type="spellStart"/>
      <w:r w:rsidRPr="00232A32">
        <w:rPr>
          <w:rFonts w:asciiTheme="minorHAnsi" w:hAnsiTheme="minorHAnsi" w:cstheme="minorHAnsi"/>
          <w:sz w:val="22"/>
          <w:szCs w:val="22"/>
        </w:rPr>
        <w:t>Gln</w:t>
      </w:r>
      <w:proofErr w:type="spellEnd"/>
      <w:r w:rsidRPr="00232A32">
        <w:rPr>
          <w:rFonts w:asciiTheme="minorHAnsi" w:hAnsiTheme="minorHAnsi" w:cstheme="minorHAnsi"/>
          <w:sz w:val="22"/>
          <w:szCs w:val="22"/>
        </w:rPr>
        <w:t>) y los residuales R6(</w:t>
      </w:r>
      <w:r>
        <w:rPr>
          <w:rFonts w:asciiTheme="minorHAnsi" w:hAnsiTheme="minorHAnsi" w:cstheme="minorHAnsi"/>
          <w:sz w:val="22"/>
          <w:szCs w:val="22"/>
        </w:rPr>
        <w:t>+</w:t>
      </w:r>
      <w:r w:rsidRPr="00232A32">
        <w:rPr>
          <w:rFonts w:asciiTheme="minorHAnsi" w:hAnsiTheme="minorHAnsi" w:cstheme="minorHAnsi"/>
          <w:sz w:val="22"/>
          <w:szCs w:val="22"/>
        </w:rPr>
        <w:t>0.</w:t>
      </w:r>
      <w:r w:rsidR="00D22841">
        <w:rPr>
          <w:rFonts w:asciiTheme="minorHAnsi" w:hAnsiTheme="minorHAnsi" w:cstheme="minorHAnsi"/>
          <w:sz w:val="22"/>
          <w:szCs w:val="22"/>
        </w:rPr>
        <w:t>09</w:t>
      </w:r>
      <w:r w:rsidRPr="00232A32">
        <w:rPr>
          <w:rFonts w:asciiTheme="minorHAnsi" w:hAnsiTheme="minorHAnsi" w:cstheme="minorHAnsi"/>
          <w:sz w:val="22"/>
          <w:szCs w:val="22"/>
        </w:rPr>
        <w:t xml:space="preserve"> S/</w:t>
      </w:r>
      <w:proofErr w:type="spellStart"/>
      <w:r w:rsidRPr="00232A32">
        <w:rPr>
          <w:rFonts w:asciiTheme="minorHAnsi" w:hAnsiTheme="minorHAnsi" w:cstheme="minorHAnsi"/>
          <w:sz w:val="22"/>
          <w:szCs w:val="22"/>
        </w:rPr>
        <w:t>Gln</w:t>
      </w:r>
      <w:proofErr w:type="spellEnd"/>
      <w:r w:rsidRPr="00232A32">
        <w:rPr>
          <w:rFonts w:asciiTheme="minorHAnsi" w:hAnsiTheme="minorHAnsi" w:cstheme="minorHAnsi"/>
          <w:sz w:val="22"/>
          <w:szCs w:val="22"/>
        </w:rPr>
        <w:t>) y R500(</w:t>
      </w:r>
      <w:r>
        <w:rPr>
          <w:rFonts w:asciiTheme="minorHAnsi" w:hAnsiTheme="minorHAnsi" w:cstheme="minorHAnsi"/>
          <w:sz w:val="22"/>
          <w:szCs w:val="22"/>
        </w:rPr>
        <w:t>+</w:t>
      </w:r>
      <w:r w:rsidRPr="00232A32">
        <w:rPr>
          <w:rFonts w:asciiTheme="minorHAnsi" w:hAnsiTheme="minorHAnsi" w:cstheme="minorHAnsi"/>
          <w:sz w:val="22"/>
          <w:szCs w:val="22"/>
        </w:rPr>
        <w:t>0.</w:t>
      </w:r>
      <w:r w:rsidR="00D22841">
        <w:rPr>
          <w:rFonts w:asciiTheme="minorHAnsi" w:hAnsiTheme="minorHAnsi" w:cstheme="minorHAnsi"/>
          <w:sz w:val="22"/>
          <w:szCs w:val="22"/>
        </w:rPr>
        <w:t>17</w:t>
      </w:r>
      <w:r w:rsidRPr="00232A32">
        <w:rPr>
          <w:rFonts w:asciiTheme="minorHAnsi" w:hAnsiTheme="minorHAnsi" w:cstheme="minorHAnsi"/>
          <w:sz w:val="22"/>
          <w:szCs w:val="22"/>
        </w:rPr>
        <w:t xml:space="preserve"> S/</w:t>
      </w:r>
      <w:proofErr w:type="spellStart"/>
      <w:r w:rsidRPr="00232A32">
        <w:rPr>
          <w:rFonts w:asciiTheme="minorHAnsi" w:hAnsiTheme="minorHAnsi" w:cstheme="minorHAnsi"/>
          <w:sz w:val="22"/>
          <w:szCs w:val="22"/>
        </w:rPr>
        <w:t>Gln</w:t>
      </w:r>
      <w:proofErr w:type="spellEnd"/>
      <w:r w:rsidRPr="00232A32">
        <w:rPr>
          <w:rFonts w:asciiTheme="minorHAnsi" w:hAnsiTheme="minorHAnsi" w:cstheme="minorHAnsi"/>
          <w:sz w:val="22"/>
          <w:szCs w:val="22"/>
        </w:rPr>
        <w:t>)</w:t>
      </w:r>
      <w:r>
        <w:rPr>
          <w:rFonts w:asciiTheme="minorHAnsi" w:hAnsiTheme="minorHAnsi" w:cstheme="minorHAnsi"/>
          <w:sz w:val="22"/>
          <w:szCs w:val="22"/>
        </w:rPr>
        <w:t>.</w:t>
      </w:r>
      <w:r w:rsidR="004D4B7D" w:rsidRPr="004D4B7D">
        <w:rPr>
          <w:rFonts w:asciiTheme="minorHAnsi" w:hAnsiTheme="minorHAnsi" w:cstheme="minorHAnsi"/>
          <w:sz w:val="22"/>
          <w:szCs w:val="22"/>
        </w:rPr>
        <w:t xml:space="preserve"> </w:t>
      </w:r>
    </w:p>
    <w:p w14:paraId="2C4AC7AC" w14:textId="75DAD3FE" w:rsidR="009D32AB" w:rsidRPr="00232A32" w:rsidRDefault="00300844" w:rsidP="00352B3A">
      <w:pPr>
        <w:pStyle w:val="Sangradetextonormal"/>
        <w:rPr>
          <w:rFonts w:asciiTheme="minorHAnsi" w:hAnsiTheme="minorHAnsi" w:cstheme="minorHAnsi"/>
          <w:sz w:val="22"/>
          <w:szCs w:val="22"/>
        </w:rPr>
      </w:pPr>
      <w:r w:rsidRPr="00232A32">
        <w:rPr>
          <w:rFonts w:asciiTheme="minorHAnsi" w:hAnsiTheme="minorHAnsi" w:cstheme="minorHAnsi"/>
          <w:sz w:val="22"/>
          <w:szCs w:val="22"/>
        </w:rPr>
        <w:br w:type="page"/>
      </w: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lastRenderedPageBreak/>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77777777"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7777777" w:rsidR="00E53D92" w:rsidRPr="002B3648" w:rsidRDefault="00E53D92" w:rsidP="0004242F">
      <w:pPr>
        <w:numPr>
          <w:ilvl w:val="0"/>
          <w:numId w:val="5"/>
        </w:numPr>
        <w:tabs>
          <w:tab w:val="clear" w:pos="540"/>
          <w:tab w:val="num" w:pos="0"/>
        </w:tabs>
        <w:ind w:left="0" w:firstLine="0"/>
        <w:jc w:val="both"/>
        <w:rPr>
          <w:rFonts w:asciiTheme="minorHAnsi" w:hAnsiTheme="minorHAnsi" w:cstheme="minorHAnsi"/>
          <w:sz w:val="22"/>
          <w:szCs w:val="22"/>
        </w:rPr>
      </w:pPr>
      <w:r w:rsidRPr="002B3648">
        <w:rPr>
          <w:rFonts w:asciiTheme="minorHAnsi" w:hAnsiTheme="minorHAnsi" w:cstheme="minorHAnsi"/>
          <w:sz w:val="22"/>
          <w:szCs w:val="22"/>
        </w:rPr>
        <w:t>No está</w:t>
      </w:r>
      <w:r>
        <w:rPr>
          <w:rFonts w:asciiTheme="minorHAnsi" w:hAnsiTheme="minorHAnsi" w:cstheme="minorHAnsi"/>
          <w:sz w:val="22"/>
          <w:szCs w:val="22"/>
        </w:rPr>
        <w:t>n</w:t>
      </w:r>
      <w:r w:rsidRPr="002B3648">
        <w:rPr>
          <w:rFonts w:asciiTheme="minorHAnsi" w:hAnsiTheme="minorHAnsi" w:cstheme="minorHAnsi"/>
          <w:sz w:val="22"/>
          <w:szCs w:val="22"/>
        </w:rPr>
        <w:t xml:space="preserve">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77777777" w:rsidR="00E53D92" w:rsidRPr="00E77343"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1744D258" w14:textId="3E8895CE"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5167901B" w14:textId="77E19B7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5312B21B" w14:textId="77777777" w:rsidR="00352B3A" w:rsidRDefault="00352B3A">
      <w:pPr>
        <w:rPr>
          <w:rFonts w:asciiTheme="minorHAnsi" w:hAnsiTheme="minorHAnsi" w:cstheme="minorHAnsi"/>
          <w:sz w:val="22"/>
          <w:szCs w:val="22"/>
        </w:rPr>
      </w:pPr>
    </w:p>
    <w:p w14:paraId="2516A28A" w14:textId="67CA32FB" w:rsidR="00EA628C" w:rsidRDefault="00EA628C">
      <w:pPr>
        <w:rPr>
          <w:rFonts w:asciiTheme="minorHAnsi" w:hAnsiTheme="minorHAnsi" w:cstheme="minorHAnsi"/>
          <w:sz w:val="22"/>
          <w:szCs w:val="22"/>
        </w:rPr>
      </w:pPr>
      <w:r>
        <w:rPr>
          <w:rFonts w:asciiTheme="minorHAnsi" w:hAnsiTheme="minorHAnsi" w:cstheme="minorHAnsi"/>
          <w:sz w:val="22"/>
          <w:szCs w:val="22"/>
        </w:rPr>
        <w:br w:type="page"/>
      </w: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68171A31" w14:textId="6FDB9A99"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7769B8">
        <w:rPr>
          <w:rFonts w:asciiTheme="minorHAnsi" w:hAnsiTheme="minorHAnsi" w:cstheme="minorHAnsi"/>
          <w:sz w:val="22"/>
          <w:szCs w:val="22"/>
        </w:rPr>
        <w:t>06</w:t>
      </w:r>
      <w:r>
        <w:rPr>
          <w:rFonts w:asciiTheme="minorHAnsi" w:hAnsiTheme="minorHAnsi" w:cstheme="minorHAnsi"/>
          <w:sz w:val="22"/>
          <w:szCs w:val="22"/>
        </w:rPr>
        <w:t>/0</w:t>
      </w:r>
      <w:r w:rsidR="007769B8">
        <w:rPr>
          <w:rFonts w:asciiTheme="minorHAnsi" w:hAnsiTheme="minorHAnsi" w:cstheme="minorHAnsi"/>
          <w:sz w:val="22"/>
          <w:szCs w:val="22"/>
        </w:rPr>
        <w:t>2</w:t>
      </w:r>
      <w:r>
        <w:rPr>
          <w:rFonts w:asciiTheme="minorHAnsi" w:hAnsiTheme="minorHAnsi" w:cstheme="minorHAnsi"/>
          <w:sz w:val="22"/>
          <w:szCs w:val="22"/>
        </w:rPr>
        <w:t xml:space="preserve">/2023 y el </w:t>
      </w:r>
      <w:r w:rsidR="007769B8">
        <w:rPr>
          <w:rFonts w:asciiTheme="minorHAnsi" w:hAnsiTheme="minorHAnsi" w:cstheme="minorHAnsi"/>
          <w:sz w:val="22"/>
          <w:szCs w:val="22"/>
        </w:rPr>
        <w:t>17</w:t>
      </w:r>
      <w:r>
        <w:rPr>
          <w:rFonts w:asciiTheme="minorHAnsi" w:hAnsiTheme="minorHAnsi" w:cstheme="minorHAnsi"/>
          <w:sz w:val="22"/>
          <w:szCs w:val="22"/>
        </w:rPr>
        <w:t>/0</w:t>
      </w:r>
      <w:r w:rsidR="00277E11">
        <w:rPr>
          <w:rFonts w:asciiTheme="minorHAnsi" w:hAnsiTheme="minorHAnsi" w:cstheme="minorHAnsi"/>
          <w:sz w:val="22"/>
          <w:szCs w:val="22"/>
        </w:rPr>
        <w:t>2</w:t>
      </w:r>
      <w:r>
        <w:rPr>
          <w:rFonts w:asciiTheme="minorHAnsi" w:hAnsiTheme="minorHAnsi" w:cstheme="minorHAnsi"/>
          <w:sz w:val="22"/>
          <w:szCs w:val="22"/>
        </w:rPr>
        <w:t>/2023, se muestra en la Gráfica N°</w:t>
      </w:r>
      <w:r w:rsidR="00E37B1A">
        <w:rPr>
          <w:rFonts w:asciiTheme="minorHAnsi" w:hAnsiTheme="minorHAnsi" w:cstheme="minorHAnsi"/>
          <w:sz w:val="22"/>
          <w:szCs w:val="22"/>
        </w:rPr>
        <w:t xml:space="preserve"> </w:t>
      </w:r>
      <w:r>
        <w:rPr>
          <w:rFonts w:asciiTheme="minorHAnsi" w:hAnsiTheme="minorHAnsi" w:cstheme="minorHAnsi"/>
          <w:sz w:val="22"/>
          <w:szCs w:val="22"/>
        </w:rPr>
        <w:t>2.</w:t>
      </w:r>
    </w:p>
    <w:p w14:paraId="5BC0A457" w14:textId="77777777" w:rsidR="00A86191" w:rsidRDefault="00A86191" w:rsidP="00A86191">
      <w:pPr>
        <w:jc w:val="both"/>
        <w:rPr>
          <w:rFonts w:asciiTheme="minorHAnsi" w:hAnsiTheme="minorHAnsi" w:cstheme="minorHAnsi"/>
          <w:sz w:val="22"/>
          <w:szCs w:val="22"/>
        </w:rPr>
      </w:pPr>
      <w:r>
        <w:rPr>
          <w:rFonts w:asciiTheme="minorHAnsi" w:hAnsiTheme="minorHAnsi" w:cstheme="minorHAnsi"/>
          <w:sz w:val="22"/>
          <w:szCs w:val="22"/>
        </w:rPr>
        <w:t xml:space="preserve"> </w:t>
      </w:r>
    </w:p>
    <w:p w14:paraId="086D8755" w14:textId="56C6CDF3"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GRÁFICA N°</w:t>
      </w:r>
      <w:r w:rsidR="00E37B1A">
        <w:rPr>
          <w:rFonts w:ascii="Calibri" w:hAnsi="Calibri" w:cs="Arial"/>
          <w:b/>
          <w:bCs/>
          <w:i/>
          <w:sz w:val="22"/>
          <w:szCs w:val="22"/>
          <w:lang w:eastAsia="es-PE"/>
        </w:rPr>
        <w:t xml:space="preserve"> </w:t>
      </w:r>
      <w:r>
        <w:rPr>
          <w:rFonts w:ascii="Calibri" w:hAnsi="Calibri" w:cs="Arial"/>
          <w:b/>
          <w:bCs/>
          <w:i/>
          <w:sz w:val="22"/>
          <w:szCs w:val="22"/>
          <w:lang w:eastAsia="es-PE"/>
        </w:rPr>
        <w:t xml:space="preserve">2: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E37B1A">
        <w:rPr>
          <w:rFonts w:ascii="Calibri" w:hAnsi="Calibri" w:cs="Arial"/>
          <w:b/>
          <w:bCs/>
          <w:i/>
          <w:sz w:val="22"/>
          <w:szCs w:val="22"/>
          <w:lang w:eastAsia="es-PE"/>
        </w:rPr>
        <w:t>17</w:t>
      </w:r>
      <w:r>
        <w:rPr>
          <w:rFonts w:ascii="Calibri" w:hAnsi="Calibri" w:cs="Arial"/>
          <w:b/>
          <w:bCs/>
          <w:i/>
          <w:sz w:val="22"/>
          <w:szCs w:val="22"/>
          <w:lang w:eastAsia="es-PE"/>
        </w:rPr>
        <w:t>-0</w:t>
      </w:r>
      <w:r w:rsidR="00277E11">
        <w:rPr>
          <w:rFonts w:ascii="Calibri" w:hAnsi="Calibri" w:cs="Arial"/>
          <w:b/>
          <w:bCs/>
          <w:i/>
          <w:sz w:val="22"/>
          <w:szCs w:val="22"/>
          <w:lang w:eastAsia="es-PE"/>
        </w:rPr>
        <w:t>2</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23D7D28C" w:rsidR="00A86191" w:rsidRPr="00CC2A8A" w:rsidRDefault="00DC7B34" w:rsidP="00A86191">
      <w:pPr>
        <w:pBdr>
          <w:top w:val="single" w:sz="4" w:space="1" w:color="auto"/>
          <w:bottom w:val="single" w:sz="4" w:space="1" w:color="auto"/>
        </w:pBdr>
        <w:rPr>
          <w:rFonts w:ascii="Calibri" w:hAnsi="Calibri" w:cs="Arial"/>
          <w:bCs/>
          <w:sz w:val="32"/>
          <w:szCs w:val="32"/>
        </w:rPr>
      </w:pPr>
      <w:r>
        <w:rPr>
          <w:rFonts w:ascii="Calibri" w:hAnsi="Calibri" w:cs="Arial"/>
          <w:bCs/>
          <w:noProof/>
          <w:sz w:val="32"/>
          <w:szCs w:val="32"/>
          <w:lang w:val="es-PE" w:eastAsia="es-PE"/>
        </w:rPr>
        <w:drawing>
          <wp:inline distT="0" distB="0" distL="0" distR="0" wp14:anchorId="11224E2D" wp14:editId="5F674C0B">
            <wp:extent cx="5490000" cy="3178800"/>
            <wp:effectExtent l="0" t="0" r="0" b="317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90000" cy="3178800"/>
                    </a:xfrm>
                    <a:prstGeom prst="rect">
                      <a:avLst/>
                    </a:prstGeom>
                    <a:noFill/>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0BCA0BE4" w14:textId="77777777" w:rsidR="00A86191" w:rsidRPr="001A4F79" w:rsidRDefault="00A86191" w:rsidP="00A86191">
      <w:pPr>
        <w:spacing w:line="276" w:lineRule="auto"/>
        <w:rPr>
          <w:rFonts w:ascii="Calibri" w:eastAsia="Calibri" w:hAnsi="Calibri"/>
          <w:sz w:val="22"/>
          <w:szCs w:val="22"/>
        </w:rPr>
      </w:pPr>
    </w:p>
    <w:p w14:paraId="5187EED7"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 xml:space="preserve">  </w:t>
      </w:r>
    </w:p>
    <w:p w14:paraId="2EDB6123" w14:textId="483F44FD" w:rsidR="00277E11" w:rsidRDefault="00277E11" w:rsidP="00277E11">
      <w:pPr>
        <w:jc w:val="both"/>
        <w:rPr>
          <w:rFonts w:asciiTheme="minorHAnsi" w:hAnsiTheme="minorHAnsi" w:cstheme="minorHAnsi"/>
          <w:sz w:val="22"/>
          <w:szCs w:val="22"/>
        </w:rPr>
      </w:pPr>
      <w:r w:rsidRPr="00061BE1">
        <w:rPr>
          <w:rFonts w:asciiTheme="minorHAnsi" w:hAnsiTheme="minorHAnsi" w:cstheme="minorHAnsi"/>
          <w:sz w:val="22"/>
          <w:szCs w:val="22"/>
        </w:rPr>
        <w:t>En la Gráfica N°</w:t>
      </w:r>
      <w:r w:rsidR="00E37B1A">
        <w:rPr>
          <w:rFonts w:asciiTheme="minorHAnsi" w:hAnsiTheme="minorHAnsi" w:cstheme="minorHAnsi"/>
          <w:sz w:val="22"/>
          <w:szCs w:val="22"/>
        </w:rPr>
        <w:t xml:space="preserve"> </w:t>
      </w:r>
      <w:r w:rsidRPr="00061BE1">
        <w:rPr>
          <w:rFonts w:asciiTheme="minorHAnsi" w:hAnsiTheme="minorHAnsi" w:cstheme="minorHAnsi"/>
          <w:sz w:val="22"/>
          <w:szCs w:val="22"/>
        </w:rPr>
        <w:t xml:space="preserve">2, se aprecia que el Precio FOB se ubicó en </w:t>
      </w:r>
      <w:r>
        <w:rPr>
          <w:rFonts w:asciiTheme="minorHAnsi" w:hAnsiTheme="minorHAnsi" w:cstheme="minorHAnsi"/>
          <w:sz w:val="22"/>
          <w:szCs w:val="22"/>
        </w:rPr>
        <w:t>79</w:t>
      </w:r>
      <w:r w:rsidRPr="00061BE1">
        <w:rPr>
          <w:rFonts w:asciiTheme="minorHAnsi" w:hAnsiTheme="minorHAnsi" w:cstheme="minorHAnsi"/>
          <w:sz w:val="22"/>
          <w:szCs w:val="22"/>
        </w:rPr>
        <w:t>% del precio de referencia del GLP</w:t>
      </w:r>
      <w:r>
        <w:rPr>
          <w:rFonts w:asciiTheme="minorHAnsi" w:hAnsiTheme="minorHAnsi" w:cstheme="minorHAnsi"/>
          <w:sz w:val="22"/>
          <w:szCs w:val="22"/>
        </w:rPr>
        <w:t xml:space="preserve">, 88% </w:t>
      </w:r>
      <w:r w:rsidR="00E37B1A">
        <w:rPr>
          <w:rFonts w:asciiTheme="minorHAnsi" w:hAnsiTheme="minorHAnsi" w:cstheme="minorHAnsi"/>
          <w:sz w:val="22"/>
          <w:szCs w:val="22"/>
        </w:rPr>
        <w:t xml:space="preserve">y 89% </w:t>
      </w:r>
      <w:r>
        <w:rPr>
          <w:rFonts w:asciiTheme="minorHAnsi" w:hAnsiTheme="minorHAnsi" w:cstheme="minorHAnsi"/>
          <w:sz w:val="22"/>
          <w:szCs w:val="22"/>
        </w:rPr>
        <w:t xml:space="preserve">del precio de referencia de los biocombustibles, </w:t>
      </w:r>
      <w:r w:rsidR="00E37B1A">
        <w:rPr>
          <w:rFonts w:asciiTheme="minorHAnsi" w:hAnsiTheme="minorHAnsi" w:cstheme="minorHAnsi"/>
          <w:sz w:val="22"/>
          <w:szCs w:val="22"/>
        </w:rPr>
        <w:t>8</w:t>
      </w:r>
      <w:r w:rsidR="007769B8">
        <w:rPr>
          <w:rFonts w:asciiTheme="minorHAnsi" w:hAnsiTheme="minorHAnsi" w:cstheme="minorHAnsi"/>
          <w:sz w:val="22"/>
          <w:szCs w:val="22"/>
        </w:rPr>
        <w:t>0</w:t>
      </w:r>
      <w:r>
        <w:rPr>
          <w:rFonts w:asciiTheme="minorHAnsi" w:hAnsiTheme="minorHAnsi" w:cstheme="minorHAnsi"/>
          <w:sz w:val="22"/>
          <w:szCs w:val="22"/>
        </w:rPr>
        <w:t>%</w:t>
      </w:r>
      <w:r w:rsidR="00E37B1A">
        <w:rPr>
          <w:rFonts w:asciiTheme="minorHAnsi" w:hAnsiTheme="minorHAnsi" w:cstheme="minorHAnsi"/>
          <w:sz w:val="22"/>
          <w:szCs w:val="22"/>
        </w:rPr>
        <w:t xml:space="preserve"> </w:t>
      </w:r>
      <w:r>
        <w:rPr>
          <w:rFonts w:asciiTheme="minorHAnsi" w:hAnsiTheme="minorHAnsi" w:cstheme="minorHAnsi"/>
          <w:sz w:val="22"/>
          <w:szCs w:val="22"/>
        </w:rPr>
        <w:t xml:space="preserve">del precio de los residuales R6 y R500; y fue igual o </w:t>
      </w:r>
      <w:r w:rsidRPr="00061BE1">
        <w:rPr>
          <w:rFonts w:asciiTheme="minorHAnsi" w:hAnsiTheme="minorHAnsi" w:cstheme="minorHAnsi"/>
          <w:sz w:val="22"/>
          <w:szCs w:val="22"/>
        </w:rPr>
        <w:t xml:space="preserve">superior al </w:t>
      </w:r>
      <w:r w:rsidR="00A572F0">
        <w:rPr>
          <w:rFonts w:asciiTheme="minorHAnsi" w:hAnsiTheme="minorHAnsi" w:cstheme="minorHAnsi"/>
          <w:sz w:val="22"/>
          <w:szCs w:val="22"/>
        </w:rPr>
        <w:t>88</w:t>
      </w:r>
      <w:r w:rsidRPr="00061BE1">
        <w:rPr>
          <w:rFonts w:asciiTheme="minorHAnsi" w:hAnsiTheme="minorHAnsi" w:cstheme="minorHAnsi"/>
          <w:sz w:val="22"/>
          <w:szCs w:val="22"/>
        </w:rPr>
        <w:t>% del precio de referencia de los demás combustibles.</w:t>
      </w:r>
      <w:r>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Pr>
          <w:rFonts w:asciiTheme="minorHAnsi" w:hAnsiTheme="minorHAnsi" w:cstheme="minorHAnsi"/>
          <w:sz w:val="22"/>
          <w:szCs w:val="22"/>
        </w:rPr>
        <w:t xml:space="preserve"> FOB </w:t>
      </w:r>
      <w:r w:rsidRPr="00E14E7E">
        <w:rPr>
          <w:rFonts w:asciiTheme="minorHAnsi" w:hAnsiTheme="minorHAnsi" w:cstheme="minorHAnsi"/>
          <w:sz w:val="22"/>
          <w:szCs w:val="22"/>
        </w:rPr>
        <w:t>incluye</w:t>
      </w:r>
      <w:r>
        <w:rPr>
          <w:rFonts w:asciiTheme="minorHAnsi" w:hAnsiTheme="minorHAnsi" w:cstheme="minorHAnsi"/>
          <w:sz w:val="22"/>
          <w:szCs w:val="22"/>
        </w:rPr>
        <w:t xml:space="preserve"> la tarifa “Terminalling” del GLP; el descuento por concepto de RVO, aplicado al precio de las Gasolinas y Diésel 2; y</w:t>
      </w:r>
      <w:r w:rsidRPr="00E14E7E">
        <w:rPr>
          <w:rFonts w:asciiTheme="minorHAnsi" w:hAnsiTheme="minorHAnsi" w:cstheme="minorHAnsi"/>
          <w:sz w:val="22"/>
          <w:szCs w:val="22"/>
        </w:rPr>
        <w:t xml:space="preserve"> </w:t>
      </w:r>
      <w:r>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Pr>
          <w:rFonts w:asciiTheme="minorHAnsi" w:hAnsiTheme="minorHAnsi" w:cstheme="minorHAnsi"/>
          <w:sz w:val="22"/>
          <w:szCs w:val="22"/>
        </w:rPr>
        <w:t xml:space="preserve"> de calidad para las G</w:t>
      </w:r>
      <w:r w:rsidRPr="00E14E7E">
        <w:rPr>
          <w:rFonts w:asciiTheme="minorHAnsi" w:hAnsiTheme="minorHAnsi" w:cstheme="minorHAnsi"/>
          <w:sz w:val="22"/>
          <w:szCs w:val="22"/>
        </w:rPr>
        <w:t>asolinas,</w:t>
      </w:r>
      <w:r>
        <w:rPr>
          <w:rFonts w:asciiTheme="minorHAnsi" w:hAnsiTheme="minorHAnsi" w:cstheme="minorHAnsi"/>
          <w:sz w:val="22"/>
          <w:szCs w:val="22"/>
        </w:rPr>
        <w:t xml:space="preserve"> D</w:t>
      </w:r>
      <w:r w:rsidRPr="00E14E7E">
        <w:rPr>
          <w:rFonts w:asciiTheme="minorHAnsi" w:hAnsiTheme="minorHAnsi" w:cstheme="minorHAnsi"/>
          <w:sz w:val="22"/>
          <w:szCs w:val="22"/>
        </w:rPr>
        <w:t>iésel</w:t>
      </w:r>
      <w:r>
        <w:rPr>
          <w:rFonts w:asciiTheme="minorHAnsi" w:hAnsiTheme="minorHAnsi" w:cstheme="minorHAnsi"/>
          <w:sz w:val="22"/>
          <w:szCs w:val="22"/>
        </w:rPr>
        <w:t xml:space="preserve"> y R</w:t>
      </w:r>
      <w:r w:rsidRPr="00E14E7E">
        <w:rPr>
          <w:rFonts w:asciiTheme="minorHAnsi" w:hAnsiTheme="minorHAnsi" w:cstheme="minorHAnsi"/>
          <w:sz w:val="22"/>
          <w:szCs w:val="22"/>
        </w:rPr>
        <w:t xml:space="preserve">esidual 500. </w:t>
      </w:r>
    </w:p>
    <w:p w14:paraId="6DFAEA79" w14:textId="77777777" w:rsidR="00A572F0" w:rsidRDefault="00A572F0" w:rsidP="00277E11">
      <w:pPr>
        <w:jc w:val="both"/>
        <w:rPr>
          <w:rFonts w:asciiTheme="minorHAnsi" w:hAnsiTheme="minorHAnsi" w:cstheme="minorHAnsi"/>
          <w:sz w:val="22"/>
          <w:szCs w:val="22"/>
        </w:rPr>
      </w:pPr>
    </w:p>
    <w:p w14:paraId="312A5601" w14:textId="5849137C" w:rsidR="00277E11" w:rsidRDefault="00277E11" w:rsidP="00277E11">
      <w:pPr>
        <w:jc w:val="both"/>
        <w:rPr>
          <w:rFonts w:asciiTheme="minorHAnsi" w:hAnsiTheme="minorHAnsi" w:cstheme="minorHAnsi"/>
          <w:sz w:val="22"/>
          <w:szCs w:val="22"/>
        </w:rPr>
      </w:pPr>
      <w:r>
        <w:rPr>
          <w:rFonts w:asciiTheme="minorHAnsi" w:hAnsiTheme="minorHAnsi" w:cstheme="minorHAnsi"/>
          <w:sz w:val="22"/>
          <w:szCs w:val="22"/>
        </w:rPr>
        <w:lastRenderedPageBreak/>
        <w:t xml:space="preserve">A continuación, se presenta una descripción del cálculo del Precio FOB de los Combustibles, indicando los valores obtenidos para cada uno de sus componentes al </w:t>
      </w:r>
      <w:r w:rsidR="00A572F0">
        <w:rPr>
          <w:rFonts w:asciiTheme="minorHAnsi" w:hAnsiTheme="minorHAnsi" w:cstheme="minorHAnsi"/>
          <w:sz w:val="22"/>
          <w:szCs w:val="22"/>
        </w:rPr>
        <w:t>17</w:t>
      </w:r>
      <w:r>
        <w:rPr>
          <w:rFonts w:asciiTheme="minorHAnsi" w:hAnsiTheme="minorHAnsi" w:cstheme="minorHAnsi"/>
          <w:sz w:val="22"/>
          <w:szCs w:val="22"/>
        </w:rPr>
        <w:t xml:space="preserve"> de febrero 2023. </w:t>
      </w:r>
    </w:p>
    <w:p w14:paraId="10F1A0B6" w14:textId="4032397B" w:rsidR="00AF3F44" w:rsidRDefault="00277E11" w:rsidP="00277E11">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r w:rsidR="00AF3F44">
        <w:rPr>
          <w:rFonts w:asciiTheme="minorHAnsi" w:hAnsiTheme="minorHAnsi" w:cstheme="minorHAnsi"/>
          <w:sz w:val="22"/>
          <w:szCs w:val="22"/>
        </w:rPr>
        <w:t>.</w:t>
      </w:r>
    </w:p>
    <w:p w14:paraId="3F95B49B" w14:textId="77777777" w:rsidR="00C80F8A" w:rsidRPr="00003F04" w:rsidRDefault="00C80F8A" w:rsidP="00F85D23">
      <w:pPr>
        <w:jc w:val="both"/>
        <w:rPr>
          <w:rFonts w:asciiTheme="minorHAnsi" w:hAnsiTheme="minorHAnsi" w:cstheme="minorHAnsi"/>
          <w:sz w:val="22"/>
          <w:szCs w:val="22"/>
        </w:rPr>
      </w:pPr>
    </w:p>
    <w:p w14:paraId="7DBFCB6E" w14:textId="77777777" w:rsidR="00277E11" w:rsidRDefault="00277E11" w:rsidP="00277E11">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41EC45E1" w14:textId="77777777" w:rsidR="00277E11" w:rsidRPr="00265D45" w:rsidRDefault="00277E11" w:rsidP="00277E11">
      <w:pPr>
        <w:pStyle w:val="Prrafodelista"/>
        <w:ind w:left="426" w:hanging="426"/>
        <w:jc w:val="both"/>
        <w:rPr>
          <w:rFonts w:asciiTheme="minorHAnsi" w:hAnsiTheme="minorHAnsi" w:cstheme="minorHAnsi"/>
          <w:b/>
          <w:sz w:val="22"/>
          <w:szCs w:val="22"/>
          <w:u w:val="single"/>
        </w:rPr>
      </w:pPr>
    </w:p>
    <w:p w14:paraId="20419997" w14:textId="77777777" w:rsidR="00277E11" w:rsidRPr="006E3A77" w:rsidRDefault="00277E11" w:rsidP="00277E11">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0FADE8F6" w14:textId="11071AA2" w:rsidR="00277E11" w:rsidRPr="006E3A77" w:rsidRDefault="00277E11" w:rsidP="00277E11">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Pr>
          <w:rFonts w:asciiTheme="minorHAnsi" w:hAnsiTheme="minorHAnsi" w:cstheme="minorHAnsi"/>
          <w:sz w:val="22"/>
          <w:szCs w:val="22"/>
        </w:rPr>
        <w:t>1</w:t>
      </w:r>
      <w:r w:rsidR="00A572F0">
        <w:rPr>
          <w:rFonts w:asciiTheme="minorHAnsi" w:hAnsiTheme="minorHAnsi" w:cstheme="minorHAnsi"/>
          <w:sz w:val="22"/>
          <w:szCs w:val="22"/>
        </w:rPr>
        <w:t>1</w:t>
      </w:r>
      <w:r>
        <w:rPr>
          <w:rFonts w:asciiTheme="minorHAnsi" w:hAnsiTheme="minorHAnsi" w:cstheme="minorHAnsi"/>
          <w:sz w:val="22"/>
          <w:szCs w:val="22"/>
        </w:rPr>
        <w:t>.</w:t>
      </w:r>
      <w:r w:rsidR="00A572F0">
        <w:rPr>
          <w:rFonts w:asciiTheme="minorHAnsi" w:hAnsiTheme="minorHAnsi" w:cstheme="minorHAnsi"/>
          <w:sz w:val="22"/>
          <w:szCs w:val="22"/>
        </w:rPr>
        <w:t>55</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1DCED433" w14:textId="77777777" w:rsidR="00277E11" w:rsidRPr="006E3A77" w:rsidRDefault="00277E11" w:rsidP="00277E11">
      <w:pPr>
        <w:pStyle w:val="Prrafodelista"/>
        <w:ind w:left="426" w:hanging="426"/>
        <w:jc w:val="center"/>
        <w:rPr>
          <w:rFonts w:asciiTheme="minorHAnsi" w:hAnsiTheme="minorHAnsi" w:cstheme="minorHAnsi"/>
          <w:sz w:val="22"/>
          <w:szCs w:val="22"/>
          <w:lang w:val="es-MX"/>
        </w:rPr>
      </w:pPr>
    </w:p>
    <w:p w14:paraId="22AF7029" w14:textId="1D1F0B10" w:rsidR="00277E11" w:rsidRPr="006E3A77" w:rsidRDefault="00277E11" w:rsidP="00277E1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Pr>
          <w:rFonts w:asciiTheme="minorHAnsi" w:hAnsiTheme="minorHAnsi" w:cstheme="minorHAnsi"/>
          <w:sz w:val="22"/>
          <w:szCs w:val="22"/>
          <w:lang w:val="en-US"/>
        </w:rPr>
        <w:t>1</w:t>
      </w:r>
      <w:r w:rsidR="00A572F0">
        <w:rPr>
          <w:rFonts w:asciiTheme="minorHAnsi" w:hAnsiTheme="minorHAnsi" w:cstheme="minorHAnsi"/>
          <w:sz w:val="22"/>
          <w:szCs w:val="22"/>
          <w:lang w:val="en-US"/>
        </w:rPr>
        <w:t>1</w:t>
      </w:r>
      <w:r>
        <w:rPr>
          <w:rFonts w:asciiTheme="minorHAnsi" w:hAnsiTheme="minorHAnsi" w:cstheme="minorHAnsi"/>
          <w:sz w:val="22"/>
          <w:szCs w:val="22"/>
          <w:lang w:val="en-US"/>
        </w:rPr>
        <w:t>.</w:t>
      </w:r>
      <w:r w:rsidR="00A572F0">
        <w:rPr>
          <w:rFonts w:asciiTheme="minorHAnsi" w:hAnsiTheme="minorHAnsi" w:cstheme="minorHAnsi"/>
          <w:sz w:val="22"/>
          <w:szCs w:val="22"/>
          <w:lang w:val="en-US"/>
        </w:rPr>
        <w:t>55</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xml:space="preserve">* (521.74/729.23) = </w:t>
      </w:r>
      <w:r w:rsidR="00A572F0">
        <w:rPr>
          <w:rFonts w:asciiTheme="minorHAnsi" w:hAnsiTheme="minorHAnsi" w:cstheme="minorHAnsi"/>
          <w:sz w:val="22"/>
          <w:szCs w:val="22"/>
          <w:lang w:val="en-US"/>
        </w:rPr>
        <w:t>8.26</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p>
    <w:p w14:paraId="3F6EA13F" w14:textId="7192091A" w:rsidR="00277E11" w:rsidRPr="006E3A77" w:rsidRDefault="00277E11" w:rsidP="00277E1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Pr>
          <w:rFonts w:asciiTheme="minorHAnsi" w:hAnsiTheme="minorHAnsi" w:cstheme="minorHAnsi"/>
          <w:sz w:val="22"/>
          <w:szCs w:val="22"/>
          <w:lang w:val="en-US"/>
        </w:rPr>
        <w:t>3.</w:t>
      </w:r>
      <w:r w:rsidR="00A572F0">
        <w:rPr>
          <w:rFonts w:asciiTheme="minorHAnsi" w:hAnsiTheme="minorHAnsi" w:cstheme="minorHAnsi"/>
          <w:sz w:val="22"/>
          <w:szCs w:val="22"/>
          <w:lang w:val="en-US"/>
        </w:rPr>
        <w:t>47</w:t>
      </w:r>
      <w:r w:rsidRPr="006E3A77">
        <w:rPr>
          <w:rFonts w:asciiTheme="minorHAnsi" w:hAnsiTheme="minorHAnsi" w:cstheme="minorHAnsi"/>
          <w:sz w:val="22"/>
          <w:szCs w:val="22"/>
          <w:lang w:val="en-US"/>
        </w:rPr>
        <w:t xml:space="preserve"> US$/</w:t>
      </w:r>
      <w:proofErr w:type="spellStart"/>
      <w:r w:rsidRPr="006E3A77">
        <w:rPr>
          <w:rFonts w:asciiTheme="minorHAnsi" w:hAnsiTheme="minorHAnsi" w:cstheme="minorHAnsi"/>
          <w:sz w:val="22"/>
          <w:szCs w:val="22"/>
          <w:lang w:val="en-US"/>
        </w:rPr>
        <w:t>Bl</w:t>
      </w:r>
      <w:proofErr w:type="spellEnd"/>
    </w:p>
    <w:p w14:paraId="122CCB40" w14:textId="77777777" w:rsidR="00277E11" w:rsidRPr="006E3A77" w:rsidRDefault="00277E11" w:rsidP="00277E11">
      <w:pPr>
        <w:pStyle w:val="Prrafodelista"/>
        <w:ind w:left="426" w:hanging="426"/>
        <w:jc w:val="center"/>
        <w:rPr>
          <w:rFonts w:asciiTheme="minorHAnsi" w:hAnsiTheme="minorHAnsi" w:cstheme="minorHAnsi"/>
          <w:sz w:val="22"/>
          <w:szCs w:val="22"/>
          <w:lang w:val="en-US"/>
        </w:rPr>
      </w:pPr>
    </w:p>
    <w:p w14:paraId="5B7E162A" w14:textId="77777777" w:rsidR="00277E11" w:rsidRPr="006E3A77" w:rsidRDefault="00277E11" w:rsidP="00277E11">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0F2520C7" w14:textId="77777777" w:rsidR="00277E11" w:rsidRPr="006E3A77" w:rsidRDefault="00277E11" w:rsidP="00277E11">
      <w:pPr>
        <w:ind w:left="426" w:hanging="426"/>
        <w:jc w:val="both"/>
        <w:rPr>
          <w:rFonts w:asciiTheme="minorHAnsi" w:hAnsiTheme="minorHAnsi" w:cstheme="minorHAnsi"/>
          <w:b/>
          <w:sz w:val="22"/>
          <w:szCs w:val="22"/>
          <w:u w:val="single"/>
        </w:rPr>
      </w:pPr>
    </w:p>
    <w:p w14:paraId="1E672BC4" w14:textId="77777777" w:rsidR="00277E11" w:rsidRPr="006E3A77" w:rsidRDefault="00277E11" w:rsidP="00277E11">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las gasolinas de 97 y 95 octanos,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97 y CBOB 93; mientras que, para las gasolinas de 90 y 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7706BDE4" w14:textId="0A7413A6" w:rsidR="00277E11" w:rsidRPr="006E3A77" w:rsidRDefault="00277E11" w:rsidP="00277E11">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Pr>
          <w:rFonts w:asciiTheme="minorHAnsi" w:hAnsiTheme="minorHAnsi" w:cstheme="minorHAnsi"/>
          <w:sz w:val="22"/>
          <w:szCs w:val="22"/>
        </w:rPr>
        <w:t>8.</w:t>
      </w:r>
      <w:r w:rsidR="00A60AF9">
        <w:rPr>
          <w:rFonts w:asciiTheme="minorHAnsi" w:hAnsiTheme="minorHAnsi" w:cstheme="minorHAnsi"/>
          <w:sz w:val="22"/>
          <w:szCs w:val="22"/>
        </w:rPr>
        <w:t>12</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8AFBCCD" w14:textId="1FEF9AC7" w:rsidR="00277E11" w:rsidRPr="006E3A77" w:rsidRDefault="00277E11" w:rsidP="00277E11">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2.</w:t>
      </w:r>
      <w:r w:rsidR="00A60AF9">
        <w:rPr>
          <w:rFonts w:asciiTheme="minorHAnsi" w:hAnsiTheme="minorHAnsi" w:cstheme="minorHAnsi"/>
          <w:sz w:val="22"/>
          <w:szCs w:val="22"/>
        </w:rPr>
        <w:t>4</w:t>
      </w:r>
      <w:r>
        <w:rPr>
          <w:rFonts w:asciiTheme="minorHAnsi" w:hAnsiTheme="minorHAnsi" w:cstheme="minorHAnsi"/>
          <w:sz w:val="22"/>
          <w:szCs w:val="22"/>
        </w:rPr>
        <w:t xml:space="preserve">6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las gasolinas de 97 y 95 octanos y un ajuste de </w:t>
      </w:r>
      <w:r w:rsidR="00A60AF9">
        <w:rPr>
          <w:rFonts w:asciiTheme="minorHAnsi" w:hAnsiTheme="minorHAnsi" w:cstheme="minorHAnsi"/>
          <w:sz w:val="22"/>
          <w:szCs w:val="22"/>
        </w:rPr>
        <w:t>1.98</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las gasolinas de 90 y 84 octanos</w:t>
      </w:r>
    </w:p>
    <w:p w14:paraId="68EAF0BE" w14:textId="2B31A3F1" w:rsidR="00277E11" w:rsidRPr="006E3A77" w:rsidRDefault="00277E11" w:rsidP="00277E11">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Pr>
          <w:rFonts w:asciiTheme="minorHAnsi" w:hAnsiTheme="minorHAnsi" w:cstheme="minorHAnsi"/>
          <w:sz w:val="22"/>
          <w:szCs w:val="22"/>
        </w:rPr>
        <w:t>1.5</w:t>
      </w:r>
      <w:r w:rsidR="00A60AF9">
        <w:rPr>
          <w:rFonts w:asciiTheme="minorHAnsi" w:hAnsiTheme="minorHAnsi" w:cstheme="minorHAnsi"/>
          <w:sz w:val="22"/>
          <w:szCs w:val="22"/>
        </w:rPr>
        <w:t>5</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gasolina de 90 octanos y un ajuste de </w:t>
      </w:r>
      <w:r>
        <w:rPr>
          <w:rFonts w:asciiTheme="minorHAnsi" w:hAnsiTheme="minorHAnsi" w:cstheme="minorHAnsi"/>
          <w:sz w:val="22"/>
          <w:szCs w:val="22"/>
        </w:rPr>
        <w:t>-8.</w:t>
      </w:r>
      <w:r w:rsidR="00A60AF9">
        <w:rPr>
          <w:rFonts w:asciiTheme="minorHAnsi" w:hAnsiTheme="minorHAnsi" w:cstheme="minorHAnsi"/>
          <w:sz w:val="22"/>
          <w:szCs w:val="22"/>
        </w:rPr>
        <w:t>34</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gasolina de 84 octanos.</w:t>
      </w:r>
    </w:p>
    <w:p w14:paraId="182294EC" w14:textId="77777777" w:rsidR="00277E11" w:rsidRPr="006E3A77" w:rsidRDefault="00277E11" w:rsidP="00277E11">
      <w:pPr>
        <w:ind w:left="426" w:hanging="426"/>
        <w:jc w:val="both"/>
        <w:rPr>
          <w:rFonts w:asciiTheme="minorHAnsi" w:hAnsiTheme="minorHAnsi" w:cstheme="minorHAnsi"/>
          <w:sz w:val="22"/>
          <w:szCs w:val="22"/>
          <w:u w:val="single"/>
        </w:rPr>
      </w:pPr>
    </w:p>
    <w:p w14:paraId="01B7EACB" w14:textId="77777777" w:rsidR="00277E11" w:rsidRPr="006E3A77" w:rsidRDefault="00277E11" w:rsidP="00277E11">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07B7250C" w14:textId="77777777" w:rsidR="00277E11" w:rsidRPr="006E3A77" w:rsidRDefault="00277E11" w:rsidP="00277E11">
      <w:pPr>
        <w:ind w:left="426" w:hanging="426"/>
        <w:jc w:val="both"/>
        <w:rPr>
          <w:rFonts w:asciiTheme="minorHAnsi" w:hAnsiTheme="minorHAnsi" w:cstheme="minorHAnsi"/>
          <w:b/>
          <w:sz w:val="22"/>
          <w:szCs w:val="22"/>
          <w:u w:val="single"/>
        </w:rPr>
      </w:pPr>
    </w:p>
    <w:p w14:paraId="1814F2CA" w14:textId="72CAF575" w:rsidR="00277E11" w:rsidRPr="006E3A77" w:rsidRDefault="00277E11" w:rsidP="00277E11">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 Gasoil N°</w:t>
      </w:r>
      <w:r w:rsidR="00A60AF9">
        <w:rPr>
          <w:rFonts w:asciiTheme="minorHAnsi" w:hAnsiTheme="minorHAnsi" w:cstheme="minorHAnsi"/>
          <w:sz w:val="22"/>
          <w:szCs w:val="22"/>
        </w:rPr>
        <w:t xml:space="preserve"> </w:t>
      </w:r>
      <w:r w:rsidRPr="006E3A77">
        <w:rPr>
          <w:rFonts w:asciiTheme="minorHAnsi" w:hAnsiTheme="minorHAnsi" w:cstheme="minorHAnsi"/>
          <w:sz w:val="22"/>
          <w:szCs w:val="22"/>
        </w:rPr>
        <w:t>2, sin RVO.</w:t>
      </w:r>
    </w:p>
    <w:p w14:paraId="76B2E70B" w14:textId="2A6B1C69" w:rsidR="00277E11" w:rsidRPr="006E3A77" w:rsidRDefault="00277E11" w:rsidP="00277E11">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Pr>
          <w:rFonts w:asciiTheme="minorHAnsi" w:hAnsiTheme="minorHAnsi" w:cstheme="minorHAnsi"/>
          <w:sz w:val="22"/>
          <w:szCs w:val="22"/>
        </w:rPr>
        <w:t>8.</w:t>
      </w:r>
      <w:r w:rsidR="00A60AF9">
        <w:rPr>
          <w:rFonts w:asciiTheme="minorHAnsi" w:hAnsiTheme="minorHAnsi" w:cstheme="minorHAnsi"/>
          <w:sz w:val="22"/>
          <w:szCs w:val="22"/>
        </w:rPr>
        <w:t>12</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48568060" w14:textId="77777777" w:rsidR="00277E11" w:rsidRPr="006E3A77" w:rsidRDefault="00277E11" w:rsidP="00277E11">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sidRPr="006E3A77">
        <w:rPr>
          <w:rFonts w:asciiTheme="minorHAnsi" w:hAnsiTheme="minorHAnsi" w:cstheme="minorHAnsi"/>
          <w:sz w:val="22"/>
          <w:szCs w:val="22"/>
        </w:rPr>
        <w:t>: Se determinó un ajuste de 0.37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987D059" w14:textId="77777777" w:rsidR="00277E11" w:rsidRPr="006E3A77" w:rsidRDefault="00277E11" w:rsidP="00277E11">
      <w:pPr>
        <w:ind w:left="426" w:hanging="426"/>
        <w:jc w:val="both"/>
        <w:rPr>
          <w:rFonts w:asciiTheme="minorHAnsi" w:hAnsiTheme="minorHAnsi" w:cstheme="minorHAnsi"/>
          <w:b/>
          <w:sz w:val="22"/>
          <w:szCs w:val="22"/>
          <w:u w:val="single"/>
        </w:rPr>
      </w:pPr>
    </w:p>
    <w:p w14:paraId="2A50A845" w14:textId="77777777" w:rsidR="00277E11" w:rsidRPr="006E3A77" w:rsidRDefault="00277E11" w:rsidP="00277E11">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735432E9" w14:textId="77777777" w:rsidR="00277E11" w:rsidRPr="006E3A77" w:rsidRDefault="00277E11" w:rsidP="00277E11">
      <w:pPr>
        <w:ind w:left="426" w:hanging="426"/>
        <w:jc w:val="both"/>
        <w:rPr>
          <w:rFonts w:asciiTheme="minorHAnsi" w:hAnsiTheme="minorHAnsi" w:cstheme="minorHAnsi"/>
          <w:b/>
          <w:sz w:val="22"/>
          <w:szCs w:val="22"/>
          <w:u w:val="single"/>
        </w:rPr>
      </w:pPr>
    </w:p>
    <w:p w14:paraId="0031F84E" w14:textId="3195BF99" w:rsidR="00277E11" w:rsidRPr="006E3A77" w:rsidRDefault="00277E11" w:rsidP="00277E11">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N°</w:t>
      </w:r>
      <w:r w:rsidR="00A60AF9">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180F6BEE" w14:textId="6A2DA309" w:rsidR="00277E11" w:rsidRDefault="00277E11" w:rsidP="00277E11">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Se determinó un ajuste de -</w:t>
      </w:r>
      <w:r w:rsidR="00A60AF9">
        <w:rPr>
          <w:rFonts w:asciiTheme="minorHAnsi" w:hAnsiTheme="minorHAnsi" w:cstheme="minorHAnsi"/>
          <w:sz w:val="22"/>
          <w:szCs w:val="22"/>
        </w:rPr>
        <w:t>1.94</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22AC47A8" w14:textId="77777777" w:rsidR="00277E11" w:rsidRPr="006E3A77" w:rsidRDefault="00277E11" w:rsidP="00277E11">
      <w:pPr>
        <w:pStyle w:val="Prrafodelista"/>
        <w:ind w:left="851"/>
        <w:jc w:val="both"/>
        <w:rPr>
          <w:rFonts w:asciiTheme="minorHAnsi" w:hAnsiTheme="minorHAnsi" w:cstheme="minorHAnsi"/>
          <w:sz w:val="22"/>
          <w:szCs w:val="22"/>
        </w:rPr>
      </w:pPr>
    </w:p>
    <w:p w14:paraId="117F1B95" w14:textId="2F30B7B9" w:rsidR="00F85D23" w:rsidRPr="00B45C03" w:rsidRDefault="00277E11" w:rsidP="00277E11">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w:t>
      </w:r>
      <w:r w:rsidR="00A60AF9">
        <w:rPr>
          <w:rFonts w:asciiTheme="minorHAnsi" w:hAnsiTheme="minorHAnsi" w:cstheme="minorHAnsi"/>
          <w:sz w:val="22"/>
          <w:szCs w:val="22"/>
        </w:rPr>
        <w:t xml:space="preserve"> </w:t>
      </w:r>
      <w:r w:rsidRPr="006E3A77">
        <w:rPr>
          <w:rFonts w:asciiTheme="minorHAnsi" w:hAnsiTheme="minorHAnsi" w:cstheme="minorHAnsi"/>
          <w:sz w:val="22"/>
          <w:szCs w:val="22"/>
        </w:rPr>
        <w:t>1</w:t>
      </w:r>
      <w:r w:rsidR="007A4646" w:rsidRPr="006E3A77">
        <w:rPr>
          <w:rFonts w:asciiTheme="minorHAnsi" w:hAnsiTheme="minorHAnsi" w:cstheme="minorHAnsi"/>
          <w:sz w:val="22"/>
          <w:szCs w:val="22"/>
        </w:rPr>
        <w:t>.</w:t>
      </w:r>
    </w:p>
    <w:p w14:paraId="49B933A4" w14:textId="77777777" w:rsidR="00352B3A" w:rsidRDefault="00352B3A" w:rsidP="004F74EE">
      <w:pPr>
        <w:jc w:val="both"/>
        <w:rPr>
          <w:rFonts w:ascii="Arial" w:hAnsi="Arial" w:cs="Arial"/>
          <w:sz w:val="22"/>
          <w:szCs w:val="22"/>
          <w:u w:val="single"/>
          <w:lang w:eastAsia="en-US"/>
        </w:rPr>
      </w:pPr>
    </w:p>
    <w:p w14:paraId="5451DFF8" w14:textId="530A35A7" w:rsidR="00352B3A" w:rsidRPr="00F85D23" w:rsidRDefault="00352B3A" w:rsidP="004F74EE">
      <w:pPr>
        <w:jc w:val="both"/>
        <w:rPr>
          <w:rFonts w:ascii="Arial" w:hAnsi="Arial" w:cs="Arial"/>
          <w:sz w:val="22"/>
          <w:szCs w:val="22"/>
          <w:u w:val="single"/>
          <w:lang w:eastAsia="en-US"/>
        </w:rPr>
        <w:sectPr w:rsidR="00352B3A" w:rsidRPr="00F85D23" w:rsidSect="002A50E6">
          <w:headerReference w:type="default" r:id="rId14"/>
          <w:footerReference w:type="default" r:id="rId15"/>
          <w:headerReference w:type="first" r:id="rId16"/>
          <w:footerReference w:type="first" r:id="rId17"/>
          <w:type w:val="continuous"/>
          <w:pgSz w:w="11907" w:h="16840" w:code="9"/>
          <w:pgMar w:top="1560" w:right="1559" w:bottom="1134" w:left="1701" w:header="426" w:footer="0" w:gutter="0"/>
          <w:cols w:space="720"/>
          <w:noEndnote/>
          <w:titlePg/>
        </w:sectPr>
      </w:pPr>
    </w:p>
    <w:p w14:paraId="728D2FE7" w14:textId="77777777"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N°1</w:t>
      </w:r>
      <w:r w:rsidR="00D8540F">
        <w:rPr>
          <w:rFonts w:ascii="Calibri" w:hAnsi="Calibri" w:cs="Calibri"/>
          <w:b/>
          <w:bCs/>
          <w:i/>
          <w:iCs/>
          <w:sz w:val="20"/>
          <w:szCs w:val="20"/>
          <w:lang w:val="es-PE" w:eastAsia="en-US"/>
        </w:rPr>
        <w:t>: Composición de los Precios de Referencia de Importación de Combustibles</w:t>
      </w:r>
    </w:p>
    <w:p w14:paraId="4F936331" w14:textId="3E46889C" w:rsidR="00765078" w:rsidRDefault="00765078" w:rsidP="004F74EE">
      <w:pPr>
        <w:pBdr>
          <w:top w:val="single" w:sz="4" w:space="1" w:color="auto"/>
          <w:bottom w:val="single" w:sz="4" w:space="1" w:color="auto"/>
        </w:pBdr>
        <w:jc w:val="center"/>
        <w:rPr>
          <w:rFonts w:ascii="Calibri" w:hAnsi="Calibri" w:cs="Calibri"/>
          <w:sz w:val="22"/>
          <w:szCs w:val="22"/>
          <w:lang w:val="es-PE" w:eastAsia="en-US"/>
        </w:rPr>
      </w:pPr>
      <w:r w:rsidRPr="00765078">
        <w:rPr>
          <w:noProof/>
          <w:lang w:val="es-PE" w:eastAsia="es-PE"/>
        </w:rPr>
        <w:drawing>
          <wp:inline distT="0" distB="0" distL="0" distR="0" wp14:anchorId="3506E908" wp14:editId="5A7860EA">
            <wp:extent cx="8173085" cy="3048635"/>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173085" cy="3048635"/>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(3) Para el Dié</w:t>
            </w:r>
            <w:r w:rsidR="00E33273">
              <w:rPr>
                <w:rFonts w:asciiTheme="minorHAnsi" w:hAnsiTheme="minorHAnsi" w:cstheme="minorHAnsi"/>
                <w:i/>
                <w:iCs/>
                <w:sz w:val="18"/>
                <w:szCs w:val="18"/>
                <w:lang w:val="es-MX" w:eastAsia="en-US"/>
              </w:rPr>
              <w:t xml:space="preserve">sel ,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a 0.37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(5) Para el ajuste por octanaje de las Gasolinas 90 y 84 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(9) El Precio de Referencia del </w:t>
            </w:r>
            <w:proofErr w:type="spellStart"/>
            <w:r w:rsidRPr="00352553">
              <w:rPr>
                <w:rFonts w:asciiTheme="minorHAnsi" w:hAnsiTheme="minorHAnsi" w:cstheme="minorHAnsi"/>
                <w:i/>
                <w:iCs/>
                <w:sz w:val="18"/>
                <w:szCs w:val="18"/>
                <w:lang w:val="es-MX" w:eastAsia="en-US"/>
              </w:rPr>
              <w:t>Diesel</w:t>
            </w:r>
            <w:proofErr w:type="spellEnd"/>
            <w:r w:rsidRPr="00352553">
              <w:rPr>
                <w:rFonts w:asciiTheme="minorHAnsi" w:hAnsiTheme="minorHAnsi" w:cstheme="minorHAnsi"/>
                <w:i/>
                <w:iCs/>
                <w:sz w:val="18"/>
                <w:szCs w:val="18"/>
                <w:lang w:val="es-MX" w:eastAsia="en-US"/>
              </w:rPr>
              <w:t xml:space="preserve">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4F74EE">
      <w:pPr>
        <w:jc w:val="both"/>
        <w:rPr>
          <w:rFonts w:ascii="Arial" w:hAnsi="Arial" w:cs="Arial"/>
          <w:sz w:val="22"/>
          <w:szCs w:val="22"/>
          <w:u w:val="single"/>
          <w:lang w:val="es-MX" w:eastAsia="en-US"/>
        </w:rPr>
        <w:sectPr w:rsidR="004F74EE" w:rsidRPr="004F74EE" w:rsidSect="00352B3A">
          <w:footerReference w:type="default" r:id="rId19"/>
          <w:headerReference w:type="first" r:id="rId20"/>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879" w:type="dxa"/>
        <w:tblInd w:w="1134" w:type="dxa"/>
        <w:tblLayout w:type="fixed"/>
        <w:tblCellMar>
          <w:left w:w="70" w:type="dxa"/>
          <w:right w:w="70" w:type="dxa"/>
        </w:tblCellMar>
        <w:tblLook w:val="04A0" w:firstRow="1" w:lastRow="0" w:firstColumn="1" w:lastColumn="0" w:noHBand="0" w:noVBand="1"/>
      </w:tblPr>
      <w:tblGrid>
        <w:gridCol w:w="5693"/>
        <w:gridCol w:w="186"/>
      </w:tblGrid>
      <w:tr w:rsidR="00F85D23" w:rsidRPr="002B3648" w14:paraId="5A768BE6" w14:textId="77777777" w:rsidTr="00F7010D">
        <w:trPr>
          <w:trHeight w:val="5052"/>
        </w:trPr>
        <w:tc>
          <w:tcPr>
            <w:tcW w:w="5693" w:type="dxa"/>
            <w:tcBorders>
              <w:top w:val="single" w:sz="4" w:space="0" w:color="auto"/>
              <w:bottom w:val="single" w:sz="4" w:space="0" w:color="auto"/>
            </w:tcBorders>
            <w:shd w:val="clear" w:color="auto" w:fill="auto"/>
          </w:tcPr>
          <w:p w14:paraId="5FE1CE67" w14:textId="0DFB2A59" w:rsidR="00F85D23" w:rsidRPr="002B3648" w:rsidRDefault="00765078" w:rsidP="00FB4E04">
            <w:pPr>
              <w:ind w:left="-618" w:right="-654"/>
              <w:jc w:val="center"/>
              <w:rPr>
                <w:rFonts w:asciiTheme="minorHAnsi" w:hAnsiTheme="minorHAnsi" w:cstheme="minorHAnsi"/>
              </w:rPr>
            </w:pPr>
            <w:r>
              <w:rPr>
                <w:rFonts w:asciiTheme="minorHAnsi" w:hAnsiTheme="minorHAnsi" w:cstheme="minorHAnsi"/>
                <w:noProof/>
                <w:lang w:val="es-PE" w:eastAsia="es-PE"/>
              </w:rPr>
              <w:drawing>
                <wp:inline distT="0" distB="0" distL="0" distR="0" wp14:anchorId="3FCD7E3F" wp14:editId="2136E957">
                  <wp:extent cx="3523615" cy="3042285"/>
                  <wp:effectExtent l="0" t="0" r="635" b="571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23615" cy="3042285"/>
                          </a:xfrm>
                          <a:prstGeom prst="rect">
                            <a:avLst/>
                          </a:prstGeom>
                          <a:noFill/>
                        </pic:spPr>
                      </pic:pic>
                    </a:graphicData>
                  </a:graphic>
                </wp:inline>
              </w:drawing>
            </w:r>
          </w:p>
        </w:tc>
        <w:tc>
          <w:tcPr>
            <w:tcW w:w="186"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28EA4F42"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Pr>
          <w:rFonts w:asciiTheme="minorHAnsi" w:hAnsiTheme="minorHAnsi" w:cstheme="minorHAnsi"/>
          <w:b/>
          <w:i/>
          <w:sz w:val="20"/>
          <w:szCs w:val="20"/>
        </w:rPr>
        <w:t>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79B992D9" w14:textId="77777777" w:rsidR="00EF5671" w:rsidRPr="00125BE0" w:rsidRDefault="00EF5671" w:rsidP="00FB4E04">
            <w:pPr>
              <w:ind w:left="-777" w:right="-654"/>
              <w:jc w:val="center"/>
              <w:rPr>
                <w:rFonts w:asciiTheme="minorHAnsi" w:hAnsiTheme="minorHAnsi" w:cstheme="minorHAnsi"/>
                <w:noProof/>
                <w:lang w:val="es-MX" w:eastAsia="en-US"/>
              </w:rPr>
            </w:pPr>
          </w:p>
          <w:p w14:paraId="5F438E49" w14:textId="2B31E347" w:rsidR="00EF5671" w:rsidRPr="00CE793E" w:rsidRDefault="005A6F8B" w:rsidP="00FB4E04">
            <w:pPr>
              <w:ind w:left="-634" w:right="-654"/>
              <w:jc w:val="center"/>
              <w:rPr>
                <w:rFonts w:asciiTheme="minorHAnsi" w:hAnsiTheme="minorHAnsi" w:cstheme="minorHAnsi"/>
                <w:lang w:val="es-MX"/>
              </w:rPr>
            </w:pPr>
            <w:r>
              <w:rPr>
                <w:rFonts w:asciiTheme="minorHAnsi" w:hAnsiTheme="minorHAnsi" w:cstheme="minorHAnsi"/>
                <w:noProof/>
                <w:lang w:val="es-PE" w:eastAsia="es-PE"/>
              </w:rPr>
              <w:drawing>
                <wp:inline distT="0" distB="0" distL="0" distR="0" wp14:anchorId="6ED54BD3" wp14:editId="7D47C201">
                  <wp:extent cx="5459193" cy="2493645"/>
                  <wp:effectExtent l="0" t="0" r="8255" b="190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75153" cy="2500935"/>
                          </a:xfrm>
                          <a:prstGeom prst="rect">
                            <a:avLst/>
                          </a:prstGeom>
                          <a:noFill/>
                        </pic:spPr>
                      </pic:pic>
                    </a:graphicData>
                  </a:graphic>
                </wp:inline>
              </w:drawing>
            </w:r>
          </w:p>
        </w:tc>
        <w:tc>
          <w:tcPr>
            <w:tcW w:w="273" w:type="dxa"/>
          </w:tcPr>
          <w:p w14:paraId="55C9399E" w14:textId="77777777" w:rsidR="00EF5671" w:rsidRPr="002B3648" w:rsidRDefault="00EF5671"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402AE23E" w14:textId="41687F40" w:rsidR="008B141E" w:rsidRPr="00737F8F" w:rsidRDefault="008B141E"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8B141E">
        <w:rPr>
          <w:noProof/>
          <w:lang w:val="es-PE" w:eastAsia="es-PE"/>
        </w:rPr>
        <w:drawing>
          <wp:inline distT="0" distB="0" distL="0" distR="0" wp14:anchorId="388D86B3" wp14:editId="62D2F2B2">
            <wp:extent cx="5608800" cy="2239200"/>
            <wp:effectExtent l="0" t="0" r="0" b="889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08800" cy="2239200"/>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207E9BE5"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Pr="001839E1">
        <w:rPr>
          <w:rFonts w:asciiTheme="minorHAnsi" w:hAnsiTheme="minorHAnsi" w:cstheme="minorHAnsi"/>
          <w:b/>
          <w:i/>
          <w:sz w:val="20"/>
          <w:szCs w:val="20"/>
        </w:rPr>
        <w:t>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1F2B99">
        <w:rPr>
          <w:rFonts w:asciiTheme="minorHAnsi" w:hAnsiTheme="minorHAnsi" w:cstheme="minorHAnsi"/>
          <w:i/>
          <w:sz w:val="18"/>
          <w:szCs w:val="18"/>
        </w:rPr>
        <w:t xml:space="preserve"> en</w:t>
      </w:r>
      <w:r w:rsidR="008E7B2B">
        <w:rPr>
          <w:rFonts w:asciiTheme="minorHAnsi" w:hAnsiTheme="minorHAnsi" w:cstheme="minorHAnsi"/>
          <w:i/>
          <w:sz w:val="18"/>
          <w:szCs w:val="18"/>
        </w:rPr>
        <w:t xml:space="preserve"> </w:t>
      </w:r>
      <w:r w:rsidR="001F2B99">
        <w:rPr>
          <w:rFonts w:asciiTheme="minorHAnsi" w:hAnsiTheme="minorHAnsi" w:cstheme="minorHAnsi"/>
          <w:i/>
          <w:sz w:val="18"/>
          <w:szCs w:val="18"/>
        </w:rPr>
        <w:t>US$/</w:t>
      </w:r>
      <w:proofErr w:type="spellStart"/>
      <w:r w:rsidR="001F2B99">
        <w:rPr>
          <w:rFonts w:asciiTheme="minorHAnsi" w:hAnsiTheme="minorHAnsi" w:cstheme="minorHAnsi"/>
          <w:i/>
          <w:sz w:val="18"/>
          <w:szCs w:val="18"/>
        </w:rPr>
        <w:t>Bl</w:t>
      </w:r>
      <w:proofErr w:type="spellEnd"/>
    </w:p>
    <w:p w14:paraId="6E84805C" w14:textId="130B4515" w:rsidR="005C4A97" w:rsidRDefault="00634E48" w:rsidP="00604758">
      <w:pPr>
        <w:spacing w:line="0" w:lineRule="atLeast"/>
        <w:ind w:right="-567"/>
        <w:jc w:val="both"/>
        <w:rPr>
          <w:rFonts w:asciiTheme="minorHAnsi" w:hAnsiTheme="minorHAnsi" w:cstheme="minorHAnsi"/>
          <w:i/>
          <w:sz w:val="18"/>
          <w:szCs w:val="18"/>
        </w:rPr>
      </w:pPr>
      <w:r>
        <w:rPr>
          <w:rFonts w:asciiTheme="minorHAnsi" w:hAnsiTheme="minorHAnsi" w:cstheme="minorHAnsi"/>
          <w:i/>
          <w:noProof/>
          <w:sz w:val="18"/>
          <w:szCs w:val="18"/>
          <w:lang w:val="es-PE" w:eastAsia="es-PE"/>
        </w:rPr>
        <w:drawing>
          <wp:inline distT="0" distB="0" distL="0" distR="0" wp14:anchorId="2F2E340F" wp14:editId="45858C19">
            <wp:extent cx="5850000" cy="2170800"/>
            <wp:effectExtent l="0" t="0" r="0" b="127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50000" cy="2170800"/>
                    </a:xfrm>
                    <a:prstGeom prst="rect">
                      <a:avLst/>
                    </a:prstGeom>
                    <a:noFill/>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77777777"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en US$/</w:t>
      </w:r>
      <w:proofErr w:type="spellStart"/>
      <w:r w:rsidR="00A70B54">
        <w:rPr>
          <w:rFonts w:asciiTheme="minorHAnsi" w:hAnsiTheme="minorHAnsi" w:cstheme="minorHAnsi"/>
          <w:i/>
          <w:sz w:val="18"/>
          <w:szCs w:val="18"/>
        </w:rPr>
        <w:t>Bl</w:t>
      </w:r>
      <w:proofErr w:type="spellEnd"/>
    </w:p>
    <w:p w14:paraId="4BB900C6" w14:textId="7E198CEA" w:rsidR="007B04A3" w:rsidRPr="00C2751F" w:rsidRDefault="00634E48" w:rsidP="00C2751F">
      <w:pPr>
        <w:spacing w:line="0" w:lineRule="atLeast"/>
        <w:ind w:right="-567"/>
        <w:jc w:val="both"/>
        <w:rPr>
          <w:noProof/>
          <w:lang w:val="es-PE" w:eastAsia="es-PE"/>
        </w:rPr>
      </w:pPr>
      <w:r>
        <w:rPr>
          <w:noProof/>
          <w:lang w:val="es-PE" w:eastAsia="es-PE"/>
        </w:rPr>
        <w:drawing>
          <wp:inline distT="0" distB="0" distL="0" distR="0" wp14:anchorId="4E483761" wp14:editId="0746756A">
            <wp:extent cx="5850000" cy="655560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50000" cy="6555600"/>
                    </a:xfrm>
                    <a:prstGeom prst="rect">
                      <a:avLst/>
                    </a:prstGeom>
                    <a:noFill/>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4B79F497" w14:textId="77777777" w:rsidR="00C80F8A" w:rsidRDefault="00C80F8A" w:rsidP="00C2751F">
      <w:pPr>
        <w:jc w:val="both"/>
        <w:rPr>
          <w:rFonts w:asciiTheme="minorHAnsi" w:hAnsiTheme="minorHAnsi" w:cstheme="minorHAnsi"/>
          <w:i/>
          <w:iCs/>
          <w:sz w:val="16"/>
          <w:szCs w:val="16"/>
        </w:rPr>
      </w:pPr>
    </w:p>
    <w:p w14:paraId="2B78D4FE" w14:textId="290F6DFB" w:rsidR="00C80F8A" w:rsidRPr="00C2751F" w:rsidRDefault="00C2751F" w:rsidP="00C2751F">
      <w:pPr>
        <w:jc w:val="both"/>
        <w:rPr>
          <w:rFonts w:asciiTheme="minorHAnsi" w:hAnsiTheme="minorHAnsi" w:cstheme="minorHAnsi"/>
          <w:i/>
          <w:iCs/>
          <w:sz w:val="16"/>
          <w:szCs w:val="16"/>
        </w:rPr>
      </w:pPr>
      <w:r>
        <w:rPr>
          <w:rFonts w:asciiTheme="minorHAnsi" w:hAnsiTheme="minorHAnsi" w:cstheme="minorHAnsi"/>
          <w:i/>
          <w:iCs/>
          <w:sz w:val="16"/>
          <w:szCs w:val="16"/>
        </w:rPr>
        <w:t xml:space="preserve"> </w:t>
      </w:r>
      <w:r w:rsidR="00C80F8A" w:rsidRPr="00C2751F">
        <w:rPr>
          <w:rFonts w:asciiTheme="minorHAnsi" w:hAnsiTheme="minorHAnsi" w:cstheme="minorHAnsi"/>
          <w:i/>
          <w:iCs/>
          <w:sz w:val="16"/>
          <w:szCs w:val="16"/>
        </w:rPr>
        <w:t>MMC / MMT / ASC</w:t>
      </w: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r>
        <w:rPr>
          <w:rFonts w:asciiTheme="minorHAnsi" w:hAnsiTheme="minorHAnsi" w:cstheme="minorHAnsi"/>
          <w:i/>
          <w:iCs/>
          <w:sz w:val="16"/>
          <w:szCs w:val="16"/>
        </w:rPr>
        <w:br w:type="page"/>
      </w:r>
    </w:p>
    <w:p w14:paraId="654B735D" w14:textId="77777777"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N°1</w:t>
      </w:r>
      <w:r w:rsidR="009D445C">
        <w:rPr>
          <w:rStyle w:val="Refdenotaalpie"/>
          <w:rFonts w:asciiTheme="minorHAnsi" w:eastAsia="Times New Roman" w:hAnsiTheme="minorHAnsi" w:cstheme="minorHAnsi"/>
          <w:bCs w:val="0"/>
          <w:iCs/>
          <w:sz w:val="24"/>
          <w:szCs w:val="24"/>
          <w:u w:val="single"/>
        </w:rPr>
        <w:footnoteReference w:id="4"/>
      </w:r>
    </w:p>
    <w:p w14:paraId="1A959533" w14:textId="77777777" w:rsidR="00214BFB" w:rsidRDefault="00214BFB" w:rsidP="00214BFB">
      <w:pPr>
        <w:jc w:val="both"/>
        <w:rPr>
          <w:rFonts w:asciiTheme="minorHAnsi" w:hAnsiTheme="minorHAnsi" w:cstheme="minorHAnsi"/>
          <w:sz w:val="22"/>
          <w:szCs w:val="22"/>
        </w:rPr>
      </w:pPr>
    </w:p>
    <w:p w14:paraId="31252B3F" w14:textId="5441B0AE" w:rsidR="009D445C" w:rsidRDefault="00B70DEE" w:rsidP="00214BFB">
      <w:pPr>
        <w:jc w:val="center"/>
        <w:rPr>
          <w:rFonts w:asciiTheme="minorHAnsi" w:hAnsiTheme="minorHAnsi" w:cstheme="minorHAnsi"/>
          <w:sz w:val="22"/>
          <w:szCs w:val="22"/>
        </w:rPr>
      </w:pPr>
      <w:r>
        <w:rPr>
          <w:rFonts w:asciiTheme="minorHAnsi" w:hAnsiTheme="minorHAnsi" w:cstheme="minorHAnsi"/>
          <w:noProof/>
          <w:sz w:val="22"/>
          <w:szCs w:val="22"/>
          <w:lang w:val="es-PE" w:eastAsia="es-PE"/>
        </w:rPr>
        <w:drawing>
          <wp:inline distT="0" distB="0" distL="0" distR="0" wp14:anchorId="5D59C925" wp14:editId="78A96D5A">
            <wp:extent cx="4478400" cy="240120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78400" cy="2401200"/>
                    </a:xfrm>
                    <a:prstGeom prst="rect">
                      <a:avLst/>
                    </a:prstGeom>
                    <a:noFill/>
                  </pic:spPr>
                </pic:pic>
              </a:graphicData>
            </a:graphic>
          </wp:inline>
        </w:drawing>
      </w:r>
    </w:p>
    <w:p w14:paraId="0E4C4954" w14:textId="2612F7B7" w:rsidR="00243B98" w:rsidRDefault="00243B98" w:rsidP="00214BFB">
      <w:pPr>
        <w:jc w:val="center"/>
        <w:rPr>
          <w:rFonts w:asciiTheme="minorHAnsi" w:hAnsiTheme="minorHAnsi" w:cstheme="minorHAnsi"/>
          <w:sz w:val="22"/>
          <w:szCs w:val="22"/>
        </w:rPr>
      </w:pPr>
    </w:p>
    <w:p w14:paraId="40B5F734" w14:textId="6B4E3F45" w:rsidR="00243B98" w:rsidRDefault="00B70DEE" w:rsidP="00214BFB">
      <w:pPr>
        <w:jc w:val="center"/>
        <w:rPr>
          <w:rFonts w:asciiTheme="minorHAnsi" w:hAnsiTheme="minorHAnsi" w:cstheme="minorHAnsi"/>
          <w:sz w:val="22"/>
          <w:szCs w:val="22"/>
        </w:rPr>
      </w:pPr>
      <w:r>
        <w:rPr>
          <w:rFonts w:asciiTheme="minorHAnsi" w:hAnsiTheme="minorHAnsi" w:cstheme="minorHAnsi"/>
          <w:noProof/>
          <w:sz w:val="22"/>
          <w:szCs w:val="22"/>
          <w:lang w:val="es-PE" w:eastAsia="es-PE"/>
        </w:rPr>
        <w:drawing>
          <wp:inline distT="0" distB="0" distL="0" distR="0" wp14:anchorId="79235E22" wp14:editId="290A42D9">
            <wp:extent cx="4478400" cy="240120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78400" cy="2401200"/>
                    </a:xfrm>
                    <a:prstGeom prst="rect">
                      <a:avLst/>
                    </a:prstGeom>
                    <a:noFill/>
                  </pic:spPr>
                </pic:pic>
              </a:graphicData>
            </a:graphic>
          </wp:inline>
        </w:drawing>
      </w:r>
    </w:p>
    <w:p w14:paraId="105484E7" w14:textId="433F83E1" w:rsidR="00536E42" w:rsidRDefault="00536E42" w:rsidP="00214BFB">
      <w:pPr>
        <w:jc w:val="center"/>
        <w:rPr>
          <w:rFonts w:asciiTheme="minorHAnsi" w:hAnsiTheme="minorHAnsi" w:cstheme="minorHAnsi"/>
          <w:sz w:val="22"/>
          <w:szCs w:val="22"/>
        </w:rPr>
      </w:pPr>
    </w:p>
    <w:p w14:paraId="76B31578" w14:textId="30D1B57C" w:rsidR="00536E42" w:rsidRDefault="00B70DEE" w:rsidP="00214BFB">
      <w:pPr>
        <w:jc w:val="center"/>
        <w:rPr>
          <w:rFonts w:asciiTheme="minorHAnsi" w:hAnsiTheme="minorHAnsi" w:cstheme="minorHAnsi"/>
          <w:sz w:val="22"/>
          <w:szCs w:val="22"/>
        </w:rPr>
      </w:pPr>
      <w:r>
        <w:rPr>
          <w:rFonts w:asciiTheme="minorHAnsi" w:hAnsiTheme="minorHAnsi" w:cstheme="minorHAnsi"/>
          <w:noProof/>
          <w:sz w:val="22"/>
          <w:szCs w:val="22"/>
          <w:lang w:val="es-PE" w:eastAsia="es-PE"/>
        </w:rPr>
        <w:drawing>
          <wp:inline distT="0" distB="0" distL="0" distR="0" wp14:anchorId="091EE778" wp14:editId="59D0F80D">
            <wp:extent cx="4478400" cy="240120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78400" cy="2401200"/>
                    </a:xfrm>
                    <a:prstGeom prst="rect">
                      <a:avLst/>
                    </a:prstGeom>
                    <a:noFill/>
                  </pic:spPr>
                </pic:pic>
              </a:graphicData>
            </a:graphic>
          </wp:inline>
        </w:drawing>
      </w:r>
    </w:p>
    <w:p w14:paraId="0FD5278A" w14:textId="66A31F74" w:rsidR="005932D3" w:rsidRDefault="005932D3" w:rsidP="00214BFB">
      <w:pPr>
        <w:jc w:val="center"/>
        <w:rPr>
          <w:rFonts w:asciiTheme="minorHAnsi" w:hAnsiTheme="minorHAnsi" w:cstheme="minorHAnsi"/>
          <w:sz w:val="22"/>
          <w:szCs w:val="22"/>
        </w:rPr>
      </w:pPr>
    </w:p>
    <w:p w14:paraId="1AFA8700" w14:textId="75DDB903" w:rsidR="005932D3" w:rsidRDefault="007B4842" w:rsidP="00214BFB">
      <w:pPr>
        <w:jc w:val="center"/>
        <w:rPr>
          <w:rFonts w:asciiTheme="minorHAnsi" w:hAnsiTheme="minorHAnsi" w:cstheme="minorHAnsi"/>
          <w:sz w:val="22"/>
          <w:szCs w:val="22"/>
        </w:rPr>
      </w:pPr>
      <w:r>
        <w:rPr>
          <w:rFonts w:asciiTheme="minorHAnsi" w:hAnsiTheme="minorHAnsi" w:cstheme="minorHAnsi"/>
          <w:noProof/>
          <w:sz w:val="22"/>
          <w:szCs w:val="22"/>
          <w:lang w:val="es-PE" w:eastAsia="es-PE"/>
        </w:rPr>
        <w:lastRenderedPageBreak/>
        <w:drawing>
          <wp:inline distT="0" distB="0" distL="0" distR="0" wp14:anchorId="099E6F57" wp14:editId="7A5003AC">
            <wp:extent cx="4478400" cy="240480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78400" cy="2404800"/>
                    </a:xfrm>
                    <a:prstGeom prst="rect">
                      <a:avLst/>
                    </a:prstGeom>
                    <a:noFill/>
                  </pic:spPr>
                </pic:pic>
              </a:graphicData>
            </a:graphic>
          </wp:inline>
        </w:drawing>
      </w:r>
    </w:p>
    <w:p w14:paraId="3F332F86" w14:textId="25B4D9B7" w:rsidR="00352B3A" w:rsidRDefault="00352B3A" w:rsidP="00AF2226">
      <w:pPr>
        <w:ind w:left="993"/>
        <w:jc w:val="both"/>
        <w:rPr>
          <w:rFonts w:asciiTheme="minorHAnsi" w:hAnsiTheme="minorHAnsi" w:cstheme="minorHAnsi"/>
          <w:b/>
          <w:bCs/>
          <w:i/>
          <w:iCs/>
          <w:sz w:val="16"/>
          <w:szCs w:val="16"/>
        </w:rPr>
      </w:pPr>
    </w:p>
    <w:p w14:paraId="524B68A0" w14:textId="77777777" w:rsidR="00352B3A" w:rsidRDefault="00352B3A" w:rsidP="00AF2226">
      <w:pPr>
        <w:ind w:left="993"/>
        <w:jc w:val="both"/>
        <w:rPr>
          <w:rFonts w:asciiTheme="minorHAnsi" w:hAnsiTheme="minorHAnsi" w:cstheme="minorHAnsi"/>
          <w:b/>
          <w:bCs/>
          <w:i/>
          <w:iCs/>
          <w:sz w:val="16"/>
          <w:szCs w:val="16"/>
        </w:rPr>
      </w:pPr>
    </w:p>
    <w:p w14:paraId="53A6F8F3" w14:textId="77777777" w:rsidR="00352B3A" w:rsidRDefault="00352B3A" w:rsidP="00AF2226">
      <w:pPr>
        <w:ind w:left="993"/>
        <w:jc w:val="both"/>
        <w:rPr>
          <w:rFonts w:asciiTheme="minorHAnsi" w:hAnsiTheme="minorHAnsi" w:cstheme="minorHAnsi"/>
          <w:b/>
          <w:bCs/>
          <w:i/>
          <w:iCs/>
          <w:sz w:val="16"/>
          <w:szCs w:val="16"/>
        </w:rPr>
      </w:pPr>
    </w:p>
    <w:p w14:paraId="46A4838E" w14:textId="77777777" w:rsidR="00352B3A" w:rsidRDefault="00352B3A" w:rsidP="00AF2226">
      <w:pPr>
        <w:ind w:left="993"/>
        <w:jc w:val="both"/>
        <w:rPr>
          <w:rFonts w:asciiTheme="minorHAnsi" w:hAnsiTheme="minorHAnsi" w:cstheme="minorHAnsi"/>
          <w:b/>
          <w:bCs/>
          <w:i/>
          <w:iCs/>
          <w:sz w:val="16"/>
          <w:szCs w:val="16"/>
        </w:rPr>
      </w:pPr>
    </w:p>
    <w:p w14:paraId="2F148D3D" w14:textId="77777777" w:rsidR="00352B3A" w:rsidRDefault="00352B3A" w:rsidP="00AF2226">
      <w:pPr>
        <w:ind w:left="993"/>
        <w:jc w:val="both"/>
        <w:rPr>
          <w:rFonts w:asciiTheme="minorHAnsi" w:hAnsiTheme="minorHAnsi" w:cstheme="minorHAnsi"/>
          <w:b/>
          <w:bCs/>
          <w:i/>
          <w:iCs/>
          <w:sz w:val="16"/>
          <w:szCs w:val="16"/>
        </w:rPr>
      </w:pPr>
    </w:p>
    <w:p w14:paraId="7AA87BC2" w14:textId="2CA0ACB3" w:rsidR="006D325E" w:rsidRDefault="006D325E">
      <w:pPr>
        <w:rPr>
          <w:rFonts w:asciiTheme="minorHAnsi" w:hAnsiTheme="minorHAnsi" w:cstheme="minorHAnsi"/>
          <w:b/>
          <w:iCs/>
          <w:u w:val="single"/>
        </w:rPr>
      </w:pPr>
    </w:p>
    <w:p w14:paraId="2B0E262C" w14:textId="58DB22FA" w:rsidR="006D325E" w:rsidRDefault="006D325E">
      <w:pPr>
        <w:rPr>
          <w:rFonts w:asciiTheme="minorHAnsi" w:hAnsiTheme="minorHAnsi" w:cstheme="minorHAnsi"/>
          <w:b/>
          <w:iCs/>
          <w:u w:val="single"/>
        </w:rPr>
      </w:pPr>
    </w:p>
    <w:p w14:paraId="69D9A51D" w14:textId="5DA030A3" w:rsidR="006D325E" w:rsidRDefault="006D325E">
      <w:pPr>
        <w:rPr>
          <w:rFonts w:asciiTheme="minorHAnsi" w:hAnsiTheme="minorHAnsi" w:cstheme="minorHAnsi"/>
          <w:b/>
          <w:iCs/>
          <w:u w:val="single"/>
        </w:rPr>
      </w:pPr>
    </w:p>
    <w:p w14:paraId="6576B4A7" w14:textId="7A61CEAE" w:rsidR="006D325E" w:rsidRDefault="006D325E" w:rsidP="00C5246D">
      <w:pPr>
        <w:jc w:val="center"/>
        <w:rPr>
          <w:rFonts w:asciiTheme="minorHAnsi" w:hAnsiTheme="minorHAnsi" w:cstheme="minorHAnsi"/>
          <w:b/>
          <w:iCs/>
          <w:u w:val="single"/>
        </w:rPr>
      </w:pPr>
    </w:p>
    <w:p w14:paraId="35D4605E" w14:textId="2F81B863" w:rsidR="006D325E" w:rsidRDefault="006D325E">
      <w:pPr>
        <w:rPr>
          <w:rFonts w:asciiTheme="minorHAnsi" w:hAnsiTheme="minorHAnsi" w:cstheme="minorHAnsi"/>
          <w:b/>
          <w:iCs/>
          <w:u w:val="single"/>
        </w:rPr>
      </w:pPr>
    </w:p>
    <w:p w14:paraId="1E8B7752" w14:textId="676D57F5" w:rsidR="006D325E" w:rsidRDefault="006D325E">
      <w:pPr>
        <w:rPr>
          <w:rFonts w:asciiTheme="minorHAnsi" w:hAnsiTheme="minorHAnsi" w:cstheme="minorHAnsi"/>
          <w:b/>
          <w:iCs/>
          <w:u w:val="single"/>
        </w:rPr>
      </w:pPr>
    </w:p>
    <w:p w14:paraId="75FB8961" w14:textId="4DD24839" w:rsidR="006D325E" w:rsidRDefault="006D325E">
      <w:pPr>
        <w:rPr>
          <w:rFonts w:asciiTheme="minorHAnsi" w:hAnsiTheme="minorHAnsi" w:cstheme="minorHAnsi"/>
          <w:b/>
          <w:iCs/>
          <w:u w:val="single"/>
        </w:rPr>
      </w:pPr>
    </w:p>
    <w:p w14:paraId="17298FD9" w14:textId="308022D8" w:rsidR="006D325E" w:rsidRDefault="006D325E">
      <w:pPr>
        <w:rPr>
          <w:rFonts w:asciiTheme="minorHAnsi" w:hAnsiTheme="minorHAnsi" w:cstheme="minorHAnsi"/>
          <w:b/>
          <w:iCs/>
          <w:u w:val="single"/>
        </w:rPr>
      </w:pPr>
    </w:p>
    <w:p w14:paraId="4AA509BD" w14:textId="38736CC8" w:rsidR="006D325E" w:rsidRDefault="006D325E">
      <w:pPr>
        <w:rPr>
          <w:rFonts w:asciiTheme="minorHAnsi" w:hAnsiTheme="minorHAnsi" w:cstheme="minorHAnsi"/>
          <w:b/>
          <w:iCs/>
          <w:u w:val="single"/>
        </w:rPr>
      </w:pPr>
    </w:p>
    <w:p w14:paraId="3F20F552" w14:textId="6E701B42" w:rsidR="006D325E" w:rsidRDefault="006D325E">
      <w:pPr>
        <w:rPr>
          <w:rFonts w:asciiTheme="minorHAnsi" w:hAnsiTheme="minorHAnsi" w:cstheme="minorHAnsi"/>
          <w:b/>
          <w:iCs/>
          <w:u w:val="single"/>
        </w:rPr>
      </w:pPr>
    </w:p>
    <w:p w14:paraId="5DD2B653" w14:textId="77A97806" w:rsidR="006D325E" w:rsidRDefault="006D325E">
      <w:pPr>
        <w:rPr>
          <w:rFonts w:asciiTheme="minorHAnsi" w:hAnsiTheme="minorHAnsi" w:cstheme="minorHAnsi"/>
          <w:b/>
          <w:iCs/>
          <w:u w:val="single"/>
        </w:rPr>
      </w:pPr>
    </w:p>
    <w:p w14:paraId="3B6E7145" w14:textId="16FC3DE9" w:rsidR="006D325E" w:rsidRDefault="006D325E">
      <w:pPr>
        <w:rPr>
          <w:rFonts w:asciiTheme="minorHAnsi" w:hAnsiTheme="minorHAnsi" w:cstheme="minorHAnsi"/>
          <w:b/>
          <w:iCs/>
          <w:u w:val="single"/>
        </w:rPr>
      </w:pPr>
    </w:p>
    <w:p w14:paraId="65DFBEF3" w14:textId="53AD7007" w:rsidR="006D325E" w:rsidRDefault="006D325E">
      <w:pPr>
        <w:rPr>
          <w:rFonts w:asciiTheme="minorHAnsi" w:hAnsiTheme="minorHAnsi" w:cstheme="minorHAnsi"/>
          <w:b/>
          <w:iCs/>
          <w:u w:val="single"/>
        </w:rPr>
      </w:pPr>
    </w:p>
    <w:p w14:paraId="3FAFB122" w14:textId="522B311A" w:rsidR="006D325E" w:rsidRDefault="006D325E">
      <w:pPr>
        <w:rPr>
          <w:rFonts w:asciiTheme="minorHAnsi" w:hAnsiTheme="minorHAnsi" w:cstheme="minorHAnsi"/>
          <w:b/>
          <w:iCs/>
          <w:u w:val="single"/>
        </w:rPr>
      </w:pPr>
    </w:p>
    <w:p w14:paraId="5E07A4C9" w14:textId="664993E6" w:rsidR="006D325E" w:rsidRDefault="006D325E">
      <w:pPr>
        <w:rPr>
          <w:rFonts w:asciiTheme="minorHAnsi" w:hAnsiTheme="minorHAnsi" w:cstheme="minorHAnsi"/>
          <w:b/>
          <w:iCs/>
          <w:u w:val="single"/>
        </w:rPr>
      </w:pPr>
    </w:p>
    <w:p w14:paraId="2FBBD970" w14:textId="270A34D0" w:rsidR="008F7A15" w:rsidRDefault="008F7A15">
      <w:pPr>
        <w:rPr>
          <w:rFonts w:asciiTheme="minorHAnsi" w:hAnsiTheme="minorHAnsi" w:cstheme="minorHAnsi"/>
          <w:b/>
          <w:iCs/>
          <w:u w:val="single"/>
        </w:rPr>
      </w:pPr>
      <w:r>
        <w:rPr>
          <w:rFonts w:asciiTheme="minorHAnsi" w:hAnsiTheme="minorHAnsi" w:cstheme="minorHAnsi"/>
          <w:b/>
          <w:iCs/>
          <w:u w:val="single"/>
        </w:rPr>
        <w:br w:type="page"/>
      </w:r>
    </w:p>
    <w:p w14:paraId="166D0F6D"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1235C5" w:rsidP="00CA3C87">
      <w:pPr>
        <w:rPr>
          <w:rFonts w:asciiTheme="minorHAnsi" w:hAnsiTheme="minorHAnsi" w:cstheme="minorHAnsi"/>
          <w:b/>
          <w:bCs/>
          <w:i/>
          <w:iCs/>
          <w:sz w:val="16"/>
          <w:szCs w:val="16"/>
        </w:rPr>
      </w:pPr>
      <w:hyperlink r:id="rId32"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3"/>
      <w:footerReference w:type="default" r:id="rId34"/>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E15336" w14:textId="4F20CE23"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1235C5">
          <w:rPr>
            <w:rFonts w:asciiTheme="minorHAnsi" w:hAnsiTheme="minorHAnsi" w:cstheme="minorHAnsi"/>
            <w:b/>
            <w:noProof/>
            <w:color w:val="002060"/>
          </w:rPr>
          <w:t>3</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0A99BA" w14:textId="06CDEBA9"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1235C5">
          <w:rPr>
            <w:rFonts w:asciiTheme="minorHAnsi" w:hAnsiTheme="minorHAnsi" w:cstheme="minorHAnsi"/>
            <w:b/>
            <w:noProof/>
            <w:color w:val="002060"/>
          </w:rPr>
          <w:t>1</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AA845A" w14:textId="171BBE25"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1235C5">
          <w:rPr>
            <w:rFonts w:asciiTheme="minorHAnsi" w:hAnsiTheme="minorHAnsi" w:cstheme="minorHAnsi"/>
            <w:b/>
            <w:noProof/>
            <w:color w:val="002060"/>
            <w:lang w:val="en-US"/>
          </w:rPr>
          <w:t>15</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2A63F1E0" w14:textId="77777777" w:rsidR="005C5731" w:rsidRPr="00D115A0" w:rsidRDefault="005C5731" w:rsidP="005C5731">
      <w:pPr>
        <w:pStyle w:val="Textonotapie"/>
        <w:rPr>
          <w:rFonts w:asciiTheme="minorHAnsi" w:hAnsiTheme="minorHAnsi" w:cstheme="minorHAnsi"/>
          <w:i/>
          <w:sz w:val="18"/>
          <w:szCs w:val="18"/>
        </w:rPr>
      </w:pPr>
      <w:r>
        <w:rPr>
          <w:rStyle w:val="Refdenotaalpie"/>
        </w:rPr>
        <w:footnoteRef/>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Energy</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941268" w14:textId="77777777" w:rsidR="00352B3A" w:rsidRDefault="00FF1622" w:rsidP="00FF1622">
    <w:pPr>
      <w:pStyle w:val="Encabezado"/>
      <w:tabs>
        <w:tab w:val="clear" w:pos="8838"/>
        <w:tab w:val="right" w:pos="8646"/>
      </w:tabs>
      <w:ind w:left="-1418"/>
      <w:rPr>
        <w:noProof/>
        <w:lang w:val="es-PE" w:eastAsia="es-PE"/>
      </w:rPr>
    </w:pPr>
    <w:bookmarkStart w:id="2" w:name="_Hlk68946101"/>
    <w:bookmarkStart w:id="3"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7B123DA5" w14:textId="77777777" w:rsidTr="00EC58B2">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7F071146" w:rsidR="00352B3A" w:rsidRPr="00352B3A" w:rsidRDefault="00352B3A" w:rsidP="00277E11">
          <w:pPr>
            <w:jc w:val="center"/>
            <w:rPr>
              <w:rFonts w:ascii="Calibri" w:hAnsi="Calibri" w:cs="Calibri"/>
              <w:sz w:val="26"/>
              <w:szCs w:val="26"/>
              <w:lang w:val="it-IT"/>
            </w:rPr>
          </w:pPr>
          <w:r w:rsidRPr="00352B3A">
            <w:rPr>
              <w:rFonts w:ascii="Calibri" w:hAnsi="Calibri" w:cs="Calibri"/>
              <w:b/>
              <w:sz w:val="26"/>
              <w:szCs w:val="26"/>
              <w:lang w:val="it-IT"/>
            </w:rPr>
            <w:t>Informe N° PR- 0</w:t>
          </w:r>
          <w:r w:rsidR="00A60AF9">
            <w:rPr>
              <w:rFonts w:ascii="Calibri" w:hAnsi="Calibri" w:cs="Calibri"/>
              <w:b/>
              <w:sz w:val="26"/>
              <w:szCs w:val="26"/>
              <w:lang w:val="it-IT"/>
            </w:rPr>
            <w:t>8</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2"/>
  <w:bookmarkEnd w:id="3"/>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6020C811" w:rsidR="00352B3A" w:rsidRPr="00352B3A" w:rsidRDefault="00C823A9" w:rsidP="00277E11">
          <w:pPr>
            <w:jc w:val="center"/>
            <w:rPr>
              <w:rFonts w:ascii="Calibri" w:hAnsi="Calibri" w:cs="Calibri"/>
              <w:sz w:val="26"/>
              <w:szCs w:val="26"/>
              <w:lang w:val="it-IT"/>
            </w:rPr>
          </w:pPr>
          <w:r>
            <w:rPr>
              <w:rFonts w:ascii="Calibri" w:hAnsi="Calibri" w:cs="Calibri"/>
              <w:b/>
              <w:sz w:val="26"/>
              <w:szCs w:val="26"/>
              <w:lang w:val="it-IT"/>
            </w:rPr>
            <w:t>Informe N° PR-</w:t>
          </w:r>
          <w:r w:rsidR="00352B3A" w:rsidRPr="00352B3A">
            <w:rPr>
              <w:rFonts w:ascii="Calibri" w:hAnsi="Calibri" w:cs="Calibri"/>
              <w:b/>
              <w:sz w:val="26"/>
              <w:szCs w:val="26"/>
              <w:lang w:val="it-IT"/>
            </w:rPr>
            <w:t>0</w:t>
          </w:r>
          <w:r w:rsidR="00F36F1C">
            <w:rPr>
              <w:rFonts w:ascii="Calibri" w:hAnsi="Calibri" w:cs="Calibri"/>
              <w:b/>
              <w:sz w:val="26"/>
              <w:szCs w:val="26"/>
              <w:lang w:val="it-IT"/>
            </w:rPr>
            <w:t>8</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352B3A"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165E8D9E" w:rsidR="00352B3A" w:rsidRPr="00352B3A" w:rsidRDefault="00C823A9" w:rsidP="00277E11">
          <w:pPr>
            <w:jc w:val="center"/>
            <w:rPr>
              <w:rFonts w:ascii="Calibri" w:hAnsi="Calibri" w:cs="Calibri"/>
              <w:sz w:val="26"/>
              <w:szCs w:val="26"/>
              <w:lang w:val="it-IT"/>
            </w:rPr>
          </w:pPr>
          <w:r>
            <w:rPr>
              <w:rFonts w:ascii="Calibri" w:hAnsi="Calibri" w:cs="Calibri"/>
              <w:b/>
              <w:sz w:val="26"/>
              <w:szCs w:val="26"/>
              <w:lang w:val="it-IT"/>
            </w:rPr>
            <w:t>Informe N° PR -</w:t>
          </w:r>
          <w:r w:rsidR="00352B3A" w:rsidRPr="00352B3A">
            <w:rPr>
              <w:rFonts w:ascii="Calibri" w:hAnsi="Calibri" w:cs="Calibri"/>
              <w:b/>
              <w:sz w:val="26"/>
              <w:szCs w:val="26"/>
              <w:lang w:val="it-IT"/>
            </w:rPr>
            <w:t>0</w:t>
          </w:r>
          <w:r w:rsidR="00A60AF9">
            <w:rPr>
              <w:rFonts w:ascii="Calibri" w:hAnsi="Calibri" w:cs="Calibri"/>
              <w:b/>
              <w:sz w:val="26"/>
              <w:szCs w:val="26"/>
              <w:lang w:val="it-IT"/>
            </w:rPr>
            <w:t>8</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26F4E8F4" w14:textId="77777777" w:rsidTr="00EC58B2">
      <w:trPr>
        <w:trHeight w:val="1275"/>
      </w:trPr>
      <w:tc>
        <w:tcPr>
          <w:tcW w:w="4679"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461CCA7" w14:textId="446BA018" w:rsidR="00352B3A" w:rsidRPr="00352B3A" w:rsidRDefault="00352B3A" w:rsidP="009D3604">
          <w:pPr>
            <w:jc w:val="center"/>
            <w:rPr>
              <w:rFonts w:ascii="Calibri" w:hAnsi="Calibri" w:cs="Calibri"/>
              <w:sz w:val="26"/>
              <w:szCs w:val="26"/>
              <w:lang w:val="it-IT"/>
            </w:rPr>
          </w:pPr>
          <w:r w:rsidRPr="00352B3A">
            <w:rPr>
              <w:rFonts w:ascii="Calibri" w:hAnsi="Calibri" w:cs="Calibri"/>
              <w:b/>
              <w:sz w:val="26"/>
              <w:szCs w:val="26"/>
              <w:lang w:val="it-IT"/>
            </w:rPr>
            <w:t>Informe N° PR-0</w:t>
          </w:r>
          <w:r w:rsidR="00A60AF9">
            <w:rPr>
              <w:rFonts w:ascii="Calibri" w:hAnsi="Calibri" w:cs="Calibri"/>
              <w:b/>
              <w:sz w:val="26"/>
              <w:szCs w:val="26"/>
              <w:lang w:val="it-IT"/>
            </w:rPr>
            <w:t>8</w:t>
          </w:r>
          <w:r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0"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1"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4"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5"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6"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0"/>
  </w:num>
  <w:num w:numId="3">
    <w:abstractNumId w:val="11"/>
  </w:num>
  <w:num w:numId="4">
    <w:abstractNumId w:val="0"/>
  </w:num>
  <w:num w:numId="5">
    <w:abstractNumId w:val="13"/>
  </w:num>
  <w:num w:numId="6">
    <w:abstractNumId w:val="16"/>
  </w:num>
  <w:num w:numId="7">
    <w:abstractNumId w:val="15"/>
  </w:num>
  <w:num w:numId="8">
    <w:abstractNumId w:val="9"/>
  </w:num>
  <w:num w:numId="9">
    <w:abstractNumId w:val="14"/>
  </w:num>
  <w:num w:numId="10">
    <w:abstractNumId w:val="5"/>
  </w:num>
  <w:num w:numId="11">
    <w:abstractNumId w:val="12"/>
  </w:num>
  <w:num w:numId="12">
    <w:abstractNumId w:val="4"/>
  </w:num>
  <w:num w:numId="13">
    <w:abstractNumId w:val="2"/>
  </w:num>
  <w:num w:numId="14">
    <w:abstractNumId w:val="6"/>
  </w:num>
  <w:num w:numId="15">
    <w:abstractNumId w:val="8"/>
  </w:num>
  <w:num w:numId="16">
    <w:abstractNumId w:val="17"/>
  </w:num>
  <w:num w:numId="17">
    <w:abstractNumId w:val="18"/>
  </w:num>
  <w:num w:numId="18">
    <w:abstractNumId w:val="7"/>
  </w:num>
  <w:num w:numId="19">
    <w:abstractNumId w:val="1"/>
  </w:num>
  <w:num w:numId="20">
    <w:abstractNumId w:val="2"/>
  </w:num>
  <w:num w:numId="21">
    <w:abstractNumId w:val="17"/>
  </w:num>
  <w:num w:numId="2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activeWritingStyle w:appName="MSWord" w:lang="es-MX" w:vendorID="64" w:dllVersion="131078" w:nlCheck="1" w:checkStyle="0"/>
  <w:activeWritingStyle w:appName="MSWord" w:lang="es-ES" w:vendorID="64" w:dllVersion="131078" w:nlCheck="1" w:checkStyle="0"/>
  <w:activeWritingStyle w:appName="MSWord" w:lang="en-US" w:vendorID="64" w:dllVersion="131078" w:nlCheck="1" w:checkStyle="1"/>
  <w:activeWritingStyle w:appName="MSWord" w:lang="es-PE" w:vendorID="64" w:dllVersion="131078"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77"/>
    <w:rsid w:val="00074EBD"/>
    <w:rsid w:val="00075242"/>
    <w:rsid w:val="0007547A"/>
    <w:rsid w:val="0007626A"/>
    <w:rsid w:val="0007628C"/>
    <w:rsid w:val="0007633F"/>
    <w:rsid w:val="000763A1"/>
    <w:rsid w:val="00076442"/>
    <w:rsid w:val="00076544"/>
    <w:rsid w:val="00076608"/>
    <w:rsid w:val="00076C43"/>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9C7"/>
    <w:rsid w:val="00122A9D"/>
    <w:rsid w:val="00122BE4"/>
    <w:rsid w:val="00122D4A"/>
    <w:rsid w:val="00122F66"/>
    <w:rsid w:val="00123028"/>
    <w:rsid w:val="00123047"/>
    <w:rsid w:val="00123090"/>
    <w:rsid w:val="00123246"/>
    <w:rsid w:val="0012337F"/>
    <w:rsid w:val="001235C5"/>
    <w:rsid w:val="00123902"/>
    <w:rsid w:val="00123A3F"/>
    <w:rsid w:val="00123A59"/>
    <w:rsid w:val="001240E2"/>
    <w:rsid w:val="001242DB"/>
    <w:rsid w:val="00124777"/>
    <w:rsid w:val="00124A86"/>
    <w:rsid w:val="00124EF2"/>
    <w:rsid w:val="0012500E"/>
    <w:rsid w:val="001250DD"/>
    <w:rsid w:val="0012529B"/>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4E7"/>
    <w:rsid w:val="00237757"/>
    <w:rsid w:val="002377C2"/>
    <w:rsid w:val="0023794A"/>
    <w:rsid w:val="00237DE0"/>
    <w:rsid w:val="00237E92"/>
    <w:rsid w:val="00240030"/>
    <w:rsid w:val="00240137"/>
    <w:rsid w:val="00240295"/>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F9"/>
    <w:rsid w:val="002509AE"/>
    <w:rsid w:val="002509CE"/>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DC"/>
    <w:rsid w:val="002A1552"/>
    <w:rsid w:val="002A1726"/>
    <w:rsid w:val="002A1998"/>
    <w:rsid w:val="002A1C5B"/>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73F"/>
    <w:rsid w:val="002B79EA"/>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7016"/>
    <w:rsid w:val="003470C8"/>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A6"/>
    <w:rsid w:val="003606BA"/>
    <w:rsid w:val="003608B6"/>
    <w:rsid w:val="003608E2"/>
    <w:rsid w:val="003609A5"/>
    <w:rsid w:val="00360BF4"/>
    <w:rsid w:val="00360FCD"/>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F0"/>
    <w:rsid w:val="003C2E8B"/>
    <w:rsid w:val="003C2F8F"/>
    <w:rsid w:val="003C30DD"/>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4BA"/>
    <w:rsid w:val="0041087D"/>
    <w:rsid w:val="004108C9"/>
    <w:rsid w:val="004108F4"/>
    <w:rsid w:val="00410CF7"/>
    <w:rsid w:val="0041107B"/>
    <w:rsid w:val="00411542"/>
    <w:rsid w:val="00411A62"/>
    <w:rsid w:val="00411F4A"/>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4F55"/>
    <w:rsid w:val="004A5064"/>
    <w:rsid w:val="004A5363"/>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3157"/>
    <w:rsid w:val="005031C7"/>
    <w:rsid w:val="00503220"/>
    <w:rsid w:val="0050339E"/>
    <w:rsid w:val="00503B61"/>
    <w:rsid w:val="00503B7A"/>
    <w:rsid w:val="00503D18"/>
    <w:rsid w:val="00503D77"/>
    <w:rsid w:val="0050427C"/>
    <w:rsid w:val="0050468B"/>
    <w:rsid w:val="005047BF"/>
    <w:rsid w:val="005048A3"/>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F50"/>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A6B"/>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A8"/>
    <w:rsid w:val="00637DA8"/>
    <w:rsid w:val="00637F37"/>
    <w:rsid w:val="006400C1"/>
    <w:rsid w:val="00640143"/>
    <w:rsid w:val="0064084C"/>
    <w:rsid w:val="006408BA"/>
    <w:rsid w:val="00640B7B"/>
    <w:rsid w:val="00640EF9"/>
    <w:rsid w:val="006411D8"/>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5026"/>
    <w:rsid w:val="006C506B"/>
    <w:rsid w:val="006C5160"/>
    <w:rsid w:val="006C5273"/>
    <w:rsid w:val="006C52D8"/>
    <w:rsid w:val="006C5AF0"/>
    <w:rsid w:val="006C5B33"/>
    <w:rsid w:val="006C5B94"/>
    <w:rsid w:val="006C5C5A"/>
    <w:rsid w:val="006C5C5F"/>
    <w:rsid w:val="006C5F63"/>
    <w:rsid w:val="006C6343"/>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E54"/>
    <w:rsid w:val="006E0E67"/>
    <w:rsid w:val="006E0F7D"/>
    <w:rsid w:val="006E1031"/>
    <w:rsid w:val="006E119E"/>
    <w:rsid w:val="006E12E1"/>
    <w:rsid w:val="006E13E1"/>
    <w:rsid w:val="006E15B8"/>
    <w:rsid w:val="006E1708"/>
    <w:rsid w:val="006E1747"/>
    <w:rsid w:val="006E195B"/>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10EA"/>
    <w:rsid w:val="00711729"/>
    <w:rsid w:val="00711A8C"/>
    <w:rsid w:val="00711BCC"/>
    <w:rsid w:val="00711EA3"/>
    <w:rsid w:val="00712097"/>
    <w:rsid w:val="00712243"/>
    <w:rsid w:val="007122CD"/>
    <w:rsid w:val="00712470"/>
    <w:rsid w:val="0071266F"/>
    <w:rsid w:val="007126E8"/>
    <w:rsid w:val="00712837"/>
    <w:rsid w:val="00712D3B"/>
    <w:rsid w:val="00712DCD"/>
    <w:rsid w:val="0071363B"/>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62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56E5"/>
    <w:rsid w:val="0086589B"/>
    <w:rsid w:val="00865B16"/>
    <w:rsid w:val="00865ED0"/>
    <w:rsid w:val="00865F4B"/>
    <w:rsid w:val="00865F65"/>
    <w:rsid w:val="008660C7"/>
    <w:rsid w:val="00866363"/>
    <w:rsid w:val="0086648A"/>
    <w:rsid w:val="0086667B"/>
    <w:rsid w:val="00866780"/>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BA"/>
    <w:rsid w:val="008C6889"/>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68F"/>
    <w:rsid w:val="0092070A"/>
    <w:rsid w:val="00920B1A"/>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DF"/>
    <w:rsid w:val="00961057"/>
    <w:rsid w:val="00961074"/>
    <w:rsid w:val="00961190"/>
    <w:rsid w:val="00961615"/>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37"/>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CE"/>
    <w:rsid w:val="00A355DC"/>
    <w:rsid w:val="00A356E3"/>
    <w:rsid w:val="00A3594E"/>
    <w:rsid w:val="00A35A4E"/>
    <w:rsid w:val="00A35D88"/>
    <w:rsid w:val="00A35DA3"/>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89D"/>
    <w:rsid w:val="00AF48C9"/>
    <w:rsid w:val="00AF4FAA"/>
    <w:rsid w:val="00AF5AD6"/>
    <w:rsid w:val="00AF5D8A"/>
    <w:rsid w:val="00AF6354"/>
    <w:rsid w:val="00AF6361"/>
    <w:rsid w:val="00AF63A5"/>
    <w:rsid w:val="00AF64F2"/>
    <w:rsid w:val="00AF68F4"/>
    <w:rsid w:val="00AF6B55"/>
    <w:rsid w:val="00AF6C2D"/>
    <w:rsid w:val="00AF702A"/>
    <w:rsid w:val="00AF70BD"/>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AB7"/>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9D"/>
    <w:rsid w:val="00B56BC9"/>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397"/>
    <w:rsid w:val="00C267AB"/>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6D"/>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91A"/>
    <w:rsid w:val="00CE3ADE"/>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57BE2"/>
    <w:rsid w:val="00D60111"/>
    <w:rsid w:val="00D60284"/>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756"/>
    <w:rsid w:val="00DE7C13"/>
    <w:rsid w:val="00DE7C40"/>
    <w:rsid w:val="00DE7F68"/>
    <w:rsid w:val="00DE7FB4"/>
    <w:rsid w:val="00DF0702"/>
    <w:rsid w:val="00DF09F7"/>
    <w:rsid w:val="00DF0A5C"/>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BA7"/>
    <w:rsid w:val="00E07C0A"/>
    <w:rsid w:val="00E07C27"/>
    <w:rsid w:val="00E07FB1"/>
    <w:rsid w:val="00E104EB"/>
    <w:rsid w:val="00E108B5"/>
    <w:rsid w:val="00E10906"/>
    <w:rsid w:val="00E10C36"/>
    <w:rsid w:val="00E10E45"/>
    <w:rsid w:val="00E111DF"/>
    <w:rsid w:val="00E11339"/>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DB"/>
    <w:rsid w:val="00E60DC2"/>
    <w:rsid w:val="00E61059"/>
    <w:rsid w:val="00E6126B"/>
    <w:rsid w:val="00E616BB"/>
    <w:rsid w:val="00E61895"/>
    <w:rsid w:val="00E61EC2"/>
    <w:rsid w:val="00E6202E"/>
    <w:rsid w:val="00E6207B"/>
    <w:rsid w:val="00E62222"/>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B8D"/>
    <w:rsid w:val="00EB1C86"/>
    <w:rsid w:val="00EB23B5"/>
    <w:rsid w:val="00EB2664"/>
    <w:rsid w:val="00EB2AC3"/>
    <w:rsid w:val="00EB2C9F"/>
    <w:rsid w:val="00EB2F93"/>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DF6"/>
    <w:rsid w:val="00EE7F14"/>
    <w:rsid w:val="00EF029E"/>
    <w:rsid w:val="00EF06BE"/>
    <w:rsid w:val="00EF07A9"/>
    <w:rsid w:val="00EF07E9"/>
    <w:rsid w:val="00EF0E35"/>
    <w:rsid w:val="00EF17A6"/>
    <w:rsid w:val="00EF1922"/>
    <w:rsid w:val="00EF1B0F"/>
    <w:rsid w:val="00EF1C24"/>
    <w:rsid w:val="00EF1DCB"/>
    <w:rsid w:val="00EF216E"/>
    <w:rsid w:val="00EF21E2"/>
    <w:rsid w:val="00EF220E"/>
    <w:rsid w:val="00EF241F"/>
    <w:rsid w:val="00EF342E"/>
    <w:rsid w:val="00EF34A4"/>
    <w:rsid w:val="00EF3919"/>
    <w:rsid w:val="00EF3BCC"/>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A05"/>
    <w:rsid w:val="00F67A20"/>
    <w:rsid w:val="00F67B75"/>
    <w:rsid w:val="00F67B95"/>
    <w:rsid w:val="00F67D83"/>
    <w:rsid w:val="00F67E3D"/>
    <w:rsid w:val="00F70005"/>
    <w:rsid w:val="00F7010D"/>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2.xml"/><Relationship Id="rId25" Type="http://schemas.openxmlformats.org/officeDocument/2006/relationships/image" Target="media/image10.png"/><Relationship Id="rId33"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header" Target="header3.xml"/><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9.png"/><Relationship Id="rId32" Type="http://schemas.openxmlformats.org/officeDocument/2006/relationships/hyperlink" Target="https://www.osinergmin.gob.pe/seccion/centro_documental/gart/precios_referencia_banda_precios/PreciosReferencia/Informe-Tecnico-479-2021-GRT.pdf"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8.emf"/><Relationship Id="rId28" Type="http://schemas.openxmlformats.org/officeDocument/2006/relationships/image" Target="media/image13.png"/><Relationship Id="rId36" Type="http://schemas.openxmlformats.org/officeDocument/2006/relationships/theme" Target="theme/theme1.xml"/><Relationship Id="rId10" Type="http://schemas.openxmlformats.org/officeDocument/2006/relationships/hyperlink" Target="https://www.peruweek.pe/tag/glp/" TargetMode="External"/><Relationship Id="rId19" Type="http://schemas.openxmlformats.org/officeDocument/2006/relationships/footer" Target="footer3.xml"/><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header" Target="header1.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fontTable" Target="fontTable.xml"/><Relationship Id="rId8"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E8236A-488C-48F3-9AA6-AD49494C1F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15</Pages>
  <Words>3318</Words>
  <Characters>18253</Characters>
  <Application>Microsoft Office Word</Application>
  <DocSecurity>0</DocSecurity>
  <Lines>152</Lines>
  <Paragraphs>43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21528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3</cp:revision>
  <cp:lastPrinted>2023-01-12T22:49:00Z</cp:lastPrinted>
  <dcterms:created xsi:type="dcterms:W3CDTF">2023-02-22T18:10:00Z</dcterms:created>
  <dcterms:modified xsi:type="dcterms:W3CDTF">2023-02-22T18:18:00Z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