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A718EA5"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186445">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B4A99A8"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E53EF">
        <w:rPr>
          <w:rFonts w:asciiTheme="minorHAnsi" w:hAnsiTheme="minorHAnsi" w:cstheme="minorHAnsi"/>
          <w:b/>
          <w:bCs/>
          <w:sz w:val="28"/>
          <w:szCs w:val="28"/>
        </w:rPr>
        <w:t>1</w:t>
      </w:r>
      <w:r w:rsidR="00186445">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624A92">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8D9A17E" w:rsidR="00E53D92" w:rsidRPr="002B3648" w:rsidRDefault="00382741"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EAFC373" wp14:editId="6184EE79">
            <wp:extent cx="5378865" cy="3427369"/>
            <wp:effectExtent l="0" t="0" r="0"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5711" cy="343810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0463BAF8"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w:t>
      </w:r>
      <w:r w:rsidR="00186445">
        <w:rPr>
          <w:rFonts w:asciiTheme="minorHAnsi" w:hAnsiTheme="minorHAnsi" w:cstheme="minorHAnsi"/>
          <w:sz w:val="22"/>
          <w:szCs w:val="22"/>
        </w:rPr>
        <w:t>mayo</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018E471D"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w:t>
      </w:r>
      <w:r w:rsidR="00FE53EF">
        <w:rPr>
          <w:rFonts w:asciiTheme="minorHAnsi" w:hAnsiTheme="minorHAnsi" w:cstheme="minorHAnsi"/>
          <w:sz w:val="22"/>
          <w:szCs w:val="22"/>
        </w:rPr>
        <w:t>el precio del crudo WTI se ubicó en</w:t>
      </w:r>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70,9</w:t>
      </w:r>
      <w:r w:rsidR="00186445">
        <w:rPr>
          <w:rFonts w:asciiTheme="minorHAnsi" w:hAnsiTheme="minorHAnsi" w:cstheme="minorHAnsi"/>
          <w:sz w:val="22"/>
          <w:szCs w:val="22"/>
        </w:rPr>
        <w:t>2</w:t>
      </w:r>
      <w:r w:rsidR="00D9369F">
        <w:rPr>
          <w:rFonts w:asciiTheme="minorHAnsi" w:hAnsiTheme="minorHAnsi" w:cstheme="minorHAnsi"/>
          <w:sz w:val="22"/>
          <w:szCs w:val="22"/>
        </w:rPr>
        <w:t xml:space="preserve"> </w:t>
      </w:r>
      <w:r w:rsidR="00FE53EF" w:rsidRPr="00CC0F16">
        <w:rPr>
          <w:rFonts w:asciiTheme="minorHAnsi" w:hAnsiTheme="minorHAnsi" w:cstheme="minorHAnsi"/>
          <w:sz w:val="22"/>
          <w:szCs w:val="22"/>
        </w:rPr>
        <w:t>US$/</w:t>
      </w:r>
      <w:proofErr w:type="spellStart"/>
      <w:r w:rsidR="00FE53EF" w:rsidRPr="00CC0F16">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las gasolinas</w:t>
      </w:r>
      <w:r w:rsidR="00FE53EF">
        <w:rPr>
          <w:rFonts w:asciiTheme="minorHAnsi" w:hAnsiTheme="minorHAnsi" w:cstheme="minorHAnsi"/>
          <w:sz w:val="22"/>
          <w:szCs w:val="22"/>
        </w:rPr>
        <w:t xml:space="preserve"> registraron un precio superior a</w:t>
      </w:r>
      <w:r w:rsidR="00186445">
        <w:rPr>
          <w:rFonts w:asciiTheme="minorHAnsi" w:hAnsiTheme="minorHAnsi" w:cstheme="minorHAnsi"/>
          <w:sz w:val="22"/>
          <w:szCs w:val="22"/>
        </w:rPr>
        <w:t xml:space="preserve"> 100</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y los destilados medios registraron</w:t>
      </w:r>
      <w:r w:rsidR="00FE53EF" w:rsidRPr="00CC0F16">
        <w:rPr>
          <w:rFonts w:asciiTheme="minorHAnsi" w:hAnsiTheme="minorHAnsi" w:cstheme="minorHAnsi"/>
          <w:sz w:val="22"/>
          <w:szCs w:val="22"/>
        </w:rPr>
        <w:t xml:space="preserve"> niveles </w:t>
      </w:r>
      <w:r w:rsidR="00FE53EF">
        <w:rPr>
          <w:rFonts w:asciiTheme="minorHAnsi" w:hAnsiTheme="minorHAnsi" w:cstheme="minorHAnsi"/>
          <w:sz w:val="22"/>
          <w:szCs w:val="22"/>
        </w:rPr>
        <w:t>por encima de</w:t>
      </w:r>
      <w:r w:rsidR="00FE53EF" w:rsidRPr="00CC0F16">
        <w:rPr>
          <w:rFonts w:asciiTheme="minorHAnsi" w:hAnsiTheme="minorHAnsi" w:cstheme="minorHAnsi"/>
          <w:sz w:val="22"/>
          <w:szCs w:val="22"/>
        </w:rPr>
        <w:t xml:space="preserve"> los </w:t>
      </w:r>
      <w:r w:rsidR="00186445">
        <w:rPr>
          <w:rFonts w:asciiTheme="minorHAnsi" w:hAnsiTheme="minorHAnsi" w:cstheme="minorHAnsi"/>
          <w:sz w:val="22"/>
          <w:szCs w:val="22"/>
        </w:rPr>
        <w:t>105</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 Para el mismo periodo, el precio del GLP cerró la semana en 2</w:t>
      </w:r>
      <w:r w:rsidR="00186445">
        <w:rPr>
          <w:rFonts w:asciiTheme="minorHAnsi" w:hAnsiTheme="minorHAnsi" w:cstheme="minorHAnsi"/>
          <w:sz w:val="22"/>
          <w:szCs w:val="22"/>
        </w:rPr>
        <w:t>4</w:t>
      </w:r>
      <w:r w:rsidR="00D9369F">
        <w:rPr>
          <w:rFonts w:asciiTheme="minorHAnsi" w:hAnsiTheme="minorHAnsi" w:cstheme="minorHAnsi"/>
          <w:sz w:val="22"/>
          <w:szCs w:val="22"/>
        </w:rPr>
        <w:t>,</w:t>
      </w:r>
      <w:r w:rsidR="00186445">
        <w:rPr>
          <w:rFonts w:asciiTheme="minorHAnsi" w:hAnsiTheme="minorHAnsi" w:cstheme="minorHAnsi"/>
          <w:sz w:val="22"/>
          <w:szCs w:val="22"/>
        </w:rPr>
        <w:t>90</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619A21FF"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186445">
        <w:rPr>
          <w:rFonts w:asciiTheme="minorHAnsi" w:hAnsiTheme="minorHAnsi" w:cstheme="minorHAnsi"/>
          <w:sz w:val="22"/>
          <w:szCs w:val="22"/>
        </w:rPr>
        <w:t>05</w:t>
      </w:r>
      <w:r w:rsidRPr="00431A8E">
        <w:rPr>
          <w:rFonts w:asciiTheme="minorHAnsi" w:hAnsiTheme="minorHAnsi" w:cstheme="minorHAnsi"/>
          <w:sz w:val="22"/>
          <w:szCs w:val="22"/>
        </w:rPr>
        <w:t>.</w:t>
      </w:r>
      <w:r>
        <w:rPr>
          <w:rFonts w:asciiTheme="minorHAnsi" w:hAnsiTheme="minorHAnsi" w:cstheme="minorHAnsi"/>
          <w:sz w:val="22"/>
          <w:szCs w:val="22"/>
        </w:rPr>
        <w:t>0</w:t>
      </w:r>
      <w:r w:rsidR="00186445">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186445">
        <w:rPr>
          <w:rFonts w:asciiTheme="minorHAnsi" w:hAnsiTheme="minorHAnsi" w:cstheme="minorHAnsi"/>
          <w:sz w:val="22"/>
          <w:szCs w:val="22"/>
        </w:rPr>
        <w:t>16</w:t>
      </w:r>
      <w:r w:rsidRPr="00431A8E">
        <w:rPr>
          <w:rFonts w:asciiTheme="minorHAnsi" w:hAnsiTheme="minorHAnsi" w:cstheme="minorHAnsi"/>
          <w:sz w:val="22"/>
          <w:szCs w:val="22"/>
        </w:rPr>
        <w:t>.0</w:t>
      </w:r>
      <w:r w:rsidR="00AF7142">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05F95F42" w14:textId="77777777" w:rsidR="00186445" w:rsidRPr="00F022D9" w:rsidRDefault="00186445" w:rsidP="00186445">
      <w:pPr>
        <w:pStyle w:val="Prrafodelista"/>
        <w:numPr>
          <w:ilvl w:val="0"/>
          <w:numId w:val="13"/>
        </w:numPr>
        <w:ind w:left="426"/>
        <w:contextualSpacing/>
        <w:jc w:val="both"/>
        <w:rPr>
          <w:rFonts w:asciiTheme="minorHAnsi" w:hAnsiTheme="minorHAnsi" w:cstheme="minorHAnsi"/>
          <w:b/>
          <w:sz w:val="22"/>
          <w:szCs w:val="22"/>
        </w:rPr>
      </w:pPr>
      <w:r w:rsidRPr="00F022D9">
        <w:rPr>
          <w:rFonts w:asciiTheme="minorHAnsi" w:hAnsiTheme="minorHAnsi" w:cstheme="minorHAnsi"/>
          <w:b/>
          <w:sz w:val="22"/>
          <w:szCs w:val="22"/>
        </w:rPr>
        <w:t>El aumento de los inventarios de crudo, propano, gasolinas y destilados medios al 09 de junio del 2023.</w:t>
      </w:r>
    </w:p>
    <w:p w14:paraId="4AC82757" w14:textId="77777777" w:rsidR="00186445" w:rsidRPr="00F022D9" w:rsidRDefault="00186445" w:rsidP="00186445">
      <w:pPr>
        <w:pStyle w:val="Prrafodelista"/>
        <w:ind w:left="426"/>
        <w:jc w:val="both"/>
        <w:rPr>
          <w:rFonts w:asciiTheme="minorHAnsi" w:hAnsiTheme="minorHAnsi" w:cstheme="minorHAnsi"/>
          <w:sz w:val="22"/>
          <w:szCs w:val="22"/>
        </w:rPr>
      </w:pPr>
    </w:p>
    <w:p w14:paraId="7B9A0F91"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Los inventarios de petróleo de Estados Unidos se incrementaron en 7,9 millones de barriles, ubicándose justo en la media de los últimos 5 años, lo que representa 467,1 millones de barriles.</w:t>
      </w:r>
    </w:p>
    <w:p w14:paraId="60541B25" w14:textId="77777777" w:rsidR="00186445" w:rsidRPr="00F022D9" w:rsidRDefault="00186445" w:rsidP="00186445">
      <w:pPr>
        <w:pStyle w:val="Prrafodelista"/>
        <w:ind w:left="426"/>
        <w:jc w:val="both"/>
        <w:rPr>
          <w:rFonts w:asciiTheme="minorHAnsi" w:hAnsiTheme="minorHAnsi" w:cstheme="minorHAnsi"/>
          <w:sz w:val="22"/>
          <w:szCs w:val="22"/>
        </w:rPr>
      </w:pPr>
    </w:p>
    <w:p w14:paraId="15A242D2"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Por su parte, las existencias de gasolina subieron en 2,1 millones de barriles, reportando un total de 220,9 millones de barriles; mientras los inventarios de destilados, que incluyen al diésel y al combustible para calefacción, se elevaron 2,2 millones de barriles, con un total de 113,9 millones de barriles. Finalmente, las existencias de propano se incrementaron en 3,12 millones de barriles, ubicándose en los 75,46 millones de barriles.</w:t>
      </w:r>
    </w:p>
    <w:p w14:paraId="0CEA26BE" w14:textId="77777777" w:rsidR="00186445" w:rsidRPr="00F022D9" w:rsidRDefault="00186445" w:rsidP="00186445">
      <w:pPr>
        <w:pStyle w:val="Prrafodelista"/>
        <w:ind w:left="426"/>
        <w:jc w:val="both"/>
        <w:rPr>
          <w:rFonts w:asciiTheme="minorHAnsi" w:hAnsiTheme="minorHAnsi" w:cstheme="minorHAnsi"/>
          <w:sz w:val="22"/>
          <w:szCs w:val="22"/>
        </w:rPr>
      </w:pPr>
    </w:p>
    <w:p w14:paraId="0DDD0032" w14:textId="77777777" w:rsidR="00186445" w:rsidRPr="00186445" w:rsidRDefault="00186445" w:rsidP="00186445">
      <w:pPr>
        <w:pStyle w:val="Prrafodelista"/>
        <w:numPr>
          <w:ilvl w:val="0"/>
          <w:numId w:val="13"/>
        </w:numPr>
        <w:ind w:left="426"/>
        <w:contextualSpacing/>
        <w:jc w:val="both"/>
        <w:rPr>
          <w:rFonts w:asciiTheme="minorHAnsi" w:hAnsiTheme="minorHAnsi" w:cstheme="minorHAnsi"/>
          <w:b/>
          <w:sz w:val="22"/>
          <w:szCs w:val="22"/>
        </w:rPr>
      </w:pPr>
      <w:r w:rsidRPr="00F022D9">
        <w:rPr>
          <w:rFonts w:asciiTheme="minorHAnsi" w:hAnsiTheme="minorHAnsi" w:cstheme="minorHAnsi"/>
          <w:b/>
          <w:sz w:val="22"/>
          <w:szCs w:val="22"/>
        </w:rPr>
        <w:t xml:space="preserve">La decisión de la Reserva Federal de hacer una pausa en el incremento de las tasas de interés de Estados Unidos </w:t>
      </w:r>
    </w:p>
    <w:p w14:paraId="725D4857" w14:textId="77777777" w:rsidR="00186445" w:rsidRPr="00F022D9" w:rsidRDefault="00186445" w:rsidP="00186445">
      <w:pPr>
        <w:jc w:val="both"/>
        <w:rPr>
          <w:rFonts w:asciiTheme="minorHAnsi" w:hAnsiTheme="minorHAnsi" w:cstheme="minorHAnsi"/>
          <w:b/>
          <w:bCs/>
          <w:sz w:val="22"/>
          <w:szCs w:val="22"/>
        </w:rPr>
      </w:pPr>
    </w:p>
    <w:p w14:paraId="7FAD2B10" w14:textId="183B529B"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El miércoles 14 de junio, la Reserva Federal dejó su tasa de interés clave entre un 5% y un 5</w:t>
      </w:r>
      <w:r>
        <w:rPr>
          <w:rFonts w:asciiTheme="minorHAnsi" w:hAnsiTheme="minorHAnsi" w:cstheme="minorHAnsi"/>
          <w:sz w:val="22"/>
          <w:szCs w:val="22"/>
        </w:rPr>
        <w:t>,</w:t>
      </w:r>
      <w:r w:rsidRPr="00F022D9">
        <w:rPr>
          <w:rFonts w:asciiTheme="minorHAnsi" w:hAnsiTheme="minorHAnsi" w:cstheme="minorHAnsi"/>
          <w:sz w:val="22"/>
          <w:szCs w:val="22"/>
        </w:rPr>
        <w:t>25%, haciendo una pausa en la serie de aumentos constantes que ha venido ejecutando desde enero de 2022. No obstante, señaló que podría aumentar las tasas aún más si la inflación continúa sin disminuir.</w:t>
      </w:r>
    </w:p>
    <w:p w14:paraId="3159EF96" w14:textId="77777777" w:rsidR="00186445" w:rsidRPr="00F022D9" w:rsidRDefault="00186445" w:rsidP="00186445">
      <w:pPr>
        <w:pStyle w:val="Prrafodelista"/>
        <w:ind w:left="360"/>
        <w:jc w:val="both"/>
        <w:rPr>
          <w:rFonts w:asciiTheme="minorHAnsi" w:hAnsiTheme="minorHAnsi" w:cstheme="minorHAnsi"/>
          <w:b/>
          <w:bCs/>
          <w:sz w:val="22"/>
          <w:szCs w:val="22"/>
        </w:rPr>
      </w:pPr>
    </w:p>
    <w:p w14:paraId="6249212F"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Asimismo, una minoría significativa espera al menos una subida más este año 2023, mientras la sorprendente subida de tasas en Canadá recordó a los inversores que el repunte de los tipos de interés mundiales aún no ha terminado.</w:t>
      </w:r>
    </w:p>
    <w:p w14:paraId="2A8B0428" w14:textId="77777777" w:rsidR="00186445" w:rsidRPr="00F022D9" w:rsidRDefault="00186445" w:rsidP="00382741">
      <w:pPr>
        <w:pStyle w:val="Prrafodelista"/>
        <w:numPr>
          <w:ilvl w:val="0"/>
          <w:numId w:val="13"/>
        </w:numPr>
        <w:ind w:left="426"/>
        <w:contextualSpacing/>
        <w:jc w:val="both"/>
        <w:rPr>
          <w:rFonts w:asciiTheme="minorHAnsi" w:hAnsiTheme="minorHAnsi" w:cstheme="minorHAnsi"/>
          <w:b/>
          <w:sz w:val="22"/>
          <w:szCs w:val="22"/>
        </w:rPr>
      </w:pPr>
      <w:r w:rsidRPr="00F022D9">
        <w:rPr>
          <w:rFonts w:asciiTheme="minorHAnsi" w:hAnsiTheme="minorHAnsi" w:cstheme="minorHAnsi"/>
          <w:b/>
          <w:sz w:val="22"/>
          <w:szCs w:val="22"/>
        </w:rPr>
        <w:lastRenderedPageBreak/>
        <w:t>Las preocupaciones sobre la debilidad de la demanda y la desaceleración económica mundial</w:t>
      </w:r>
    </w:p>
    <w:p w14:paraId="322B4494" w14:textId="77777777" w:rsidR="00186445" w:rsidRPr="00F022D9" w:rsidRDefault="00186445" w:rsidP="00186445">
      <w:pPr>
        <w:jc w:val="both"/>
        <w:rPr>
          <w:rFonts w:asciiTheme="minorHAnsi" w:hAnsiTheme="minorHAnsi" w:cstheme="minorHAnsi"/>
          <w:b/>
          <w:sz w:val="22"/>
          <w:szCs w:val="22"/>
        </w:rPr>
      </w:pPr>
    </w:p>
    <w:p w14:paraId="40F2B7A2"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La preocupación por el crecimiento económico mundial y el debilitamiento de la demanda, tuvieron mayor impacto en el mercado que la promesa de Arabia Saudita de profundizar sus recortes de producción. El mayor exportador mundial, manifestó que su producción se reduciría en un millón de barriles diarios (bpd) hasta los 9 millones de bpd en julio, a fin de contrarrestar los factores macroeconómicos adversos que han deprimido a los mercados.</w:t>
      </w:r>
    </w:p>
    <w:p w14:paraId="3A7BA1D6" w14:textId="77777777" w:rsidR="00186445" w:rsidRPr="00F022D9" w:rsidRDefault="00186445" w:rsidP="00186445">
      <w:pPr>
        <w:ind w:left="426"/>
        <w:jc w:val="both"/>
        <w:rPr>
          <w:rFonts w:asciiTheme="minorHAnsi" w:hAnsiTheme="minorHAnsi" w:cstheme="minorHAnsi"/>
          <w:sz w:val="22"/>
          <w:szCs w:val="22"/>
        </w:rPr>
      </w:pPr>
    </w:p>
    <w:p w14:paraId="33FC5C5E"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Las posibles recesiones en Estados Unidos y Europa y el menor crecimiento de China hacen improbable que el recorte de la producción saudí permita un aumento sostenible de los precios hasta los 80 – 90 dólares. Cabe recalcar que la producción industrial y el crecimiento de las ventas minoristas de China en mayo 2023 incumplieron las previsiones.</w:t>
      </w:r>
    </w:p>
    <w:p w14:paraId="737062E1" w14:textId="77777777" w:rsidR="00186445" w:rsidRPr="00F022D9" w:rsidRDefault="00186445" w:rsidP="00186445">
      <w:pPr>
        <w:ind w:left="426"/>
        <w:jc w:val="both"/>
        <w:rPr>
          <w:rFonts w:asciiTheme="minorHAnsi" w:hAnsiTheme="minorHAnsi" w:cstheme="minorHAnsi"/>
          <w:sz w:val="22"/>
          <w:szCs w:val="22"/>
        </w:rPr>
      </w:pPr>
    </w:p>
    <w:p w14:paraId="398E3EAF"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 xml:space="preserve">En mayo 2023, la actividad manufacturera china se contrajo más rápido de lo previsto debido al debilitamiento de la demanda, mientras el índice oficial de gestores de compras (PMI) bajó a 48,8 desde los 49,2 de abril. </w:t>
      </w:r>
    </w:p>
    <w:p w14:paraId="21079D9D" w14:textId="77777777" w:rsidR="00186445" w:rsidRPr="00F022D9" w:rsidRDefault="00186445" w:rsidP="00186445">
      <w:pPr>
        <w:ind w:left="426"/>
        <w:jc w:val="both"/>
        <w:rPr>
          <w:rFonts w:asciiTheme="minorHAnsi" w:hAnsiTheme="minorHAnsi" w:cstheme="minorHAnsi"/>
          <w:sz w:val="22"/>
          <w:szCs w:val="22"/>
        </w:rPr>
      </w:pPr>
    </w:p>
    <w:p w14:paraId="3C3641F0" w14:textId="77777777" w:rsidR="00186445" w:rsidRPr="00F022D9" w:rsidRDefault="00186445" w:rsidP="00186445">
      <w:pPr>
        <w:pStyle w:val="Prrafodelista"/>
        <w:numPr>
          <w:ilvl w:val="0"/>
          <w:numId w:val="13"/>
        </w:numPr>
        <w:ind w:left="426"/>
        <w:contextualSpacing/>
        <w:jc w:val="both"/>
        <w:rPr>
          <w:rFonts w:asciiTheme="minorHAnsi" w:hAnsiTheme="minorHAnsi" w:cstheme="minorHAnsi"/>
          <w:color w:val="333333"/>
          <w:sz w:val="22"/>
          <w:szCs w:val="22"/>
          <w:shd w:val="clear" w:color="auto" w:fill="FFFFFF"/>
        </w:rPr>
      </w:pPr>
      <w:r w:rsidRPr="00F022D9">
        <w:rPr>
          <w:rFonts w:asciiTheme="minorHAnsi" w:hAnsiTheme="minorHAnsi" w:cstheme="minorHAnsi"/>
          <w:b/>
          <w:sz w:val="22"/>
          <w:szCs w:val="22"/>
        </w:rPr>
        <w:t xml:space="preserve">El nuevo acuerdo de recortes de producción de la OPEP y la puesta en marcha de recortes voluntarios a principios de mayo </w:t>
      </w:r>
    </w:p>
    <w:p w14:paraId="088C6CFB" w14:textId="77777777" w:rsidR="00186445" w:rsidRPr="00F022D9" w:rsidRDefault="00186445" w:rsidP="00186445">
      <w:pPr>
        <w:pStyle w:val="Prrafodelista"/>
        <w:ind w:left="426"/>
        <w:jc w:val="both"/>
        <w:rPr>
          <w:rFonts w:asciiTheme="minorHAnsi" w:hAnsiTheme="minorHAnsi" w:cstheme="minorHAnsi"/>
          <w:color w:val="333333"/>
          <w:sz w:val="22"/>
          <w:szCs w:val="22"/>
          <w:shd w:val="clear" w:color="auto" w:fill="FFFFFF"/>
        </w:rPr>
      </w:pPr>
    </w:p>
    <w:p w14:paraId="0E3D9607"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La OPEP bombea alrededor del 40% del crudo mundial y ha recortado su objetivo de producción en un total de 3,66 millones de bpd, lo que equivale al 3,6% de la demanda mundial.</w:t>
      </w:r>
    </w:p>
    <w:p w14:paraId="6BB150E6" w14:textId="77777777" w:rsidR="00186445" w:rsidRPr="00F022D9" w:rsidRDefault="00186445" w:rsidP="00186445">
      <w:pPr>
        <w:ind w:left="426"/>
        <w:jc w:val="both"/>
        <w:rPr>
          <w:rFonts w:asciiTheme="minorHAnsi" w:hAnsiTheme="minorHAnsi" w:cstheme="minorHAnsi"/>
          <w:color w:val="333333"/>
          <w:sz w:val="22"/>
          <w:szCs w:val="22"/>
          <w:shd w:val="clear" w:color="auto" w:fill="FFFFFF"/>
        </w:rPr>
      </w:pPr>
    </w:p>
    <w:p w14:paraId="0C7976E7" w14:textId="77777777" w:rsidR="00186445" w:rsidRPr="00F022D9" w:rsidRDefault="00186445" w:rsidP="00186445">
      <w:pPr>
        <w:ind w:left="426"/>
        <w:jc w:val="both"/>
        <w:rPr>
          <w:rFonts w:asciiTheme="minorHAnsi" w:hAnsiTheme="minorHAnsi" w:cstheme="minorHAnsi"/>
          <w:sz w:val="22"/>
          <w:szCs w:val="22"/>
        </w:rPr>
      </w:pPr>
      <w:r w:rsidRPr="00F022D9">
        <w:rPr>
          <w:rFonts w:asciiTheme="minorHAnsi" w:hAnsiTheme="minorHAnsi" w:cstheme="minorHAnsi"/>
          <w:sz w:val="22"/>
          <w:szCs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2024.</w:t>
      </w:r>
    </w:p>
    <w:p w14:paraId="2AD32C66" w14:textId="77777777" w:rsidR="00186445" w:rsidRPr="00F022D9" w:rsidRDefault="00186445" w:rsidP="00186445">
      <w:pPr>
        <w:jc w:val="both"/>
        <w:rPr>
          <w:rFonts w:asciiTheme="minorHAnsi" w:hAnsiTheme="minorHAnsi" w:cstheme="minorHAnsi"/>
          <w:sz w:val="22"/>
          <w:szCs w:val="22"/>
        </w:rPr>
      </w:pPr>
    </w:p>
    <w:p w14:paraId="025B0C8A"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Asimismo, la OPEP puso en marcha recortes voluntarios de la producción a principios de mayo, siendo Arabia Saudita, los Emiratos Árabes Unidos, Kuwait, Irak, Argelia, Omán, Gabón y Kazajstán los que acordaron reducir más la producción a partir de dicho mes.</w:t>
      </w:r>
    </w:p>
    <w:p w14:paraId="79FCC88B" w14:textId="77777777" w:rsidR="00186445" w:rsidRPr="00F022D9" w:rsidRDefault="00186445" w:rsidP="00186445">
      <w:pPr>
        <w:pStyle w:val="Prrafodelista"/>
        <w:ind w:left="426"/>
        <w:jc w:val="both"/>
        <w:rPr>
          <w:rFonts w:asciiTheme="minorHAnsi" w:hAnsiTheme="minorHAnsi" w:cstheme="minorHAnsi"/>
          <w:sz w:val="22"/>
          <w:szCs w:val="22"/>
        </w:rPr>
      </w:pPr>
    </w:p>
    <w:p w14:paraId="71A68876"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 mil barriles diarios, superior a lo previsto anteriormente.</w:t>
      </w:r>
      <w:r>
        <w:rPr>
          <w:rFonts w:asciiTheme="minorHAnsi" w:hAnsiTheme="minorHAnsi" w:cstheme="minorHAnsi"/>
          <w:sz w:val="22"/>
          <w:szCs w:val="22"/>
        </w:rPr>
        <w:t xml:space="preserve"> </w:t>
      </w:r>
      <w:r w:rsidRPr="00F022D9">
        <w:rPr>
          <w:rFonts w:asciiTheme="minorHAnsi" w:hAnsiTheme="minorHAnsi" w:cstheme="minorHAnsi"/>
          <w:sz w:val="22"/>
          <w:szCs w:val="22"/>
        </w:rPr>
        <w:t>De acuerdo con la AIE la demanda superará a la oferta en dos millones de barriles por día en la segunda mitad del 2023. China representará el 60% del crecimiento de la demanda de petróleo en 2023.</w:t>
      </w:r>
    </w:p>
    <w:p w14:paraId="1CCE137A" w14:textId="77777777" w:rsidR="00186445" w:rsidRPr="00F022D9" w:rsidRDefault="00186445" w:rsidP="00186445">
      <w:pPr>
        <w:ind w:left="426"/>
        <w:jc w:val="both"/>
        <w:rPr>
          <w:rFonts w:asciiTheme="minorHAnsi" w:hAnsiTheme="minorHAnsi" w:cstheme="minorHAnsi"/>
          <w:sz w:val="22"/>
          <w:szCs w:val="22"/>
        </w:rPr>
      </w:pPr>
    </w:p>
    <w:p w14:paraId="28CDE57F" w14:textId="77777777" w:rsidR="00186445" w:rsidRDefault="00186445" w:rsidP="00186445">
      <w:pPr>
        <w:rPr>
          <w:rFonts w:asciiTheme="minorHAnsi" w:hAnsiTheme="minorHAnsi" w:cstheme="minorHAnsi"/>
          <w:sz w:val="22"/>
          <w:szCs w:val="22"/>
        </w:rPr>
      </w:pPr>
      <w:r>
        <w:rPr>
          <w:rFonts w:asciiTheme="minorHAnsi" w:hAnsiTheme="minorHAnsi" w:cstheme="minorHAnsi"/>
          <w:sz w:val="22"/>
          <w:szCs w:val="22"/>
        </w:rPr>
        <w:br w:type="page"/>
      </w:r>
    </w:p>
    <w:p w14:paraId="7DE9F91F" w14:textId="77777777" w:rsidR="00186445" w:rsidRPr="00F022D9" w:rsidRDefault="00186445" w:rsidP="00186445">
      <w:pPr>
        <w:pStyle w:val="Prrafodelista"/>
        <w:ind w:left="426"/>
        <w:jc w:val="both"/>
        <w:rPr>
          <w:rFonts w:asciiTheme="minorHAnsi" w:hAnsiTheme="minorHAnsi" w:cstheme="minorHAnsi"/>
          <w:sz w:val="22"/>
          <w:szCs w:val="22"/>
        </w:rPr>
      </w:pPr>
    </w:p>
    <w:p w14:paraId="14071F1D" w14:textId="77777777" w:rsidR="00186445" w:rsidRDefault="00186445" w:rsidP="00186445">
      <w:pPr>
        <w:pStyle w:val="Prrafodelista"/>
        <w:numPr>
          <w:ilvl w:val="0"/>
          <w:numId w:val="13"/>
        </w:numPr>
        <w:ind w:left="426"/>
        <w:contextualSpacing/>
        <w:jc w:val="both"/>
        <w:rPr>
          <w:rFonts w:asciiTheme="minorHAnsi" w:hAnsiTheme="minorHAnsi" w:cstheme="minorHAnsi"/>
          <w:b/>
          <w:sz w:val="22"/>
          <w:szCs w:val="22"/>
        </w:rPr>
      </w:pPr>
      <w:r w:rsidRPr="00F022D9">
        <w:rPr>
          <w:rFonts w:asciiTheme="minorHAnsi" w:hAnsiTheme="minorHAnsi" w:cstheme="minorHAnsi"/>
          <w:b/>
          <w:sz w:val="22"/>
          <w:szCs w:val="22"/>
        </w:rPr>
        <w:t>El debilitamiento de la demanda mundial de diésel que refuerza la perspectiva de una fuerte recesión, según Bloomberg.</w:t>
      </w:r>
    </w:p>
    <w:p w14:paraId="704150F5" w14:textId="77777777" w:rsidR="00186445" w:rsidRPr="00F022D9" w:rsidRDefault="00186445" w:rsidP="00186445">
      <w:pPr>
        <w:pStyle w:val="Prrafodelista"/>
        <w:ind w:left="426"/>
        <w:contextualSpacing/>
        <w:jc w:val="both"/>
        <w:rPr>
          <w:rFonts w:asciiTheme="minorHAnsi" w:hAnsiTheme="minorHAnsi" w:cstheme="minorHAnsi"/>
          <w:b/>
          <w:sz w:val="22"/>
          <w:szCs w:val="22"/>
        </w:rPr>
      </w:pPr>
    </w:p>
    <w:p w14:paraId="14CBB467"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65D48E62" w14:textId="77777777" w:rsidR="00186445" w:rsidRPr="00F022D9" w:rsidRDefault="00186445" w:rsidP="00186445">
      <w:pPr>
        <w:pStyle w:val="Prrafodelista"/>
        <w:ind w:left="426"/>
        <w:jc w:val="both"/>
        <w:rPr>
          <w:rFonts w:asciiTheme="minorHAnsi" w:hAnsiTheme="minorHAnsi" w:cstheme="minorHAnsi"/>
          <w:sz w:val="22"/>
          <w:szCs w:val="22"/>
        </w:rPr>
      </w:pPr>
    </w:p>
    <w:p w14:paraId="266743EF" w14:textId="77777777" w:rsidR="00186445" w:rsidRPr="00F022D9"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62A5E4BD" w14:textId="77777777" w:rsidR="00186445" w:rsidRPr="00F022D9" w:rsidRDefault="00186445" w:rsidP="00186445">
      <w:pPr>
        <w:pStyle w:val="Prrafodelista"/>
        <w:ind w:left="426"/>
        <w:jc w:val="both"/>
        <w:rPr>
          <w:rFonts w:asciiTheme="minorHAnsi" w:hAnsiTheme="minorHAnsi" w:cstheme="minorHAnsi"/>
          <w:sz w:val="22"/>
          <w:szCs w:val="22"/>
        </w:rPr>
      </w:pPr>
    </w:p>
    <w:p w14:paraId="0C46EB87" w14:textId="11451A5A" w:rsidR="00D9369F" w:rsidRDefault="00186445" w:rsidP="00186445">
      <w:pPr>
        <w:pStyle w:val="Prrafodelista"/>
        <w:ind w:left="426"/>
        <w:jc w:val="both"/>
        <w:rPr>
          <w:rFonts w:asciiTheme="minorHAnsi" w:hAnsiTheme="minorHAnsi" w:cstheme="minorHAnsi"/>
          <w:sz w:val="22"/>
          <w:szCs w:val="22"/>
        </w:rPr>
      </w:pPr>
      <w:r w:rsidRPr="00F022D9">
        <w:rPr>
          <w:rFonts w:asciiTheme="minorHAnsi" w:hAnsiTheme="minorHAnsi" w:cstheme="minorHAnsi"/>
          <w:sz w:val="22"/>
          <w:szCs w:val="22"/>
        </w:rPr>
        <w:t>La expectativa de S&amp;P Global, de continuar esta tendencia, es que la demanda de diésel en Estados Unidos disminuya en un 2% en 2023, lo que sería la mayor caída en el uso de diésel en el país desde 2016</w:t>
      </w:r>
      <w:r w:rsidR="00D9369F" w:rsidRPr="00055109">
        <w:rPr>
          <w:rFonts w:asciiTheme="minorHAnsi" w:hAnsiTheme="minorHAnsi" w:cstheme="minorHAnsi"/>
          <w:sz w:val="22"/>
          <w:szCs w:val="22"/>
        </w:rPr>
        <w:t>.</w:t>
      </w: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36DCBED4"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66A22069" w14:textId="77777777" w:rsidR="00186445" w:rsidRDefault="00186445" w:rsidP="00186445">
      <w:pPr>
        <w:pStyle w:val="Prrafodelista"/>
        <w:rPr>
          <w:rFonts w:asciiTheme="minorHAnsi" w:hAnsiTheme="minorHAnsi" w:cstheme="minorHAnsi"/>
          <w:sz w:val="22"/>
          <w:szCs w:val="22"/>
        </w:rPr>
      </w:pPr>
    </w:p>
    <w:p w14:paraId="24F917D0" w14:textId="68DD2B3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71D0E42" w14:textId="5FE0C327" w:rsidR="00D839DD"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27</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 el 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10B8DD56" w14:textId="77777777" w:rsidR="00D839DD" w:rsidRDefault="00D839DD" w:rsidP="00D839DD">
      <w:pPr>
        <w:pStyle w:val="Prrafodelista"/>
        <w:rPr>
          <w:rFonts w:asciiTheme="minorHAnsi" w:hAnsiTheme="minorHAnsi" w:cstheme="minorHAnsi"/>
          <w:sz w:val="22"/>
          <w:szCs w:val="22"/>
        </w:rPr>
      </w:pPr>
    </w:p>
    <w:p w14:paraId="1F0FDA2D" w14:textId="4CABA52E" w:rsidR="00D839DD" w:rsidRPr="009C0925"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31</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w:t>
      </w:r>
      <w:r>
        <w:rPr>
          <w:rFonts w:asciiTheme="minorHAnsi" w:hAnsiTheme="minorHAnsi" w:cstheme="minorHAnsi"/>
          <w:sz w:val="22"/>
          <w:szCs w:val="22"/>
        </w:rPr>
        <w:t xml:space="preserve"> </w:t>
      </w:r>
      <w:r w:rsidRPr="009C0925">
        <w:rPr>
          <w:rFonts w:asciiTheme="minorHAnsi" w:hAnsiTheme="minorHAnsi" w:cstheme="minorHAnsi"/>
          <w:sz w:val="22"/>
          <w:szCs w:val="22"/>
        </w:rPr>
        <w:t>el Gas Licuado de Petróleo destinado para envasado (GLP-E)</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4CA64F0F"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lastRenderedPageBreak/>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D839DD">
        <w:rPr>
          <w:rFonts w:asciiTheme="minorHAnsi" w:hAnsiTheme="minorHAnsi" w:cstheme="minorHAnsi"/>
          <w:sz w:val="22"/>
          <w:szCs w:val="22"/>
        </w:rPr>
        <w:t>2</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D839DD">
        <w:rPr>
          <w:rFonts w:asciiTheme="minorHAnsi" w:hAnsiTheme="minorHAnsi" w:cstheme="minorHAnsi"/>
          <w:sz w:val="22"/>
          <w:szCs w:val="22"/>
        </w:rPr>
        <w:t xml:space="preserve"> y </w:t>
      </w:r>
      <w:proofErr w:type="spellStart"/>
      <w:r w:rsidR="00D839DD" w:rsidRPr="00300844">
        <w:rPr>
          <w:rFonts w:asciiTheme="minorHAnsi" w:hAnsiTheme="minorHAnsi" w:cstheme="minorHAnsi"/>
          <w:sz w:val="22"/>
          <w:szCs w:val="22"/>
        </w:rPr>
        <w:t>N°</w:t>
      </w:r>
      <w:proofErr w:type="spellEnd"/>
      <w:r w:rsidR="00D839DD" w:rsidRPr="00300844">
        <w:rPr>
          <w:rFonts w:asciiTheme="minorHAnsi" w:hAnsiTheme="minorHAnsi" w:cstheme="minorHAnsi"/>
          <w:sz w:val="22"/>
          <w:szCs w:val="22"/>
        </w:rPr>
        <w:t xml:space="preserve"> 0</w:t>
      </w:r>
      <w:r w:rsidR="00D839DD">
        <w:rPr>
          <w:rFonts w:asciiTheme="minorHAnsi" w:hAnsiTheme="minorHAnsi" w:cstheme="minorHAnsi"/>
          <w:sz w:val="22"/>
          <w:szCs w:val="22"/>
        </w:rPr>
        <w:t>31</w:t>
      </w:r>
      <w:r w:rsidR="00D839DD" w:rsidRPr="00300844">
        <w:rPr>
          <w:rFonts w:asciiTheme="minorHAnsi" w:hAnsiTheme="minorHAnsi" w:cstheme="minorHAnsi"/>
          <w:sz w:val="22"/>
          <w:szCs w:val="22"/>
        </w:rPr>
        <w:t>-202</w:t>
      </w:r>
      <w:r w:rsidR="00D839DD">
        <w:rPr>
          <w:rFonts w:asciiTheme="minorHAnsi" w:hAnsiTheme="minorHAnsi" w:cstheme="minorHAnsi"/>
          <w:sz w:val="22"/>
          <w:szCs w:val="22"/>
        </w:rPr>
        <w:t>3</w:t>
      </w:r>
      <w:r w:rsidR="00D839DD"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186445">
        <w:rPr>
          <w:rFonts w:asciiTheme="minorHAnsi" w:hAnsiTheme="minorHAnsi" w:cstheme="minorHAnsi"/>
          <w:sz w:val="22"/>
          <w:szCs w:val="22"/>
        </w:rPr>
        <w:t>1</w:t>
      </w:r>
      <w:r w:rsidR="00D839DD">
        <w:rPr>
          <w:rFonts w:asciiTheme="minorHAnsi" w:hAnsiTheme="minorHAnsi" w:cstheme="minorHAnsi"/>
          <w:sz w:val="22"/>
          <w:szCs w:val="22"/>
        </w:rPr>
        <w:t>3</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186445">
        <w:rPr>
          <w:rFonts w:asciiTheme="minorHAnsi" w:hAnsiTheme="minorHAnsi" w:cstheme="minorHAnsi"/>
          <w:sz w:val="22"/>
          <w:szCs w:val="22"/>
        </w:rPr>
        <w:t>1</w:t>
      </w:r>
      <w:r w:rsidR="00D839DD">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186445">
        <w:rPr>
          <w:rFonts w:asciiTheme="minorHAnsi" w:hAnsiTheme="minorHAnsi" w:cstheme="minorHAnsi"/>
          <w:sz w:val="22"/>
          <w:szCs w:val="22"/>
        </w:rPr>
        <w:t>junio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567888A2"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DB2BBC">
        <w:rPr>
          <w:rFonts w:asciiTheme="minorHAnsi" w:hAnsiTheme="minorHAnsi" w:cstheme="minorHAnsi"/>
          <w:sz w:val="22"/>
          <w:szCs w:val="22"/>
        </w:rPr>
        <w:t>1</w:t>
      </w:r>
      <w:r w:rsidR="00186445">
        <w:rPr>
          <w:rFonts w:asciiTheme="minorHAnsi" w:hAnsiTheme="minorHAnsi" w:cstheme="minorHAnsi"/>
          <w:sz w:val="22"/>
          <w:szCs w:val="22"/>
        </w:rPr>
        <w:t>6</w:t>
      </w:r>
      <w:r w:rsidRPr="001B07FE">
        <w:rPr>
          <w:rFonts w:asciiTheme="minorHAnsi" w:hAnsiTheme="minorHAnsi" w:cstheme="minorHAnsi"/>
          <w:sz w:val="22"/>
          <w:szCs w:val="22"/>
        </w:rPr>
        <w:t>.0</w:t>
      </w:r>
      <w:r w:rsidR="00DB2BBC">
        <w:rPr>
          <w:rFonts w:asciiTheme="minorHAnsi" w:hAnsiTheme="minorHAnsi" w:cstheme="minorHAnsi"/>
          <w:sz w:val="22"/>
          <w:szCs w:val="22"/>
        </w:rPr>
        <w:t>6</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publicó su lista de precios de venta de combustibles. Se registr</w:t>
      </w:r>
      <w:r w:rsidR="00DB2BBC">
        <w:rPr>
          <w:rFonts w:asciiTheme="minorHAnsi" w:hAnsiTheme="minorHAnsi" w:cstheme="minorHAnsi"/>
          <w:sz w:val="22"/>
          <w:szCs w:val="22"/>
        </w:rPr>
        <w:t>ó</w:t>
      </w:r>
      <w:r w:rsidR="00DB2BBC" w:rsidRPr="00232A32">
        <w:rPr>
          <w:rFonts w:asciiTheme="minorHAnsi" w:hAnsiTheme="minorHAnsi" w:cstheme="minorHAnsi"/>
          <w:sz w:val="22"/>
          <w:szCs w:val="22"/>
        </w:rPr>
        <w:t xml:space="preserve"> </w:t>
      </w:r>
      <w:r w:rsidR="00DB2BBC">
        <w:rPr>
          <w:rFonts w:asciiTheme="minorHAnsi" w:hAnsiTheme="minorHAnsi" w:cstheme="minorHAnsi"/>
          <w:sz w:val="22"/>
          <w:szCs w:val="22"/>
        </w:rPr>
        <w:t>variaciones en los precios de la gasolina</w:t>
      </w:r>
      <w:r w:rsidR="00186445">
        <w:rPr>
          <w:rFonts w:asciiTheme="minorHAnsi" w:hAnsiTheme="minorHAnsi" w:cstheme="minorHAnsi"/>
          <w:sz w:val="22"/>
          <w:szCs w:val="22"/>
        </w:rPr>
        <w:t xml:space="preserve"> de </w:t>
      </w:r>
      <w:r w:rsidR="00DB2BBC">
        <w:rPr>
          <w:rFonts w:asciiTheme="minorHAnsi" w:hAnsiTheme="minorHAnsi" w:cstheme="minorHAnsi"/>
          <w:sz w:val="22"/>
          <w:szCs w:val="22"/>
        </w:rPr>
        <w:t>84</w:t>
      </w:r>
      <w:r w:rsidR="00186445">
        <w:rPr>
          <w:rFonts w:asciiTheme="minorHAnsi" w:hAnsiTheme="minorHAnsi" w:cstheme="minorHAnsi"/>
          <w:sz w:val="22"/>
          <w:szCs w:val="22"/>
        </w:rPr>
        <w:t xml:space="preserve"> octanos </w:t>
      </w:r>
      <w:r w:rsidR="00DB2BBC">
        <w:rPr>
          <w:rFonts w:asciiTheme="minorHAnsi" w:hAnsiTheme="minorHAnsi" w:cstheme="minorHAnsi"/>
          <w:sz w:val="22"/>
          <w:szCs w:val="22"/>
        </w:rPr>
        <w:t>(-0,</w:t>
      </w:r>
      <w:r w:rsidR="00186445">
        <w:rPr>
          <w:rFonts w:asciiTheme="minorHAnsi" w:hAnsiTheme="minorHAnsi" w:cstheme="minorHAnsi"/>
          <w:sz w:val="22"/>
          <w:szCs w:val="22"/>
        </w:rPr>
        <w:t>03</w:t>
      </w:r>
      <w:r w:rsidR="00DB2BBC">
        <w:rPr>
          <w:rFonts w:asciiTheme="minorHAnsi" w:hAnsiTheme="minorHAnsi" w:cstheme="minorHAnsi"/>
          <w:sz w:val="22"/>
          <w:szCs w:val="22"/>
        </w:rPr>
        <w:t xml:space="preserve">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xml:space="preserve">) octanos, así como en los </w:t>
      </w:r>
      <w:proofErr w:type="spellStart"/>
      <w:r w:rsidR="00DB2BBC">
        <w:rPr>
          <w:rFonts w:asciiTheme="minorHAnsi" w:hAnsiTheme="minorHAnsi" w:cstheme="minorHAnsi"/>
          <w:sz w:val="22"/>
          <w:szCs w:val="22"/>
        </w:rPr>
        <w:t>gasohol</w:t>
      </w:r>
      <w:proofErr w:type="spellEnd"/>
      <w:r w:rsidR="00DB2BBC">
        <w:rPr>
          <w:rFonts w:asciiTheme="minorHAnsi" w:hAnsiTheme="minorHAnsi" w:cstheme="minorHAnsi"/>
          <w:sz w:val="22"/>
          <w:szCs w:val="22"/>
        </w:rPr>
        <w:t xml:space="preserve"> </w:t>
      </w:r>
      <w:r w:rsidR="007212D5">
        <w:rPr>
          <w:rFonts w:asciiTheme="minorHAnsi" w:hAnsiTheme="minorHAnsi" w:cstheme="minorHAnsi"/>
          <w:sz w:val="22"/>
          <w:szCs w:val="22"/>
        </w:rPr>
        <w:t>r</w:t>
      </w:r>
      <w:r w:rsidR="00DB2BBC">
        <w:rPr>
          <w:rFonts w:asciiTheme="minorHAnsi" w:hAnsiTheme="minorHAnsi" w:cstheme="minorHAnsi"/>
          <w:sz w:val="22"/>
          <w:szCs w:val="22"/>
        </w:rPr>
        <w:t>egular (-0,</w:t>
      </w:r>
      <w:r w:rsidR="007212D5">
        <w:rPr>
          <w:rFonts w:asciiTheme="minorHAnsi" w:hAnsiTheme="minorHAnsi" w:cstheme="minorHAnsi"/>
          <w:sz w:val="22"/>
          <w:szCs w:val="22"/>
        </w:rPr>
        <w:t>0</w:t>
      </w:r>
      <w:r w:rsidR="00DB2BBC">
        <w:rPr>
          <w:rFonts w:asciiTheme="minorHAnsi" w:hAnsiTheme="minorHAnsi" w:cstheme="minorHAnsi"/>
          <w:sz w:val="22"/>
          <w:szCs w:val="22"/>
        </w:rPr>
        <w:t>1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y de 84 (-0,</w:t>
      </w:r>
      <w:r w:rsidR="007212D5">
        <w:rPr>
          <w:rFonts w:asciiTheme="minorHAnsi" w:hAnsiTheme="minorHAnsi" w:cstheme="minorHAnsi"/>
          <w:sz w:val="22"/>
          <w:szCs w:val="22"/>
        </w:rPr>
        <w:t>03</w:t>
      </w:r>
      <w:r w:rsidR="00DB2BBC">
        <w:rPr>
          <w:rFonts w:asciiTheme="minorHAnsi" w:hAnsiTheme="minorHAnsi" w:cstheme="minorHAnsi"/>
          <w:sz w:val="22"/>
          <w:szCs w:val="22"/>
        </w:rPr>
        <w:t xml:space="preserve">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octanos</w:t>
      </w:r>
      <w:r w:rsidR="007212D5">
        <w:rPr>
          <w:rFonts w:asciiTheme="minorHAnsi" w:hAnsiTheme="minorHAnsi" w:cstheme="minorHAnsi"/>
          <w:sz w:val="22"/>
          <w:szCs w:val="22"/>
        </w:rPr>
        <w:t xml:space="preserve">, </w:t>
      </w:r>
      <w:r w:rsidR="007212D5">
        <w:rPr>
          <w:rFonts w:asciiTheme="minorHAnsi" w:hAnsiTheme="minorHAnsi" w:cstheme="minorHAnsi"/>
          <w:sz w:val="22"/>
          <w:szCs w:val="22"/>
        </w:rPr>
        <w:t>así como en el Diesel B5 (+0</w:t>
      </w:r>
      <w:r w:rsidR="007212D5">
        <w:rPr>
          <w:rFonts w:asciiTheme="minorHAnsi" w:hAnsiTheme="minorHAnsi" w:cstheme="minorHAnsi"/>
          <w:sz w:val="22"/>
          <w:szCs w:val="22"/>
        </w:rPr>
        <w:t>,</w:t>
      </w:r>
      <w:r w:rsidR="007212D5">
        <w:rPr>
          <w:rFonts w:asciiTheme="minorHAnsi" w:hAnsiTheme="minorHAnsi" w:cstheme="minorHAnsi"/>
          <w:sz w:val="22"/>
          <w:szCs w:val="22"/>
        </w:rPr>
        <w:t>01 S/</w:t>
      </w:r>
      <w:proofErr w:type="spellStart"/>
      <w:r w:rsidR="007212D5">
        <w:rPr>
          <w:rFonts w:asciiTheme="minorHAnsi" w:hAnsiTheme="minorHAnsi" w:cstheme="minorHAnsi"/>
          <w:sz w:val="22"/>
          <w:szCs w:val="22"/>
        </w:rPr>
        <w:t>Gln</w:t>
      </w:r>
      <w:proofErr w:type="spellEnd"/>
      <w:r w:rsidR="007212D5">
        <w:rPr>
          <w:rFonts w:asciiTheme="minorHAnsi" w:hAnsiTheme="minorHAnsi" w:cstheme="minorHAnsi"/>
          <w:sz w:val="22"/>
          <w:szCs w:val="22"/>
        </w:rPr>
        <w:t>)</w:t>
      </w:r>
      <w:r w:rsidR="002C2B50">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23B24467" w14:textId="08F6DDDE" w:rsidR="00590B34" w:rsidRDefault="00590B34"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7777777" w:rsidR="007212D5" w:rsidRDefault="007212D5" w:rsidP="00E53D92">
      <w:pPr>
        <w:jc w:val="both"/>
        <w:rPr>
          <w:rFonts w:asciiTheme="minorHAnsi" w:hAnsiTheme="minorHAnsi" w:cstheme="minorHAnsi"/>
          <w:sz w:val="22"/>
          <w:szCs w:val="22"/>
        </w:rPr>
      </w:pP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lastRenderedPageBreak/>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795D2E1D"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212D5">
        <w:rPr>
          <w:rFonts w:asciiTheme="minorHAnsi" w:hAnsiTheme="minorHAnsi" w:cstheme="minorHAnsi"/>
          <w:sz w:val="22"/>
          <w:szCs w:val="22"/>
        </w:rPr>
        <w:t>05</w:t>
      </w:r>
      <w:r>
        <w:rPr>
          <w:rFonts w:asciiTheme="minorHAnsi" w:hAnsiTheme="minorHAnsi" w:cstheme="minorHAnsi"/>
          <w:sz w:val="22"/>
          <w:szCs w:val="22"/>
        </w:rPr>
        <w:t>/0</w:t>
      </w:r>
      <w:r w:rsidR="007212D5">
        <w:rPr>
          <w:rFonts w:asciiTheme="minorHAnsi" w:hAnsiTheme="minorHAnsi" w:cstheme="minorHAnsi"/>
          <w:sz w:val="22"/>
          <w:szCs w:val="22"/>
        </w:rPr>
        <w:t>6</w:t>
      </w:r>
      <w:r>
        <w:rPr>
          <w:rFonts w:asciiTheme="minorHAnsi" w:hAnsiTheme="minorHAnsi" w:cstheme="minorHAnsi"/>
          <w:sz w:val="22"/>
          <w:szCs w:val="22"/>
        </w:rPr>
        <w:t xml:space="preserve">/2023 y el </w:t>
      </w:r>
      <w:r w:rsidR="007212D5">
        <w:rPr>
          <w:rFonts w:asciiTheme="minorHAnsi" w:hAnsiTheme="minorHAnsi" w:cstheme="minorHAnsi"/>
          <w:sz w:val="22"/>
          <w:szCs w:val="22"/>
        </w:rPr>
        <w:t>1</w:t>
      </w:r>
      <w:r w:rsidR="008B67CC">
        <w:rPr>
          <w:rFonts w:asciiTheme="minorHAnsi" w:hAnsiTheme="minorHAnsi" w:cstheme="minorHAnsi"/>
          <w:sz w:val="22"/>
          <w:szCs w:val="22"/>
        </w:rPr>
        <w:t>9</w:t>
      </w:r>
      <w:r>
        <w:rPr>
          <w:rFonts w:asciiTheme="minorHAnsi" w:hAnsiTheme="minorHAnsi" w:cstheme="minorHAnsi"/>
          <w:sz w:val="22"/>
          <w:szCs w:val="22"/>
        </w:rPr>
        <w:t>/0</w:t>
      </w:r>
      <w:r w:rsidR="00DB2BBC">
        <w:rPr>
          <w:rFonts w:asciiTheme="minorHAnsi" w:hAnsiTheme="minorHAnsi" w:cstheme="minorHAnsi"/>
          <w:sz w:val="22"/>
          <w:szCs w:val="22"/>
        </w:rPr>
        <w:t>6</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03519FA9"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8B67CC">
        <w:rPr>
          <w:rFonts w:ascii="Calibri" w:hAnsi="Calibri" w:cs="Arial"/>
          <w:b/>
          <w:bCs/>
          <w:i/>
          <w:sz w:val="22"/>
          <w:szCs w:val="22"/>
          <w:lang w:eastAsia="es-PE"/>
        </w:rPr>
        <w:t>1</w:t>
      </w:r>
      <w:r w:rsidR="007212D5">
        <w:rPr>
          <w:rFonts w:ascii="Calibri" w:hAnsi="Calibri" w:cs="Arial"/>
          <w:b/>
          <w:bCs/>
          <w:i/>
          <w:sz w:val="22"/>
          <w:szCs w:val="22"/>
          <w:lang w:eastAsia="es-PE"/>
        </w:rPr>
        <w:t>9</w:t>
      </w:r>
      <w:r>
        <w:rPr>
          <w:rFonts w:ascii="Calibri" w:hAnsi="Calibri" w:cs="Arial"/>
          <w:b/>
          <w:bCs/>
          <w:i/>
          <w:sz w:val="22"/>
          <w:szCs w:val="22"/>
          <w:lang w:eastAsia="es-PE"/>
        </w:rPr>
        <w:t>-0</w:t>
      </w:r>
      <w:r w:rsidR="00DB2BBC">
        <w:rPr>
          <w:rFonts w:ascii="Calibri" w:hAnsi="Calibri" w:cs="Arial"/>
          <w:b/>
          <w:bCs/>
          <w:i/>
          <w:sz w:val="22"/>
          <w:szCs w:val="22"/>
          <w:lang w:eastAsia="es-PE"/>
        </w:rPr>
        <w:t>6</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5FB4B15" w:rsidR="00A86191" w:rsidRPr="00CC2A8A" w:rsidRDefault="008B67CC" w:rsidP="00A86191">
      <w:pPr>
        <w:pBdr>
          <w:top w:val="single" w:sz="4" w:space="1" w:color="auto"/>
          <w:bottom w:val="single" w:sz="4" w:space="1" w:color="auto"/>
        </w:pBdr>
        <w:rPr>
          <w:rFonts w:ascii="Calibri" w:hAnsi="Calibri" w:cs="Arial"/>
          <w:bCs/>
          <w:sz w:val="32"/>
          <w:szCs w:val="32"/>
        </w:rPr>
      </w:pPr>
      <w:r w:rsidRPr="0027595B">
        <w:rPr>
          <w:noProof/>
        </w:rPr>
        <w:drawing>
          <wp:inline distT="0" distB="0" distL="0" distR="0" wp14:anchorId="347C327B" wp14:editId="6619691F">
            <wp:extent cx="5490845" cy="2922905"/>
            <wp:effectExtent l="0" t="0" r="0" b="0"/>
            <wp:docPr id="1420161401" name="Picture 1" descr="A picture containing text, screenshot,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161401" name="Picture 1" descr="A picture containing text, screenshot, parallel, line&#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05264492"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8B67CC">
        <w:rPr>
          <w:rFonts w:asciiTheme="minorHAnsi" w:hAnsiTheme="minorHAnsi" w:cstheme="minorHAnsi"/>
          <w:sz w:val="22"/>
          <w:szCs w:val="22"/>
        </w:rPr>
        <w:t>0</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7212D5">
        <w:rPr>
          <w:rFonts w:asciiTheme="minorHAnsi" w:hAnsiTheme="minorHAnsi" w:cstheme="minorHAnsi"/>
          <w:sz w:val="22"/>
          <w:szCs w:val="22"/>
        </w:rPr>
        <w:t>9</w:t>
      </w:r>
      <w:r>
        <w:rPr>
          <w:rFonts w:asciiTheme="minorHAnsi" w:hAnsiTheme="minorHAnsi" w:cstheme="minorHAnsi"/>
          <w:sz w:val="22"/>
          <w:szCs w:val="22"/>
        </w:rPr>
        <w:t xml:space="preserve">% del precio de referencia de los biocombustibles, </w:t>
      </w:r>
      <w:r w:rsidR="00DB2BBC">
        <w:rPr>
          <w:rFonts w:asciiTheme="minorHAnsi" w:hAnsiTheme="minorHAnsi" w:cstheme="minorHAnsi"/>
          <w:sz w:val="22"/>
          <w:szCs w:val="22"/>
        </w:rPr>
        <w:t>81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w:t>
      </w:r>
      <w:r>
        <w:rPr>
          <w:rFonts w:asciiTheme="minorHAnsi" w:hAnsiTheme="minorHAnsi" w:cstheme="minorHAnsi"/>
          <w:sz w:val="22"/>
          <w:szCs w:val="22"/>
        </w:rPr>
        <w:lastRenderedPageBreak/>
        <w:t xml:space="preserve">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7212D5">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1D837D2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8B67CC">
        <w:rPr>
          <w:rFonts w:asciiTheme="minorHAnsi" w:hAnsiTheme="minorHAnsi" w:cstheme="minorHAnsi"/>
          <w:sz w:val="22"/>
          <w:szCs w:val="22"/>
        </w:rPr>
        <w:t>1</w:t>
      </w:r>
      <w:r w:rsidR="007212D5">
        <w:rPr>
          <w:rFonts w:asciiTheme="minorHAnsi" w:hAnsiTheme="minorHAnsi" w:cstheme="minorHAnsi"/>
          <w:sz w:val="22"/>
          <w:szCs w:val="22"/>
        </w:rPr>
        <w:t>9</w:t>
      </w:r>
      <w:r>
        <w:rPr>
          <w:rFonts w:asciiTheme="minorHAnsi" w:hAnsiTheme="minorHAnsi" w:cstheme="minorHAnsi"/>
          <w:sz w:val="22"/>
          <w:szCs w:val="22"/>
        </w:rPr>
        <w:t xml:space="preserve"> de </w:t>
      </w:r>
      <w:r w:rsidR="00DB2BBC">
        <w:rPr>
          <w:rFonts w:asciiTheme="minorHAnsi" w:hAnsiTheme="minorHAnsi" w:cstheme="minorHAnsi"/>
          <w:sz w:val="22"/>
          <w:szCs w:val="22"/>
        </w:rPr>
        <w:t>junio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064CC6CA"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22DA">
        <w:rPr>
          <w:rFonts w:asciiTheme="minorHAnsi" w:hAnsiTheme="minorHAnsi" w:cstheme="minorHAnsi"/>
          <w:sz w:val="22"/>
          <w:szCs w:val="22"/>
        </w:rPr>
        <w:t>4</w:t>
      </w:r>
      <w:r w:rsidR="001F2602">
        <w:rPr>
          <w:rFonts w:asciiTheme="minorHAnsi" w:hAnsiTheme="minorHAnsi" w:cstheme="minorHAnsi"/>
          <w:sz w:val="22"/>
          <w:szCs w:val="22"/>
        </w:rPr>
        <w:t>,</w:t>
      </w:r>
      <w:r w:rsidR="001222DA">
        <w:rPr>
          <w:rFonts w:asciiTheme="minorHAnsi" w:hAnsiTheme="minorHAnsi" w:cstheme="minorHAnsi"/>
          <w:sz w:val="22"/>
          <w:szCs w:val="22"/>
        </w:rPr>
        <w:t>94</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37F834C2"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7212D5">
        <w:rPr>
          <w:rFonts w:asciiTheme="minorHAnsi" w:hAnsiTheme="minorHAnsi" w:cstheme="minorHAnsi"/>
          <w:sz w:val="22"/>
          <w:szCs w:val="22"/>
          <w:lang w:val="en-US"/>
        </w:rPr>
        <w:t>4</w:t>
      </w:r>
      <w:r>
        <w:rPr>
          <w:rFonts w:asciiTheme="minorHAnsi" w:hAnsiTheme="minorHAnsi" w:cstheme="minorHAnsi"/>
          <w:sz w:val="22"/>
          <w:szCs w:val="22"/>
          <w:lang w:val="en-US"/>
        </w:rPr>
        <w:t>,</w:t>
      </w:r>
      <w:r w:rsidR="007212D5">
        <w:rPr>
          <w:rFonts w:asciiTheme="minorHAnsi" w:hAnsiTheme="minorHAnsi" w:cstheme="minorHAnsi"/>
          <w:sz w:val="22"/>
          <w:szCs w:val="22"/>
          <w:lang w:val="en-US"/>
        </w:rPr>
        <w:t>94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7212D5">
        <w:rPr>
          <w:rFonts w:asciiTheme="minorHAnsi" w:hAnsiTheme="minorHAnsi" w:cstheme="minorHAnsi"/>
          <w:sz w:val="22"/>
          <w:szCs w:val="22"/>
          <w:lang w:val="en-US"/>
        </w:rPr>
        <w:t>53</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035181B8"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7212D5">
        <w:rPr>
          <w:rFonts w:asciiTheme="minorHAnsi" w:hAnsiTheme="minorHAnsi" w:cstheme="minorHAnsi"/>
          <w:sz w:val="22"/>
          <w:szCs w:val="22"/>
          <w:lang w:val="en-US"/>
        </w:rPr>
        <w:t>48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33B0A75F"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8B67CC">
        <w:rPr>
          <w:rFonts w:asciiTheme="minorHAnsi" w:hAnsiTheme="minorHAnsi" w:cstheme="minorHAnsi"/>
          <w:sz w:val="22"/>
          <w:szCs w:val="22"/>
        </w:rPr>
        <w:t>3</w:t>
      </w:r>
      <w:r w:rsidR="001222DA">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0CCF3BAF"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1222DA">
        <w:rPr>
          <w:rFonts w:asciiTheme="minorHAnsi" w:hAnsiTheme="minorHAnsi" w:cstheme="minorHAnsi"/>
          <w:sz w:val="22"/>
          <w:szCs w:val="22"/>
        </w:rPr>
        <w:t>1</w:t>
      </w:r>
      <w:r w:rsidR="00513E2B">
        <w:rPr>
          <w:rFonts w:asciiTheme="minorHAnsi" w:hAnsiTheme="minorHAnsi" w:cstheme="minorHAnsi"/>
          <w:sz w:val="22"/>
          <w:szCs w:val="22"/>
        </w:rPr>
        <w:t>,</w:t>
      </w:r>
      <w:r w:rsidR="001222DA">
        <w:rPr>
          <w:rFonts w:asciiTheme="minorHAnsi" w:hAnsiTheme="minorHAnsi" w:cstheme="minorHAnsi"/>
          <w:sz w:val="22"/>
          <w:szCs w:val="22"/>
        </w:rPr>
        <w:t>01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w:t>
      </w:r>
      <w:r w:rsidR="001222DA">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1C42FD7A"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222DA">
        <w:rPr>
          <w:rFonts w:asciiTheme="minorHAnsi" w:hAnsiTheme="minorHAnsi" w:cstheme="minorHAnsi"/>
          <w:sz w:val="22"/>
          <w:szCs w:val="22"/>
        </w:rPr>
        <w:t>2</w:t>
      </w:r>
      <w:r>
        <w:rPr>
          <w:rFonts w:asciiTheme="minorHAnsi" w:hAnsiTheme="minorHAnsi" w:cstheme="minorHAnsi"/>
          <w:sz w:val="22"/>
          <w:szCs w:val="22"/>
        </w:rPr>
        <w:t>,</w:t>
      </w:r>
      <w:r w:rsidR="00DB2BBC">
        <w:rPr>
          <w:rFonts w:asciiTheme="minorHAnsi" w:hAnsiTheme="minorHAnsi" w:cstheme="minorHAnsi"/>
          <w:sz w:val="22"/>
          <w:szCs w:val="22"/>
        </w:rPr>
        <w:t>0</w:t>
      </w:r>
      <w:r w:rsidR="001222DA">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1222DA">
        <w:rPr>
          <w:rFonts w:asciiTheme="minorHAnsi" w:hAnsiTheme="minorHAnsi" w:cstheme="minorHAnsi"/>
          <w:sz w:val="22"/>
          <w:szCs w:val="22"/>
        </w:rPr>
        <w:t>0</w:t>
      </w:r>
      <w:r w:rsidR="00513E2B">
        <w:rPr>
          <w:rFonts w:asciiTheme="minorHAnsi" w:hAnsiTheme="minorHAnsi" w:cstheme="minorHAnsi"/>
          <w:sz w:val="22"/>
          <w:szCs w:val="22"/>
        </w:rPr>
        <w:t>,</w:t>
      </w:r>
      <w:r w:rsidR="001222DA">
        <w:rPr>
          <w:rFonts w:asciiTheme="minorHAnsi" w:hAnsiTheme="minorHAnsi" w:cstheme="minorHAnsi"/>
          <w:sz w:val="22"/>
          <w:szCs w:val="22"/>
        </w:rPr>
        <w:t>8</w:t>
      </w:r>
      <w:r w:rsidR="00A930E0">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7A7A10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8B67CC">
        <w:rPr>
          <w:rFonts w:asciiTheme="minorHAnsi" w:hAnsiTheme="minorHAnsi" w:cstheme="minorHAnsi"/>
          <w:sz w:val="22"/>
          <w:szCs w:val="22"/>
        </w:rPr>
        <w:t>3</w:t>
      </w:r>
      <w:r w:rsidR="001222DA">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336D735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1222DA">
        <w:rPr>
          <w:rFonts w:asciiTheme="minorHAnsi" w:hAnsiTheme="minorHAnsi" w:cstheme="minorHAnsi"/>
          <w:sz w:val="22"/>
          <w:szCs w:val="22"/>
        </w:rPr>
        <w:t>69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18A3C191" w:rsidR="00765078" w:rsidRDefault="0054084A" w:rsidP="004F74EE">
      <w:pPr>
        <w:pBdr>
          <w:top w:val="single" w:sz="4" w:space="1" w:color="auto"/>
          <w:bottom w:val="single" w:sz="4" w:space="1" w:color="auto"/>
        </w:pBdr>
        <w:jc w:val="center"/>
        <w:rPr>
          <w:rFonts w:ascii="Calibri" w:hAnsi="Calibri" w:cs="Calibri"/>
          <w:sz w:val="22"/>
          <w:szCs w:val="22"/>
          <w:lang w:val="es-PE" w:eastAsia="en-US"/>
        </w:rPr>
      </w:pPr>
      <w:r w:rsidRPr="0054084A">
        <w:drawing>
          <wp:inline distT="0" distB="0" distL="0" distR="0" wp14:anchorId="31709076" wp14:editId="43430DDE">
            <wp:extent cx="8173085" cy="30003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03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264416EE" w:rsidR="00F85D23" w:rsidRDefault="00382741" w:rsidP="00FB4E04">
            <w:pPr>
              <w:ind w:left="-618" w:right="-654"/>
              <w:jc w:val="center"/>
              <w:rPr>
                <w:rFonts w:asciiTheme="minorHAnsi" w:hAnsiTheme="minorHAnsi" w:cstheme="minorHAnsi"/>
              </w:rPr>
            </w:pPr>
            <w:r w:rsidRPr="00382741">
              <w:rPr>
                <w:rFonts w:asciiTheme="minorHAnsi" w:hAnsiTheme="minorHAnsi" w:cstheme="minorHAnsi"/>
                <w:noProof/>
              </w:rPr>
              <w:drawing>
                <wp:inline distT="0" distB="0" distL="0" distR="0" wp14:anchorId="13D9613F" wp14:editId="2019D170">
                  <wp:extent cx="3566935" cy="29001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1833" cy="2904133"/>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140E2E5F" w:rsidR="00EF3BE9" w:rsidRPr="00CE793E" w:rsidRDefault="000F4D7C"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13476745" wp14:editId="7536A03B">
                  <wp:extent cx="5310972" cy="2312670"/>
                  <wp:effectExtent l="0" t="0" r="444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65376" cy="2336360"/>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43E5E97C" w:rsidR="006C63F4" w:rsidRPr="00737F8F" w:rsidRDefault="000F4D7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F4D7C">
        <w:drawing>
          <wp:inline distT="0" distB="0" distL="0" distR="0" wp14:anchorId="1E8E0E3E" wp14:editId="78EB17A8">
            <wp:extent cx="5643350" cy="215709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7148" cy="2158547"/>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7AEB36B3" w:rsidR="005C4A97" w:rsidRDefault="0054084A" w:rsidP="00604758">
      <w:pPr>
        <w:spacing w:line="0" w:lineRule="atLeast"/>
        <w:ind w:right="-567"/>
        <w:jc w:val="both"/>
        <w:rPr>
          <w:rFonts w:asciiTheme="minorHAnsi" w:hAnsiTheme="minorHAnsi" w:cstheme="minorHAnsi"/>
          <w:i/>
          <w:sz w:val="18"/>
          <w:szCs w:val="18"/>
        </w:rPr>
      </w:pPr>
      <w:r w:rsidRPr="0054084A">
        <w:drawing>
          <wp:inline distT="0" distB="0" distL="0" distR="0" wp14:anchorId="4C37730B" wp14:editId="1F3D2E07">
            <wp:extent cx="5850255" cy="240882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8222" cy="2412109"/>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17356341" w:rsidR="00127A54" w:rsidRDefault="0054084A" w:rsidP="006220EA">
      <w:pPr>
        <w:rPr>
          <w:rFonts w:asciiTheme="minorHAnsi" w:hAnsiTheme="minorHAnsi" w:cstheme="minorHAnsi"/>
          <w:i/>
          <w:sz w:val="18"/>
          <w:szCs w:val="18"/>
        </w:rPr>
      </w:pPr>
      <w:r w:rsidRPr="0054084A">
        <w:drawing>
          <wp:inline distT="0" distB="0" distL="0" distR="0" wp14:anchorId="061470CB" wp14:editId="30EBC0AE">
            <wp:extent cx="5850255" cy="7581332"/>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920" cy="7583490"/>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331B42E" w:rsidR="005048C1" w:rsidRPr="00C2751F" w:rsidRDefault="0054084A" w:rsidP="005048C1">
      <w:pPr>
        <w:spacing w:line="0" w:lineRule="atLeast"/>
        <w:ind w:right="-567"/>
        <w:jc w:val="both"/>
        <w:rPr>
          <w:noProof/>
          <w:lang w:val="es-PE" w:eastAsia="es-PE"/>
        </w:rPr>
      </w:pPr>
      <w:r w:rsidRPr="0054084A">
        <w:drawing>
          <wp:inline distT="0" distB="0" distL="0" distR="0" wp14:anchorId="190AE061" wp14:editId="4040F4FC">
            <wp:extent cx="5850255" cy="6086901"/>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1996" cy="6088712"/>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108B8354" w14:textId="77777777" w:rsidR="0054084A" w:rsidRDefault="0054084A" w:rsidP="0054084A">
      <w:pPr>
        <w:jc w:val="center"/>
        <w:rPr>
          <w:rFonts w:asciiTheme="minorHAnsi" w:hAnsiTheme="minorHAnsi" w:cstheme="minorHAnsi"/>
          <w:sz w:val="22"/>
          <w:szCs w:val="22"/>
        </w:rPr>
      </w:pPr>
      <w:r>
        <w:rPr>
          <w:noProof/>
        </w:rPr>
        <w:drawing>
          <wp:inline distT="0" distB="0" distL="0" distR="0" wp14:anchorId="70324576" wp14:editId="57CC1156">
            <wp:extent cx="4657799" cy="2874276"/>
            <wp:effectExtent l="19050" t="19050" r="9525" b="21590"/>
            <wp:docPr id="1775554879"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6889" cy="2886056"/>
                    </a:xfrm>
                    <a:prstGeom prst="rect">
                      <a:avLst/>
                    </a:prstGeom>
                    <a:noFill/>
                    <a:ln>
                      <a:solidFill>
                        <a:schemeClr val="accent1"/>
                      </a:solidFill>
                    </a:ln>
                  </pic:spPr>
                </pic:pic>
              </a:graphicData>
            </a:graphic>
          </wp:inline>
        </w:drawing>
      </w:r>
    </w:p>
    <w:p w14:paraId="5339F2AC" w14:textId="0966EE2B" w:rsidR="0054084A" w:rsidRDefault="0054084A" w:rsidP="0054084A">
      <w:pPr>
        <w:jc w:val="center"/>
        <w:rPr>
          <w:rFonts w:asciiTheme="minorHAnsi" w:hAnsiTheme="minorHAnsi" w:cstheme="minorHAnsi"/>
          <w:sz w:val="22"/>
          <w:szCs w:val="22"/>
        </w:rPr>
      </w:pPr>
    </w:p>
    <w:p w14:paraId="4CCBADFA" w14:textId="77777777" w:rsidR="0054084A" w:rsidRDefault="0054084A" w:rsidP="0054084A">
      <w:pPr>
        <w:jc w:val="center"/>
        <w:rPr>
          <w:rFonts w:asciiTheme="minorHAnsi" w:hAnsiTheme="minorHAnsi" w:cstheme="minorHAnsi"/>
          <w:sz w:val="22"/>
          <w:szCs w:val="22"/>
        </w:rPr>
      </w:pPr>
    </w:p>
    <w:p w14:paraId="711FA36C" w14:textId="77777777" w:rsidR="0054084A" w:rsidRDefault="0054084A" w:rsidP="0054084A">
      <w:pPr>
        <w:jc w:val="center"/>
        <w:rPr>
          <w:rFonts w:asciiTheme="minorHAnsi" w:hAnsiTheme="minorHAnsi" w:cstheme="minorHAnsi"/>
          <w:sz w:val="22"/>
          <w:szCs w:val="22"/>
        </w:rPr>
      </w:pPr>
      <w:r>
        <w:rPr>
          <w:noProof/>
        </w:rPr>
        <w:drawing>
          <wp:inline distT="0" distB="0" distL="0" distR="0" wp14:anchorId="3389B96C" wp14:editId="7584F990">
            <wp:extent cx="4641661" cy="2846705"/>
            <wp:effectExtent l="19050" t="19050" r="26035" b="10795"/>
            <wp:docPr id="1501242230"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2127" cy="2865390"/>
                    </a:xfrm>
                    <a:prstGeom prst="rect">
                      <a:avLst/>
                    </a:prstGeom>
                    <a:noFill/>
                    <a:ln>
                      <a:solidFill>
                        <a:schemeClr val="accent1"/>
                      </a:solidFill>
                    </a:ln>
                  </pic:spPr>
                </pic:pic>
              </a:graphicData>
            </a:graphic>
          </wp:inline>
        </w:drawing>
      </w:r>
    </w:p>
    <w:p w14:paraId="65CD587F" w14:textId="77777777" w:rsidR="0054084A" w:rsidRDefault="0054084A" w:rsidP="0054084A">
      <w:pPr>
        <w:jc w:val="center"/>
        <w:rPr>
          <w:rFonts w:asciiTheme="minorHAnsi" w:hAnsiTheme="minorHAnsi" w:cstheme="minorHAnsi"/>
          <w:sz w:val="22"/>
          <w:szCs w:val="22"/>
        </w:rPr>
      </w:pPr>
    </w:p>
    <w:p w14:paraId="11C9007E" w14:textId="095132D9" w:rsidR="0054084A" w:rsidRDefault="0054084A" w:rsidP="0054084A">
      <w:pPr>
        <w:ind w:left="993"/>
        <w:jc w:val="both"/>
        <w:rPr>
          <w:rFonts w:asciiTheme="minorHAnsi" w:hAnsiTheme="minorHAnsi" w:cstheme="minorHAnsi"/>
          <w:b/>
          <w:bCs/>
          <w:i/>
          <w:iCs/>
          <w:sz w:val="16"/>
          <w:szCs w:val="16"/>
        </w:rPr>
      </w:pPr>
      <w:r>
        <w:rPr>
          <w:rFonts w:asciiTheme="minorHAnsi" w:hAnsiTheme="minorHAnsi" w:cstheme="minorHAnsi"/>
          <w:b/>
          <w:bCs/>
          <w:i/>
          <w:iCs/>
          <w:sz w:val="16"/>
          <w:szCs w:val="16"/>
        </w:rPr>
        <w:lastRenderedPageBreak/>
        <w:t xml:space="preserve"> </w:t>
      </w:r>
      <w:r>
        <w:rPr>
          <w:noProof/>
        </w:rPr>
        <w:drawing>
          <wp:inline distT="0" distB="0" distL="0" distR="0" wp14:anchorId="7080C6DF" wp14:editId="2804B7F2">
            <wp:extent cx="4522470" cy="2744622"/>
            <wp:effectExtent l="19050" t="19050" r="11430" b="17780"/>
            <wp:docPr id="1004882062"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34204" cy="2751743"/>
                    </a:xfrm>
                    <a:prstGeom prst="rect">
                      <a:avLst/>
                    </a:prstGeom>
                    <a:noFill/>
                    <a:ln>
                      <a:solidFill>
                        <a:schemeClr val="accent1"/>
                      </a:solidFill>
                    </a:ln>
                  </pic:spPr>
                </pic:pic>
              </a:graphicData>
            </a:graphic>
          </wp:inline>
        </w:drawing>
      </w:r>
    </w:p>
    <w:p w14:paraId="0B186E26" w14:textId="6F6F46A4" w:rsidR="0054084A" w:rsidRDefault="0054084A" w:rsidP="0054084A">
      <w:pPr>
        <w:ind w:left="993"/>
        <w:jc w:val="both"/>
        <w:rPr>
          <w:rFonts w:asciiTheme="minorHAnsi" w:hAnsiTheme="minorHAnsi" w:cstheme="minorHAnsi"/>
          <w:b/>
          <w:bCs/>
          <w:i/>
          <w:iCs/>
          <w:sz w:val="16"/>
          <w:szCs w:val="16"/>
        </w:rPr>
      </w:pPr>
    </w:p>
    <w:p w14:paraId="1AF6071A" w14:textId="77777777" w:rsidR="0054084A" w:rsidRDefault="0054084A" w:rsidP="0054084A">
      <w:pPr>
        <w:ind w:left="993"/>
        <w:jc w:val="both"/>
        <w:rPr>
          <w:rFonts w:asciiTheme="minorHAnsi" w:hAnsiTheme="minorHAnsi" w:cstheme="minorHAnsi"/>
          <w:b/>
          <w:iCs/>
          <w:u w:val="single"/>
        </w:rPr>
      </w:pPr>
    </w:p>
    <w:p w14:paraId="67249B04" w14:textId="77777777" w:rsidR="0054084A" w:rsidRDefault="0054084A" w:rsidP="0054084A">
      <w:pPr>
        <w:jc w:val="center"/>
        <w:rPr>
          <w:rFonts w:asciiTheme="minorHAnsi" w:hAnsiTheme="minorHAnsi" w:cstheme="minorHAnsi"/>
          <w:b/>
          <w:iCs/>
          <w:u w:val="single"/>
        </w:rPr>
      </w:pPr>
    </w:p>
    <w:p w14:paraId="025BDFF8" w14:textId="77777777" w:rsidR="0054084A" w:rsidRDefault="0054084A" w:rsidP="0054084A">
      <w:pPr>
        <w:jc w:val="center"/>
        <w:rPr>
          <w:rFonts w:asciiTheme="minorHAnsi" w:hAnsiTheme="minorHAnsi" w:cstheme="minorHAnsi"/>
          <w:b/>
          <w:iCs/>
          <w:u w:val="single"/>
        </w:rPr>
      </w:pPr>
      <w:r>
        <w:rPr>
          <w:noProof/>
        </w:rPr>
        <w:drawing>
          <wp:inline distT="0" distB="0" distL="0" distR="0" wp14:anchorId="7FB8C92D" wp14:editId="41DE5434">
            <wp:extent cx="4537075" cy="2846980"/>
            <wp:effectExtent l="19050" t="19050" r="15875" b="10795"/>
            <wp:docPr id="1510842507"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52438" cy="2856620"/>
                    </a:xfrm>
                    <a:prstGeom prst="rect">
                      <a:avLst/>
                    </a:prstGeom>
                    <a:noFill/>
                    <a:ln>
                      <a:solidFill>
                        <a:schemeClr val="accent1"/>
                      </a:solidFill>
                    </a:ln>
                  </pic:spPr>
                </pic:pic>
              </a:graphicData>
            </a:graphic>
          </wp:inline>
        </w:drawing>
      </w: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B56CB8"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444AFB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186445">
            <w:rPr>
              <w:rFonts w:ascii="Calibri" w:hAnsi="Calibri" w:cs="Calibri"/>
              <w:b/>
              <w:sz w:val="26"/>
              <w:szCs w:val="26"/>
              <w:lang w:val="it-IT"/>
            </w:rPr>
            <w:t>5</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7587A70"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186445">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72C80DA"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1222DA">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259D7DE"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1222DA">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16</Pages>
  <Words>3181</Words>
  <Characters>17496</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2023-05-16T20:56:00Z</cp:lastPrinted>
  <dcterms:created xsi:type="dcterms:W3CDTF">2023-06-21T15:07:00Z</dcterms:created>
  <dcterms:modified xsi:type="dcterms:W3CDTF">2023-06-21T17:11:00Z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