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11E7EAC"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41B8C">
        <w:rPr>
          <w:rFonts w:ascii="Poppins" w:hAnsi="Poppins" w:cs="Poppins"/>
          <w:sz w:val="24"/>
          <w:szCs w:val="22"/>
          <w:u w:val="single"/>
          <w:lang w:val="it-IT"/>
        </w:rPr>
        <w:t>3</w:t>
      </w:r>
      <w:r w:rsidR="00523E19">
        <w:rPr>
          <w:rFonts w:ascii="Poppins" w:hAnsi="Poppins" w:cs="Poppins"/>
          <w:sz w:val="24"/>
          <w:szCs w:val="22"/>
          <w:u w:val="single"/>
          <w:lang w:val="it-IT"/>
        </w:rPr>
        <w:t>3</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039067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751002">
        <w:rPr>
          <w:rFonts w:ascii="Poppins" w:hAnsi="Poppins" w:cs="Poppins"/>
          <w:b/>
          <w:bCs/>
          <w:sz w:val="22"/>
          <w:szCs w:val="22"/>
        </w:rPr>
        <w:t>1</w:t>
      </w:r>
      <w:r w:rsidR="00523E19">
        <w:rPr>
          <w:rFonts w:ascii="Poppins" w:hAnsi="Poppins" w:cs="Poppins"/>
          <w:b/>
          <w:bCs/>
          <w:sz w:val="22"/>
          <w:szCs w:val="22"/>
        </w:rPr>
        <w:t>8</w:t>
      </w:r>
      <w:r w:rsidR="00316BFF">
        <w:rPr>
          <w:rFonts w:ascii="Poppins" w:hAnsi="Poppins" w:cs="Poppins"/>
          <w:b/>
          <w:bCs/>
          <w:sz w:val="22"/>
          <w:szCs w:val="22"/>
        </w:rPr>
        <w:t>/</w:t>
      </w:r>
      <w:r w:rsidR="00222A5F">
        <w:rPr>
          <w:rFonts w:ascii="Poppins" w:hAnsi="Poppins" w:cs="Poppins"/>
          <w:b/>
          <w:bCs/>
          <w:sz w:val="22"/>
          <w:szCs w:val="22"/>
        </w:rPr>
        <w:t>0</w:t>
      </w:r>
      <w:r w:rsidR="00C178CD">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C790960" w:rsidR="00AB06BA" w:rsidRPr="001C2FD3" w:rsidRDefault="00D32902"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6AB7099" wp14:editId="16F5B40C">
            <wp:extent cx="5383530" cy="3802432"/>
            <wp:effectExtent l="0" t="0" r="7620" b="762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7129" cy="381203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0FF86C8"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E144AC">
        <w:rPr>
          <w:rFonts w:ascii="Poppins" w:hAnsi="Poppins" w:cs="Poppins"/>
          <w:sz w:val="18"/>
          <w:szCs w:val="18"/>
        </w:rPr>
        <w:t>3</w:t>
      </w:r>
      <w:r w:rsidR="00E23D92" w:rsidRPr="00273F37">
        <w:rPr>
          <w:rFonts w:ascii="Poppins" w:hAnsi="Poppins" w:cs="Poppins"/>
          <w:sz w:val="18"/>
          <w:szCs w:val="18"/>
        </w:rPr>
        <w:t>,</w:t>
      </w:r>
      <w:r w:rsidR="00791520">
        <w:rPr>
          <w:rFonts w:ascii="Poppins" w:hAnsi="Poppins" w:cs="Poppins"/>
          <w:sz w:val="18"/>
          <w:szCs w:val="18"/>
        </w:rPr>
        <w:t>42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8038E" w:rsidRPr="00273F37">
        <w:rPr>
          <w:rFonts w:ascii="Poppins" w:hAnsi="Poppins" w:cs="Poppins"/>
          <w:sz w:val="18"/>
          <w:szCs w:val="18"/>
        </w:rPr>
        <w:t>8</w:t>
      </w:r>
      <w:r w:rsidR="00E144AC">
        <w:rPr>
          <w:rFonts w:ascii="Poppins" w:hAnsi="Poppins" w:cs="Poppins"/>
          <w:sz w:val="18"/>
          <w:szCs w:val="18"/>
        </w:rPr>
        <w:t>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3310E5">
        <w:rPr>
          <w:rFonts w:ascii="Poppins" w:hAnsi="Poppins" w:cs="Poppins"/>
          <w:sz w:val="18"/>
          <w:szCs w:val="18"/>
        </w:rPr>
        <w:t>8</w:t>
      </w:r>
      <w:r w:rsidR="00791520">
        <w:rPr>
          <w:rFonts w:ascii="Poppins" w:hAnsi="Poppins" w:cs="Poppins"/>
          <w:sz w:val="18"/>
          <w:szCs w:val="18"/>
        </w:rPr>
        <w:t>4</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E144AC">
        <w:rPr>
          <w:rFonts w:ascii="Poppins" w:hAnsi="Poppins" w:cs="Poppins"/>
          <w:sz w:val="18"/>
          <w:szCs w:val="18"/>
        </w:rPr>
        <w:t>29</w:t>
      </w:r>
      <w:r w:rsidR="00941CD2" w:rsidRPr="00273F37">
        <w:rPr>
          <w:rFonts w:ascii="Poppins" w:hAnsi="Poppins" w:cs="Poppins"/>
          <w:sz w:val="18"/>
          <w:szCs w:val="18"/>
        </w:rPr>
        <w:t>,</w:t>
      </w:r>
      <w:r w:rsidR="00791520">
        <w:rPr>
          <w:rFonts w:ascii="Poppins" w:hAnsi="Poppins" w:cs="Poppins"/>
          <w:sz w:val="18"/>
          <w:szCs w:val="18"/>
        </w:rPr>
        <w:t>68</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6939A662"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D32902">
        <w:rPr>
          <w:rFonts w:ascii="Poppins" w:hAnsi="Poppins" w:cs="Poppins"/>
          <w:bCs/>
          <w:sz w:val="18"/>
          <w:szCs w:val="18"/>
        </w:rPr>
        <w:t>04</w:t>
      </w:r>
      <w:r w:rsidRPr="00DE1667">
        <w:rPr>
          <w:rFonts w:ascii="Poppins" w:hAnsi="Poppins" w:cs="Poppins"/>
          <w:bCs/>
          <w:sz w:val="18"/>
          <w:szCs w:val="18"/>
        </w:rPr>
        <w:t>.</w:t>
      </w:r>
      <w:r w:rsidR="000F0295" w:rsidRPr="00DE1667">
        <w:rPr>
          <w:rFonts w:ascii="Poppins" w:hAnsi="Poppins" w:cs="Poppins"/>
          <w:bCs/>
          <w:sz w:val="18"/>
          <w:szCs w:val="18"/>
        </w:rPr>
        <w:t>0</w:t>
      </w:r>
      <w:r w:rsidR="00D32902">
        <w:rPr>
          <w:rFonts w:ascii="Poppins" w:hAnsi="Poppins" w:cs="Poppins"/>
          <w:bCs/>
          <w:sz w:val="18"/>
          <w:szCs w:val="18"/>
        </w:rPr>
        <w:t>8</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D32902">
        <w:rPr>
          <w:rFonts w:ascii="Poppins" w:hAnsi="Poppins" w:cs="Poppins"/>
          <w:bCs/>
          <w:sz w:val="18"/>
          <w:szCs w:val="18"/>
        </w:rPr>
        <w:t>15</w:t>
      </w:r>
      <w:r w:rsidRPr="00DE1667">
        <w:rPr>
          <w:rFonts w:ascii="Poppins" w:hAnsi="Poppins" w:cs="Poppins"/>
          <w:bCs/>
          <w:sz w:val="18"/>
          <w:szCs w:val="18"/>
        </w:rPr>
        <w:t>.</w:t>
      </w:r>
      <w:r w:rsidR="00E23D92" w:rsidRPr="00DE1667">
        <w:rPr>
          <w:rFonts w:ascii="Poppins" w:hAnsi="Poppins" w:cs="Poppins"/>
          <w:bCs/>
          <w:sz w:val="18"/>
          <w:szCs w:val="18"/>
        </w:rPr>
        <w:t>0</w:t>
      </w:r>
      <w:r w:rsidR="003310E5">
        <w:rPr>
          <w:rFonts w:ascii="Poppins" w:hAnsi="Poppins" w:cs="Poppins"/>
          <w:bCs/>
          <w:sz w:val="18"/>
          <w:szCs w:val="18"/>
        </w:rPr>
        <w:t>8</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0C749363" w14:textId="77777777" w:rsidR="00597A5D" w:rsidRPr="00BA178F" w:rsidRDefault="00597A5D" w:rsidP="00597A5D">
      <w:pPr>
        <w:pStyle w:val="Prrafodelista"/>
        <w:numPr>
          <w:ilvl w:val="0"/>
          <w:numId w:val="30"/>
        </w:numPr>
        <w:ind w:left="425"/>
        <w:contextualSpacing/>
        <w:jc w:val="both"/>
        <w:rPr>
          <w:rFonts w:ascii="Poppins" w:hAnsi="Poppins" w:cs="Poppins"/>
          <w:b/>
          <w:sz w:val="18"/>
          <w:szCs w:val="18"/>
        </w:rPr>
      </w:pPr>
      <w:r w:rsidRPr="00BA178F">
        <w:rPr>
          <w:rFonts w:ascii="Poppins" w:hAnsi="Poppins" w:cs="Poppins"/>
          <w:b/>
          <w:sz w:val="18"/>
          <w:szCs w:val="18"/>
        </w:rPr>
        <w:t>El incremento de los inventarios de</w:t>
      </w:r>
      <w:r w:rsidRPr="00C45DB4">
        <w:rPr>
          <w:rFonts w:ascii="Poppins" w:hAnsi="Poppins" w:cs="Poppins"/>
          <w:b/>
          <w:sz w:val="18"/>
          <w:szCs w:val="18"/>
        </w:rPr>
        <w:t xml:space="preserve"> </w:t>
      </w:r>
      <w:r>
        <w:rPr>
          <w:rFonts w:ascii="Poppins" w:hAnsi="Poppins" w:cs="Poppins"/>
          <w:b/>
          <w:sz w:val="18"/>
          <w:szCs w:val="18"/>
        </w:rPr>
        <w:t>crudo,</w:t>
      </w:r>
      <w:r w:rsidRPr="00BA178F">
        <w:rPr>
          <w:rFonts w:ascii="Poppins" w:hAnsi="Poppins" w:cs="Poppins"/>
          <w:b/>
          <w:sz w:val="18"/>
          <w:szCs w:val="18"/>
        </w:rPr>
        <w:t xml:space="preserve"> propano</w:t>
      </w:r>
      <w:r>
        <w:rPr>
          <w:rFonts w:ascii="Poppins" w:hAnsi="Poppins" w:cs="Poppins"/>
          <w:b/>
          <w:sz w:val="18"/>
          <w:szCs w:val="18"/>
        </w:rPr>
        <w:t xml:space="preserve"> y destilados medios</w:t>
      </w:r>
      <w:r w:rsidRPr="00BA178F">
        <w:rPr>
          <w:rFonts w:ascii="Poppins" w:hAnsi="Poppins" w:cs="Poppins"/>
          <w:b/>
          <w:sz w:val="18"/>
          <w:szCs w:val="18"/>
        </w:rPr>
        <w:t xml:space="preserve">, así como el descenso de las existencias de gasolinas, al </w:t>
      </w:r>
      <w:r>
        <w:rPr>
          <w:rFonts w:ascii="Poppins" w:hAnsi="Poppins" w:cs="Poppins"/>
          <w:b/>
          <w:sz w:val="18"/>
          <w:szCs w:val="18"/>
        </w:rPr>
        <w:t>08</w:t>
      </w:r>
      <w:r w:rsidRPr="00BA178F">
        <w:rPr>
          <w:rFonts w:ascii="Poppins" w:hAnsi="Poppins" w:cs="Poppins"/>
          <w:b/>
          <w:sz w:val="18"/>
          <w:szCs w:val="18"/>
        </w:rPr>
        <w:t xml:space="preserve"> de </w:t>
      </w:r>
      <w:r>
        <w:rPr>
          <w:rFonts w:ascii="Poppins" w:hAnsi="Poppins" w:cs="Poppins"/>
          <w:b/>
          <w:sz w:val="18"/>
          <w:szCs w:val="18"/>
        </w:rPr>
        <w:t>agosto</w:t>
      </w:r>
      <w:r w:rsidRPr="00BA178F">
        <w:rPr>
          <w:rFonts w:ascii="Poppins" w:hAnsi="Poppins" w:cs="Poppins"/>
          <w:b/>
          <w:sz w:val="18"/>
          <w:szCs w:val="18"/>
        </w:rPr>
        <w:t xml:space="preserve"> del 202</w:t>
      </w:r>
      <w:r>
        <w:rPr>
          <w:rFonts w:ascii="Poppins" w:hAnsi="Poppins" w:cs="Poppins"/>
          <w:b/>
          <w:sz w:val="18"/>
          <w:szCs w:val="18"/>
        </w:rPr>
        <w:t>5</w:t>
      </w:r>
    </w:p>
    <w:p w14:paraId="6F46EB91" w14:textId="77777777" w:rsidR="00597A5D" w:rsidRPr="00BA178F" w:rsidRDefault="00597A5D" w:rsidP="00597A5D">
      <w:pPr>
        <w:pStyle w:val="Prrafodelista"/>
        <w:ind w:left="426"/>
        <w:jc w:val="both"/>
        <w:rPr>
          <w:rFonts w:ascii="Poppins" w:hAnsi="Poppins" w:cs="Poppins"/>
          <w:sz w:val="18"/>
          <w:szCs w:val="18"/>
        </w:rPr>
      </w:pPr>
    </w:p>
    <w:p w14:paraId="0EC81922" w14:textId="77777777" w:rsidR="00597A5D" w:rsidRPr="00BA178F" w:rsidRDefault="00597A5D" w:rsidP="00597A5D">
      <w:pPr>
        <w:shd w:val="clear" w:color="auto" w:fill="FFFFFF"/>
        <w:ind w:left="425"/>
        <w:jc w:val="both"/>
        <w:rPr>
          <w:rFonts w:ascii="Poppins" w:hAnsi="Poppins" w:cs="Poppins"/>
          <w:sz w:val="18"/>
          <w:szCs w:val="18"/>
        </w:rPr>
      </w:pPr>
      <w:r w:rsidRPr="00BA178F">
        <w:rPr>
          <w:rFonts w:ascii="Poppins" w:hAnsi="Poppins" w:cs="Poppins"/>
          <w:sz w:val="18"/>
          <w:szCs w:val="18"/>
        </w:rPr>
        <w:t>Los inventarios de petróleo de Estados Unidos se</w:t>
      </w:r>
      <w:r>
        <w:rPr>
          <w:rFonts w:ascii="Poppins" w:hAnsi="Poppins" w:cs="Poppins"/>
          <w:sz w:val="18"/>
          <w:szCs w:val="18"/>
        </w:rPr>
        <w:t xml:space="preserve"> incrementaron </w:t>
      </w:r>
      <w:r w:rsidRPr="00BA178F">
        <w:rPr>
          <w:rFonts w:ascii="Poppins" w:hAnsi="Poppins" w:cs="Poppins"/>
          <w:sz w:val="18"/>
          <w:szCs w:val="18"/>
        </w:rPr>
        <w:t xml:space="preserve">en </w:t>
      </w:r>
      <w:r>
        <w:rPr>
          <w:rFonts w:ascii="Poppins" w:hAnsi="Poppins" w:cs="Poppins"/>
          <w:sz w:val="18"/>
          <w:szCs w:val="18"/>
        </w:rPr>
        <w:t>3</w:t>
      </w:r>
      <w:r w:rsidRPr="00BA178F">
        <w:rPr>
          <w:rFonts w:ascii="Poppins" w:hAnsi="Poppins" w:cs="Poppins"/>
          <w:sz w:val="18"/>
          <w:szCs w:val="18"/>
        </w:rPr>
        <w:t>,</w:t>
      </w:r>
      <w:r>
        <w:rPr>
          <w:rFonts w:ascii="Poppins" w:hAnsi="Poppins" w:cs="Poppins"/>
          <w:sz w:val="18"/>
          <w:szCs w:val="18"/>
        </w:rPr>
        <w:t>0</w:t>
      </w:r>
      <w:r w:rsidRPr="00BA178F">
        <w:rPr>
          <w:rFonts w:ascii="Poppins" w:hAnsi="Poppins" w:cs="Poppins"/>
          <w:sz w:val="18"/>
          <w:szCs w:val="18"/>
        </w:rPr>
        <w:t xml:space="preserve"> millones de barriles</w:t>
      </w:r>
      <w:r>
        <w:rPr>
          <w:rFonts w:ascii="Poppins" w:hAnsi="Poppins" w:cs="Poppins"/>
          <w:sz w:val="18"/>
          <w:szCs w:val="18"/>
        </w:rPr>
        <w:t xml:space="preserve"> alcanzando los 426,7 millones de barriles</w:t>
      </w:r>
      <w:r w:rsidRPr="00BA178F">
        <w:rPr>
          <w:rFonts w:ascii="Poppins" w:hAnsi="Poppins" w:cs="Poppins"/>
          <w:sz w:val="18"/>
          <w:szCs w:val="18"/>
        </w:rPr>
        <w:t xml:space="preserve">, ubicándose en </w:t>
      </w:r>
      <w:r>
        <w:rPr>
          <w:rFonts w:ascii="Poppins" w:hAnsi="Poppins" w:cs="Poppins"/>
          <w:sz w:val="18"/>
          <w:szCs w:val="18"/>
        </w:rPr>
        <w:t xml:space="preserve">un </w:t>
      </w:r>
      <w:r w:rsidRPr="00BA178F">
        <w:rPr>
          <w:rFonts w:ascii="Poppins" w:hAnsi="Poppins" w:cs="Poppins"/>
          <w:sz w:val="18"/>
          <w:szCs w:val="18"/>
        </w:rPr>
        <w:t>-</w:t>
      </w:r>
      <w:r>
        <w:rPr>
          <w:rFonts w:ascii="Poppins" w:hAnsi="Poppins" w:cs="Poppins"/>
          <w:sz w:val="18"/>
          <w:szCs w:val="18"/>
        </w:rPr>
        <w:t>6</w:t>
      </w:r>
      <w:r w:rsidRPr="00BA178F">
        <w:rPr>
          <w:rFonts w:ascii="Poppins" w:hAnsi="Poppins" w:cs="Poppins"/>
          <w:sz w:val="18"/>
          <w:szCs w:val="18"/>
        </w:rPr>
        <w:t>% por debajo de la media de los últimos 5 años, para esta época del año</w:t>
      </w:r>
      <w:r>
        <w:rPr>
          <w:rFonts w:ascii="Poppins" w:hAnsi="Poppins" w:cs="Poppins"/>
          <w:sz w:val="18"/>
          <w:szCs w:val="18"/>
        </w:rPr>
        <w:t>.</w:t>
      </w:r>
    </w:p>
    <w:p w14:paraId="2D78DFC8" w14:textId="77777777" w:rsidR="00597A5D" w:rsidRPr="00BA178F" w:rsidRDefault="00597A5D" w:rsidP="00597A5D">
      <w:pPr>
        <w:shd w:val="clear" w:color="auto" w:fill="FFFFFF"/>
        <w:ind w:left="425"/>
        <w:jc w:val="both"/>
        <w:rPr>
          <w:rFonts w:ascii="Poppins" w:hAnsi="Poppins" w:cs="Poppins"/>
          <w:sz w:val="18"/>
          <w:szCs w:val="18"/>
        </w:rPr>
      </w:pPr>
    </w:p>
    <w:p w14:paraId="112DB880" w14:textId="77777777" w:rsidR="00597A5D" w:rsidRDefault="00597A5D" w:rsidP="00597A5D">
      <w:pPr>
        <w:shd w:val="clear" w:color="auto" w:fill="FFFFFF"/>
        <w:ind w:left="425"/>
        <w:jc w:val="both"/>
        <w:rPr>
          <w:rFonts w:ascii="Poppins" w:hAnsi="Poppins" w:cs="Poppins"/>
          <w:sz w:val="18"/>
          <w:szCs w:val="18"/>
        </w:rPr>
      </w:pPr>
      <w:r w:rsidRPr="00BA178F">
        <w:rPr>
          <w:rFonts w:ascii="Poppins" w:hAnsi="Poppins" w:cs="Poppins"/>
          <w:sz w:val="18"/>
          <w:szCs w:val="18"/>
        </w:rPr>
        <w:t xml:space="preserve">Por su parte, los inventarios de destilados, que incluyen al diésel y al combustible para calefacción </w:t>
      </w:r>
      <w:r>
        <w:rPr>
          <w:rFonts w:ascii="Poppins" w:hAnsi="Poppins" w:cs="Poppins"/>
          <w:sz w:val="18"/>
          <w:szCs w:val="18"/>
        </w:rPr>
        <w:t xml:space="preserve">crecieron </w:t>
      </w:r>
      <w:r w:rsidRPr="00BA178F">
        <w:rPr>
          <w:rFonts w:ascii="Poppins" w:hAnsi="Poppins" w:cs="Poppins"/>
          <w:sz w:val="18"/>
          <w:szCs w:val="18"/>
        </w:rPr>
        <w:t xml:space="preserve">en </w:t>
      </w:r>
      <w:r>
        <w:rPr>
          <w:rFonts w:ascii="Poppins" w:hAnsi="Poppins" w:cs="Poppins"/>
          <w:sz w:val="18"/>
          <w:szCs w:val="18"/>
        </w:rPr>
        <w:t>0</w:t>
      </w:r>
      <w:r w:rsidRPr="00BA178F">
        <w:rPr>
          <w:rFonts w:ascii="Poppins" w:hAnsi="Poppins" w:cs="Poppins"/>
          <w:sz w:val="18"/>
          <w:szCs w:val="18"/>
        </w:rPr>
        <w:t>,</w:t>
      </w:r>
      <w:r>
        <w:rPr>
          <w:rFonts w:ascii="Poppins" w:hAnsi="Poppins" w:cs="Poppins"/>
          <w:sz w:val="18"/>
          <w:szCs w:val="18"/>
        </w:rPr>
        <w:t>7</w:t>
      </w:r>
      <w:r w:rsidRPr="00BA178F">
        <w:rPr>
          <w:rFonts w:ascii="Poppins" w:hAnsi="Poppins" w:cs="Poppins"/>
          <w:sz w:val="18"/>
          <w:szCs w:val="18"/>
        </w:rPr>
        <w:t xml:space="preserve"> millones de barriles, ubicándose en 1</w:t>
      </w:r>
      <w:r>
        <w:rPr>
          <w:rFonts w:ascii="Poppins" w:hAnsi="Poppins" w:cs="Poppins"/>
          <w:sz w:val="18"/>
          <w:szCs w:val="18"/>
        </w:rPr>
        <w:t>13</w:t>
      </w:r>
      <w:r w:rsidRPr="00BA178F">
        <w:rPr>
          <w:rFonts w:ascii="Poppins" w:hAnsi="Poppins" w:cs="Poppins"/>
          <w:sz w:val="18"/>
          <w:szCs w:val="18"/>
        </w:rPr>
        <w:t>,</w:t>
      </w:r>
      <w:r>
        <w:rPr>
          <w:rFonts w:ascii="Poppins" w:hAnsi="Poppins" w:cs="Poppins"/>
          <w:sz w:val="18"/>
          <w:szCs w:val="18"/>
        </w:rPr>
        <w:t>7</w:t>
      </w:r>
      <w:r w:rsidRPr="00BA178F">
        <w:rPr>
          <w:rFonts w:ascii="Poppins" w:hAnsi="Poppins" w:cs="Poppins"/>
          <w:sz w:val="18"/>
          <w:szCs w:val="18"/>
        </w:rPr>
        <w:t xml:space="preserve"> millones de barriles. </w:t>
      </w:r>
      <w:r>
        <w:rPr>
          <w:rFonts w:ascii="Poppins" w:hAnsi="Poppins" w:cs="Poppins"/>
          <w:sz w:val="18"/>
          <w:szCs w:val="18"/>
        </w:rPr>
        <w:t xml:space="preserve">Asimismo, </w:t>
      </w:r>
      <w:r w:rsidRPr="00BA178F">
        <w:rPr>
          <w:rFonts w:ascii="Poppins" w:hAnsi="Poppins" w:cs="Poppins"/>
          <w:sz w:val="18"/>
          <w:szCs w:val="18"/>
        </w:rPr>
        <w:t>las existencias de propano</w:t>
      </w:r>
      <w:r>
        <w:rPr>
          <w:rFonts w:ascii="Poppins" w:hAnsi="Poppins" w:cs="Poppins"/>
          <w:sz w:val="18"/>
          <w:szCs w:val="18"/>
        </w:rPr>
        <w:t xml:space="preserve"> aumentaron</w:t>
      </w:r>
      <w:r w:rsidRPr="00BA178F">
        <w:rPr>
          <w:rFonts w:ascii="Poppins" w:hAnsi="Poppins" w:cs="Poppins"/>
          <w:sz w:val="18"/>
          <w:szCs w:val="18"/>
        </w:rPr>
        <w:t xml:space="preserve"> en </w:t>
      </w:r>
      <w:r>
        <w:rPr>
          <w:rFonts w:ascii="Poppins" w:hAnsi="Poppins" w:cs="Poppins"/>
          <w:sz w:val="18"/>
          <w:szCs w:val="18"/>
        </w:rPr>
        <w:t>3</w:t>
      </w:r>
      <w:r w:rsidRPr="00BA178F">
        <w:rPr>
          <w:rFonts w:ascii="Poppins" w:hAnsi="Poppins" w:cs="Poppins"/>
          <w:sz w:val="18"/>
          <w:szCs w:val="18"/>
        </w:rPr>
        <w:t>,</w:t>
      </w:r>
      <w:r>
        <w:rPr>
          <w:rFonts w:ascii="Poppins" w:hAnsi="Poppins" w:cs="Poppins"/>
          <w:sz w:val="18"/>
          <w:szCs w:val="18"/>
        </w:rPr>
        <w:t>87</w:t>
      </w:r>
      <w:r w:rsidRPr="00BA178F">
        <w:rPr>
          <w:rFonts w:ascii="Poppins" w:hAnsi="Poppins" w:cs="Poppins"/>
          <w:sz w:val="18"/>
          <w:szCs w:val="18"/>
        </w:rPr>
        <w:t xml:space="preserve"> millones de barriles, registrando un nivel de 8</w:t>
      </w:r>
      <w:r>
        <w:rPr>
          <w:rFonts w:ascii="Poppins" w:hAnsi="Poppins" w:cs="Poppins"/>
          <w:sz w:val="18"/>
          <w:szCs w:val="18"/>
        </w:rPr>
        <w:t>8</w:t>
      </w:r>
      <w:r w:rsidRPr="00BA178F">
        <w:rPr>
          <w:rFonts w:ascii="Poppins" w:hAnsi="Poppins" w:cs="Poppins"/>
          <w:sz w:val="18"/>
          <w:szCs w:val="18"/>
        </w:rPr>
        <w:t>,</w:t>
      </w:r>
      <w:r>
        <w:rPr>
          <w:rFonts w:ascii="Poppins" w:hAnsi="Poppins" w:cs="Poppins"/>
          <w:sz w:val="18"/>
          <w:szCs w:val="18"/>
        </w:rPr>
        <w:t>61</w:t>
      </w:r>
      <w:r w:rsidRPr="00BA178F">
        <w:rPr>
          <w:rFonts w:ascii="Poppins" w:hAnsi="Poppins" w:cs="Poppins"/>
          <w:sz w:val="18"/>
          <w:szCs w:val="18"/>
        </w:rPr>
        <w:t xml:space="preserve"> millones de barriles</w:t>
      </w:r>
      <w:r>
        <w:rPr>
          <w:rFonts w:ascii="Poppins" w:hAnsi="Poppins" w:cs="Poppins"/>
          <w:sz w:val="18"/>
          <w:szCs w:val="18"/>
        </w:rPr>
        <w:t>.</w:t>
      </w:r>
    </w:p>
    <w:p w14:paraId="220BCCDC" w14:textId="77777777" w:rsidR="00597A5D" w:rsidRDefault="00597A5D" w:rsidP="00597A5D">
      <w:pPr>
        <w:shd w:val="clear" w:color="auto" w:fill="FFFFFF"/>
        <w:ind w:left="425"/>
        <w:jc w:val="both"/>
        <w:rPr>
          <w:rFonts w:ascii="Poppins" w:hAnsi="Poppins" w:cs="Poppins"/>
          <w:sz w:val="18"/>
          <w:szCs w:val="18"/>
        </w:rPr>
      </w:pPr>
    </w:p>
    <w:p w14:paraId="39BEDCE7" w14:textId="7A648FBA" w:rsidR="00597A5D" w:rsidRDefault="00597A5D" w:rsidP="00597A5D">
      <w:pPr>
        <w:shd w:val="clear" w:color="auto" w:fill="FFFFFF"/>
        <w:ind w:left="425"/>
        <w:jc w:val="both"/>
        <w:rPr>
          <w:rFonts w:ascii="Poppins" w:hAnsi="Poppins" w:cs="Poppins"/>
          <w:sz w:val="18"/>
          <w:szCs w:val="18"/>
        </w:rPr>
      </w:pPr>
      <w:r w:rsidRPr="00BA178F">
        <w:rPr>
          <w:rFonts w:ascii="Poppins" w:hAnsi="Poppins" w:cs="Poppins"/>
          <w:sz w:val="18"/>
          <w:szCs w:val="18"/>
        </w:rPr>
        <w:t xml:space="preserve">Finalmente, las existencias de gasolinas disminuyeron en </w:t>
      </w:r>
      <w:r>
        <w:rPr>
          <w:rFonts w:ascii="Poppins" w:hAnsi="Poppins" w:cs="Poppins"/>
          <w:sz w:val="18"/>
          <w:szCs w:val="18"/>
        </w:rPr>
        <w:t>0</w:t>
      </w:r>
      <w:r w:rsidRPr="00BA178F">
        <w:rPr>
          <w:rFonts w:ascii="Poppins" w:hAnsi="Poppins" w:cs="Poppins"/>
          <w:sz w:val="18"/>
          <w:szCs w:val="18"/>
        </w:rPr>
        <w:t>,</w:t>
      </w:r>
      <w:r>
        <w:rPr>
          <w:rFonts w:ascii="Poppins" w:hAnsi="Poppins" w:cs="Poppins"/>
          <w:sz w:val="18"/>
          <w:szCs w:val="18"/>
        </w:rPr>
        <w:t>8</w:t>
      </w:r>
      <w:r w:rsidRPr="00BA178F">
        <w:rPr>
          <w:rFonts w:ascii="Poppins" w:hAnsi="Poppins" w:cs="Poppins"/>
          <w:sz w:val="18"/>
          <w:szCs w:val="18"/>
        </w:rPr>
        <w:t xml:space="preserve"> millones de barriles, reportando un total de 2</w:t>
      </w:r>
      <w:r>
        <w:rPr>
          <w:rFonts w:ascii="Poppins" w:hAnsi="Poppins" w:cs="Poppins"/>
          <w:sz w:val="18"/>
          <w:szCs w:val="18"/>
        </w:rPr>
        <w:t>26</w:t>
      </w:r>
      <w:r w:rsidRPr="00BA178F">
        <w:rPr>
          <w:rFonts w:ascii="Poppins" w:hAnsi="Poppins" w:cs="Poppins"/>
          <w:sz w:val="18"/>
          <w:szCs w:val="18"/>
        </w:rPr>
        <w:t>,</w:t>
      </w:r>
      <w:r>
        <w:rPr>
          <w:rFonts w:ascii="Poppins" w:hAnsi="Poppins" w:cs="Poppins"/>
          <w:sz w:val="18"/>
          <w:szCs w:val="18"/>
        </w:rPr>
        <w:t>3</w:t>
      </w:r>
      <w:r w:rsidRPr="00BA178F">
        <w:rPr>
          <w:rFonts w:ascii="Poppins" w:hAnsi="Poppins" w:cs="Poppins"/>
          <w:sz w:val="18"/>
          <w:szCs w:val="18"/>
        </w:rPr>
        <w:t xml:space="preserve"> millones de barriles</w:t>
      </w:r>
      <w:r>
        <w:rPr>
          <w:rFonts w:ascii="Poppins" w:hAnsi="Poppins" w:cs="Poppins"/>
          <w:sz w:val="18"/>
          <w:szCs w:val="18"/>
        </w:rPr>
        <w:t>.</w:t>
      </w:r>
    </w:p>
    <w:p w14:paraId="7EEAD1DF" w14:textId="1182493B" w:rsidR="00597A5D" w:rsidRDefault="00597A5D" w:rsidP="00597A5D">
      <w:pPr>
        <w:shd w:val="clear" w:color="auto" w:fill="FFFFFF"/>
        <w:ind w:left="425"/>
        <w:jc w:val="both"/>
        <w:rPr>
          <w:rFonts w:ascii="Poppins" w:hAnsi="Poppins" w:cs="Poppins"/>
          <w:sz w:val="18"/>
          <w:szCs w:val="18"/>
        </w:rPr>
      </w:pPr>
    </w:p>
    <w:p w14:paraId="4E402198" w14:textId="77777777" w:rsidR="00597A5D" w:rsidRDefault="00597A5D" w:rsidP="00597A5D">
      <w:pPr>
        <w:shd w:val="clear" w:color="auto" w:fill="FFFFFF"/>
        <w:ind w:left="425"/>
        <w:jc w:val="both"/>
        <w:rPr>
          <w:rFonts w:ascii="Poppins" w:hAnsi="Poppins" w:cs="Poppins"/>
          <w:sz w:val="18"/>
          <w:szCs w:val="18"/>
        </w:rPr>
      </w:pPr>
    </w:p>
    <w:p w14:paraId="6A2D609C" w14:textId="77777777" w:rsidR="00597A5D" w:rsidRDefault="00597A5D" w:rsidP="00597A5D">
      <w:pPr>
        <w:shd w:val="clear" w:color="auto" w:fill="FFFFFF"/>
        <w:ind w:left="425"/>
        <w:jc w:val="both"/>
        <w:rPr>
          <w:rFonts w:ascii="Poppins" w:hAnsi="Poppins" w:cs="Poppins"/>
          <w:sz w:val="18"/>
          <w:szCs w:val="18"/>
        </w:rPr>
      </w:pPr>
    </w:p>
    <w:p w14:paraId="69E02094" w14:textId="77777777" w:rsidR="00597A5D" w:rsidRDefault="00597A5D" w:rsidP="00597A5D">
      <w:pPr>
        <w:pStyle w:val="Prrafodelista"/>
        <w:numPr>
          <w:ilvl w:val="0"/>
          <w:numId w:val="30"/>
        </w:numPr>
        <w:ind w:left="425"/>
        <w:contextualSpacing/>
        <w:jc w:val="both"/>
        <w:rPr>
          <w:rFonts w:ascii="Poppins" w:hAnsi="Poppins" w:cs="Poppins"/>
          <w:b/>
          <w:sz w:val="18"/>
          <w:szCs w:val="18"/>
        </w:rPr>
      </w:pPr>
      <w:r w:rsidRPr="00932F2E">
        <w:rPr>
          <w:rFonts w:ascii="Poppins" w:hAnsi="Poppins" w:cs="Poppins"/>
          <w:b/>
          <w:sz w:val="18"/>
          <w:szCs w:val="18"/>
        </w:rPr>
        <w:lastRenderedPageBreak/>
        <w:t>Alivio tras cumbre Trump–Putin en Alaska y presiona a la baja al crudo</w:t>
      </w:r>
    </w:p>
    <w:p w14:paraId="564EBAC9" w14:textId="77777777" w:rsidR="00597A5D" w:rsidRPr="00932F2E" w:rsidRDefault="00597A5D" w:rsidP="00597A5D">
      <w:pPr>
        <w:pStyle w:val="Prrafodelista"/>
        <w:ind w:left="425"/>
        <w:jc w:val="both"/>
        <w:rPr>
          <w:rFonts w:ascii="Poppins" w:hAnsi="Poppins" w:cs="Poppins"/>
          <w:b/>
          <w:sz w:val="18"/>
          <w:szCs w:val="18"/>
        </w:rPr>
      </w:pPr>
    </w:p>
    <w:p w14:paraId="256095E0" w14:textId="77777777" w:rsidR="00597A5D"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t>El encuentro entre Donald Trump y Vladímir Putin, celebrado el 15 de agosto en Alaska, concluyó con un acuerdo limitado, pero suficiente para calmar a los mercados energéticos. Aunque no se logró un alto el fuego en Ucrania, ambos líderes acordaron mantener el diálogo abierto y evitar nuevas sanciones inmediatas contra el sector energético ruso. Esto redujo la prima de riesgo geopolítico que venía presionando al petróleo, provocando una caída en los precios.</w:t>
      </w:r>
    </w:p>
    <w:p w14:paraId="05627896" w14:textId="77777777" w:rsidR="00597A5D" w:rsidRPr="00932F2E" w:rsidRDefault="00597A5D" w:rsidP="00597A5D">
      <w:pPr>
        <w:shd w:val="clear" w:color="auto" w:fill="FFFFFF"/>
        <w:ind w:left="425"/>
        <w:jc w:val="both"/>
        <w:rPr>
          <w:rFonts w:ascii="Poppins" w:hAnsi="Poppins" w:cs="Poppins"/>
          <w:sz w:val="18"/>
          <w:szCs w:val="18"/>
        </w:rPr>
      </w:pPr>
    </w:p>
    <w:p w14:paraId="2DB8CD8A" w14:textId="77777777" w:rsidR="00597A5D"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t>El Brent cerró en 65,59 USD/barril y el WTI en 62,62 USD/barril, con bajas de -1,02 % y -1,28 % respectivamente, según Reuters. El mercado interpretó que la ausencia de nuevas sanciones garantiza la continuidad de las exportaciones rusas —entre 4,5 y 5 millones de barriles diarios— hacia destinos clave como India, China y Turquía, aliviando temores de mayores restricciones.</w:t>
      </w:r>
    </w:p>
    <w:p w14:paraId="25B1DFB5" w14:textId="77777777" w:rsidR="00597A5D" w:rsidRPr="00932F2E" w:rsidRDefault="00597A5D" w:rsidP="00597A5D">
      <w:pPr>
        <w:shd w:val="clear" w:color="auto" w:fill="FFFFFF"/>
        <w:ind w:left="425"/>
        <w:jc w:val="both"/>
        <w:rPr>
          <w:rFonts w:ascii="Poppins" w:hAnsi="Poppins" w:cs="Poppins"/>
          <w:sz w:val="18"/>
          <w:szCs w:val="18"/>
        </w:rPr>
      </w:pPr>
    </w:p>
    <w:p w14:paraId="33DFDB8D" w14:textId="77777777" w:rsidR="00597A5D"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t>Trump también anunció la suspensión temporal de aranceles secundarios para China e India hasta al menos noviembre de 2025, medida vista como un esfuerzo por mantener estables los flujos energéticos y evitar disrupciones en el comercio global. Analistas de UBS señalaron que el mercado esperaba un escenario más agresivo, y que el desenlace moderado alivió la presión alcista.</w:t>
      </w:r>
    </w:p>
    <w:p w14:paraId="2DF67DED" w14:textId="77777777" w:rsidR="00597A5D" w:rsidRPr="00932F2E" w:rsidRDefault="00597A5D" w:rsidP="00597A5D">
      <w:pPr>
        <w:shd w:val="clear" w:color="auto" w:fill="FFFFFF"/>
        <w:ind w:left="425"/>
        <w:jc w:val="both"/>
        <w:rPr>
          <w:rFonts w:ascii="Poppins" w:hAnsi="Poppins" w:cs="Poppins"/>
          <w:sz w:val="18"/>
          <w:szCs w:val="18"/>
        </w:rPr>
      </w:pPr>
    </w:p>
    <w:p w14:paraId="6449AE6F" w14:textId="77777777" w:rsidR="00597A5D" w:rsidRPr="00932F2E"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t xml:space="preserve">Sin embargo, las tensiones persisten. Putin exige el reconocimiento de los avances territoriales de Rusia como condición para un alto el fuego, mientras EE. UU. insiste en incluir a Ucrania en cualquier acuerdo. Según </w:t>
      </w:r>
      <w:proofErr w:type="spellStart"/>
      <w:r w:rsidRPr="00932F2E">
        <w:rPr>
          <w:rFonts w:ascii="Poppins" w:hAnsi="Poppins" w:cs="Poppins"/>
          <w:sz w:val="18"/>
          <w:szCs w:val="18"/>
        </w:rPr>
        <w:t>Rystad</w:t>
      </w:r>
      <w:proofErr w:type="spellEnd"/>
      <w:r w:rsidRPr="00932F2E">
        <w:rPr>
          <w:rFonts w:ascii="Poppins" w:hAnsi="Poppins" w:cs="Poppins"/>
          <w:sz w:val="18"/>
          <w:szCs w:val="18"/>
        </w:rPr>
        <w:t xml:space="preserve"> Energy, este frágil equilibrio podría generar volatilidad latente, con riesgo de repunte en los precios si las negociaciones se estancan.</w:t>
      </w:r>
    </w:p>
    <w:p w14:paraId="79B5C125" w14:textId="77777777" w:rsidR="00597A5D" w:rsidRDefault="00597A5D" w:rsidP="00597A5D">
      <w:pPr>
        <w:shd w:val="clear" w:color="auto" w:fill="FFFFFF"/>
        <w:ind w:left="425"/>
        <w:jc w:val="both"/>
        <w:rPr>
          <w:rFonts w:ascii="Poppins" w:hAnsi="Poppins" w:cs="Poppins"/>
          <w:sz w:val="18"/>
          <w:szCs w:val="18"/>
        </w:rPr>
      </w:pPr>
    </w:p>
    <w:p w14:paraId="4CBFAD10" w14:textId="77777777" w:rsidR="00597A5D" w:rsidRPr="00932F2E" w:rsidRDefault="00597A5D" w:rsidP="00597A5D">
      <w:pPr>
        <w:pStyle w:val="Prrafodelista"/>
        <w:numPr>
          <w:ilvl w:val="0"/>
          <w:numId w:val="30"/>
        </w:numPr>
        <w:ind w:left="425"/>
        <w:contextualSpacing/>
        <w:jc w:val="both"/>
        <w:rPr>
          <w:rFonts w:ascii="Poppins" w:hAnsi="Poppins" w:cs="Poppins"/>
          <w:b/>
          <w:sz w:val="18"/>
          <w:szCs w:val="18"/>
        </w:rPr>
      </w:pPr>
      <w:r w:rsidRPr="00932F2E">
        <w:rPr>
          <w:rFonts w:ascii="Poppins" w:hAnsi="Poppins" w:cs="Poppins"/>
          <w:b/>
          <w:sz w:val="18"/>
          <w:szCs w:val="18"/>
        </w:rPr>
        <w:t>Debilidad económica en China hunde expectativas de demanda de gasolina</w:t>
      </w:r>
    </w:p>
    <w:p w14:paraId="705F2C21" w14:textId="77777777" w:rsidR="00597A5D" w:rsidRPr="00BF188D" w:rsidRDefault="00597A5D" w:rsidP="00597A5D">
      <w:pPr>
        <w:pStyle w:val="Prrafodelista"/>
        <w:ind w:left="425"/>
        <w:jc w:val="both"/>
        <w:rPr>
          <w:rFonts w:ascii="Poppins" w:hAnsi="Poppins" w:cs="Poppins"/>
          <w:b/>
          <w:sz w:val="18"/>
          <w:szCs w:val="18"/>
        </w:rPr>
      </w:pPr>
    </w:p>
    <w:p w14:paraId="0E2CEEB8" w14:textId="77777777" w:rsidR="00597A5D"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t>Los últimos datos macroeconómicos de China reflejan una desaceleración más intensa de lo previsto, afectando las expectativas de demanda de combustibles en el segundo mayor consumidor de crudo del mundo. En julio, la producción industrial creció al ritmo más lento en ocho meses y las ventas minoristas avanzaron al nivel más bajo desde diciembre de 2024, señalando un enfriamiento del consumo interno. Esto debilitó aún más el ánimo del mercado petrolero, ya afectado por señales de exceso de oferta.</w:t>
      </w:r>
    </w:p>
    <w:p w14:paraId="6CCEBEB7" w14:textId="77777777" w:rsidR="00597A5D" w:rsidRDefault="00597A5D" w:rsidP="00597A5D">
      <w:pPr>
        <w:shd w:val="clear" w:color="auto" w:fill="FFFFFF"/>
        <w:ind w:left="425"/>
        <w:jc w:val="both"/>
        <w:rPr>
          <w:rFonts w:ascii="Poppins" w:hAnsi="Poppins" w:cs="Poppins"/>
          <w:sz w:val="18"/>
          <w:szCs w:val="18"/>
        </w:rPr>
      </w:pPr>
    </w:p>
    <w:p w14:paraId="52776352" w14:textId="77777777" w:rsidR="00597A5D"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t>Aunque las refinerías chinas aumentaron su producción un 8,9 % interanual en julio, fue un retroceso frente al pico de junio, lo que indica una desaceleración en el procesamiento. A esto se suma un fuerte aumento en las exportaciones de productos refinados —más del 50 % en diésel y más del 18 % en gasolina— lo que sugiere un mercado doméstico saturado y un redireccionamiento del exceso hacia el exterior.</w:t>
      </w:r>
    </w:p>
    <w:p w14:paraId="492A2FE8" w14:textId="77777777" w:rsidR="00597A5D" w:rsidRPr="00932F2E" w:rsidRDefault="00597A5D" w:rsidP="00597A5D">
      <w:pPr>
        <w:shd w:val="clear" w:color="auto" w:fill="FFFFFF"/>
        <w:ind w:left="425"/>
        <w:jc w:val="both"/>
        <w:rPr>
          <w:rFonts w:ascii="Poppins" w:hAnsi="Poppins" w:cs="Poppins"/>
          <w:sz w:val="18"/>
          <w:szCs w:val="18"/>
        </w:rPr>
      </w:pPr>
    </w:p>
    <w:p w14:paraId="727CBF6E" w14:textId="77777777" w:rsidR="00597A5D" w:rsidRPr="00932F2E"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t>Además, se estima que China acumuló cerca de 530</w:t>
      </w:r>
      <w:r>
        <w:rPr>
          <w:rFonts w:ascii="Poppins" w:hAnsi="Poppins" w:cs="Poppins"/>
          <w:sz w:val="18"/>
          <w:szCs w:val="18"/>
        </w:rPr>
        <w:t xml:space="preserve"> mil</w:t>
      </w:r>
      <w:r w:rsidRPr="00932F2E">
        <w:rPr>
          <w:rFonts w:ascii="Poppins" w:hAnsi="Poppins" w:cs="Poppins"/>
          <w:sz w:val="18"/>
          <w:szCs w:val="18"/>
        </w:rPr>
        <w:t xml:space="preserve"> barriles diarios en reservas estratégicas y comerciales en julio, lo que le permitiría reducir sus importaciones si la demanda interna sigue débil. Este comportamiento, que combina acumulación de crudo y mayor exportación de refinados, posiciona a China como una “válvula de ajuste” en el mercado global, al desplazar su excedente hacia fuera y presionar los precios internacionales.</w:t>
      </w:r>
    </w:p>
    <w:p w14:paraId="36C8CB3C" w14:textId="77777777" w:rsidR="00597A5D"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lastRenderedPageBreak/>
        <w:t>Como resultado, el Brent y el WTI cerraron la semana con caídas de -0,25 % y -2,24 %, respectivamente. La percepción de que China no impulsará la demanda global como en ciclos anteriores llevó a bancos como Barclays y Goldman Sachs a advertir un sesgo bajista en sus proyecciones de precios para 2025, especialmente ante una oferta mundial ya holgada.</w:t>
      </w:r>
    </w:p>
    <w:p w14:paraId="50298268" w14:textId="77777777" w:rsidR="00597A5D" w:rsidRPr="00932F2E" w:rsidRDefault="00597A5D" w:rsidP="00597A5D">
      <w:pPr>
        <w:shd w:val="clear" w:color="auto" w:fill="FFFFFF"/>
        <w:ind w:left="425"/>
        <w:jc w:val="both"/>
        <w:rPr>
          <w:rFonts w:ascii="Poppins" w:hAnsi="Poppins" w:cs="Poppins"/>
          <w:sz w:val="18"/>
          <w:szCs w:val="18"/>
        </w:rPr>
      </w:pPr>
    </w:p>
    <w:p w14:paraId="637C9FCE" w14:textId="77777777" w:rsidR="00597A5D" w:rsidRPr="00932F2E" w:rsidRDefault="00597A5D" w:rsidP="00597A5D">
      <w:pPr>
        <w:pStyle w:val="Prrafodelista"/>
        <w:numPr>
          <w:ilvl w:val="0"/>
          <w:numId w:val="30"/>
        </w:numPr>
        <w:ind w:left="425"/>
        <w:contextualSpacing/>
        <w:jc w:val="both"/>
        <w:rPr>
          <w:rFonts w:ascii="Poppins" w:hAnsi="Poppins" w:cs="Poppins"/>
          <w:b/>
          <w:sz w:val="18"/>
          <w:szCs w:val="18"/>
        </w:rPr>
      </w:pPr>
      <w:r w:rsidRPr="00932F2E">
        <w:rPr>
          <w:rFonts w:ascii="Poppins" w:hAnsi="Poppins" w:cs="Poppins"/>
          <w:b/>
          <w:sz w:val="18"/>
          <w:szCs w:val="18"/>
        </w:rPr>
        <w:t xml:space="preserve">India reanuda interés por </w:t>
      </w:r>
      <w:proofErr w:type="spellStart"/>
      <w:r w:rsidRPr="00932F2E">
        <w:rPr>
          <w:rFonts w:ascii="Poppins" w:hAnsi="Poppins" w:cs="Poppins"/>
          <w:b/>
          <w:sz w:val="18"/>
          <w:szCs w:val="18"/>
        </w:rPr>
        <w:t>Urals</w:t>
      </w:r>
      <w:proofErr w:type="spellEnd"/>
      <w:r w:rsidRPr="00932F2E">
        <w:rPr>
          <w:rFonts w:ascii="Poppins" w:hAnsi="Poppins" w:cs="Poppins"/>
          <w:b/>
          <w:sz w:val="18"/>
          <w:szCs w:val="18"/>
        </w:rPr>
        <w:t>: descuentos se amplían y vuelven las consultas</w:t>
      </w:r>
    </w:p>
    <w:p w14:paraId="3F0B7B60" w14:textId="77777777" w:rsidR="00597A5D" w:rsidRDefault="00597A5D" w:rsidP="00597A5D">
      <w:pPr>
        <w:shd w:val="clear" w:color="auto" w:fill="FFFFFF"/>
        <w:ind w:left="425"/>
        <w:jc w:val="both"/>
        <w:rPr>
          <w:rFonts w:ascii="Poppins" w:hAnsi="Poppins" w:cs="Poppins"/>
          <w:sz w:val="18"/>
          <w:szCs w:val="18"/>
        </w:rPr>
      </w:pPr>
    </w:p>
    <w:p w14:paraId="3688EE0A" w14:textId="77777777" w:rsidR="00597A5D" w:rsidRDefault="00597A5D" w:rsidP="00597A5D">
      <w:pPr>
        <w:shd w:val="clear" w:color="auto" w:fill="FFFFFF"/>
        <w:ind w:left="425"/>
        <w:jc w:val="both"/>
        <w:rPr>
          <w:rFonts w:ascii="Poppins" w:hAnsi="Poppins" w:cs="Poppins"/>
          <w:sz w:val="18"/>
          <w:szCs w:val="18"/>
        </w:rPr>
      </w:pPr>
      <w:r w:rsidRPr="0004777D">
        <w:rPr>
          <w:rFonts w:ascii="Poppins" w:hAnsi="Poppins" w:cs="Poppins"/>
          <w:sz w:val="18"/>
          <w:szCs w:val="18"/>
        </w:rPr>
        <w:t xml:space="preserve">India, tercer mayor importador de crudo del mundo, retomó su interés por el </w:t>
      </w:r>
      <w:proofErr w:type="spellStart"/>
      <w:r w:rsidRPr="0004777D">
        <w:rPr>
          <w:rFonts w:ascii="Poppins" w:hAnsi="Poppins" w:cs="Poppins"/>
          <w:sz w:val="18"/>
          <w:szCs w:val="18"/>
        </w:rPr>
        <w:t>Urals</w:t>
      </w:r>
      <w:proofErr w:type="spellEnd"/>
      <w:r w:rsidRPr="0004777D">
        <w:rPr>
          <w:rFonts w:ascii="Poppins" w:hAnsi="Poppins" w:cs="Poppins"/>
          <w:sz w:val="18"/>
          <w:szCs w:val="18"/>
        </w:rPr>
        <w:t xml:space="preserve"> ruso tras una pausa en julio, cuando los diferenciales se habían estrechado demasiado frente a crudos competidores. Según fuentes de mercado, los descuentos spot se ampliaron a ~USD 2,7/b frente a Dubái, devolviendo atractivo a un crudo que se había encarecido hasta perder competitividad. El giro ocurre en paralelo a la cumbre Trump–Putin en Alaska, que mantuvo la expectativa de continuidad en los flujos de crudo ruso hacia Asia sin sanciones adicionales inmediatas.</w:t>
      </w:r>
    </w:p>
    <w:p w14:paraId="3E20B925" w14:textId="77777777" w:rsidR="00597A5D" w:rsidRPr="0004777D" w:rsidRDefault="00597A5D" w:rsidP="00597A5D">
      <w:pPr>
        <w:shd w:val="clear" w:color="auto" w:fill="FFFFFF"/>
        <w:ind w:left="425"/>
        <w:jc w:val="both"/>
        <w:rPr>
          <w:rFonts w:ascii="Poppins" w:hAnsi="Poppins" w:cs="Poppins"/>
          <w:sz w:val="18"/>
          <w:szCs w:val="18"/>
        </w:rPr>
      </w:pPr>
    </w:p>
    <w:p w14:paraId="086B8D2C" w14:textId="77777777" w:rsidR="00597A5D" w:rsidRDefault="00597A5D" w:rsidP="00597A5D">
      <w:pPr>
        <w:shd w:val="clear" w:color="auto" w:fill="FFFFFF"/>
        <w:ind w:left="425"/>
        <w:jc w:val="both"/>
        <w:rPr>
          <w:rFonts w:ascii="Poppins" w:hAnsi="Poppins" w:cs="Poppins"/>
          <w:sz w:val="18"/>
          <w:szCs w:val="18"/>
        </w:rPr>
      </w:pPr>
      <w:r w:rsidRPr="0004777D">
        <w:rPr>
          <w:rFonts w:ascii="Poppins" w:hAnsi="Poppins" w:cs="Poppins"/>
          <w:sz w:val="18"/>
          <w:szCs w:val="18"/>
        </w:rPr>
        <w:t xml:space="preserve">Desde que se intensificaron las sanciones occidentales en 2022, India se consolidó como principal comprador marítimo de petróleo ruso, absorbiendo entre 1,6 y 1,8 millones de barriles diarios de distintas calidades, con el </w:t>
      </w:r>
      <w:proofErr w:type="spellStart"/>
      <w:r w:rsidRPr="0004777D">
        <w:rPr>
          <w:rFonts w:ascii="Poppins" w:hAnsi="Poppins" w:cs="Poppins"/>
          <w:sz w:val="18"/>
          <w:szCs w:val="18"/>
        </w:rPr>
        <w:t>Urals</w:t>
      </w:r>
      <w:proofErr w:type="spellEnd"/>
      <w:r w:rsidRPr="0004777D">
        <w:rPr>
          <w:rFonts w:ascii="Poppins" w:hAnsi="Poppins" w:cs="Poppins"/>
          <w:sz w:val="18"/>
          <w:szCs w:val="18"/>
        </w:rPr>
        <w:t xml:space="preserve"> como referencia clave. Sin embargo, cuando los descuentos se redujeron en julio a apenas USD 1–1,5/b frente a Dubái, varias refinerías estatales —incluidas IOC, HPCL y BPCL— recortaron compras y recurrieron a </w:t>
      </w:r>
      <w:proofErr w:type="spellStart"/>
      <w:r w:rsidRPr="0004777D">
        <w:rPr>
          <w:rFonts w:ascii="Poppins" w:hAnsi="Poppins" w:cs="Poppins"/>
          <w:sz w:val="18"/>
          <w:szCs w:val="18"/>
        </w:rPr>
        <w:t>blends</w:t>
      </w:r>
      <w:proofErr w:type="spellEnd"/>
      <w:r w:rsidRPr="0004777D">
        <w:rPr>
          <w:rFonts w:ascii="Poppins" w:hAnsi="Poppins" w:cs="Poppins"/>
          <w:sz w:val="18"/>
          <w:szCs w:val="18"/>
        </w:rPr>
        <w:t xml:space="preserve"> alternativos de Oriente Medio y África Occidental. El retorno de spreads más amplios a USD 2,5–3/b frente a Dubái y USD 3–3,5/b frente a Brent devuelve competitividad al </w:t>
      </w:r>
      <w:proofErr w:type="spellStart"/>
      <w:r w:rsidRPr="0004777D">
        <w:rPr>
          <w:rFonts w:ascii="Poppins" w:hAnsi="Poppins" w:cs="Poppins"/>
          <w:sz w:val="18"/>
          <w:szCs w:val="18"/>
        </w:rPr>
        <w:t>Urals</w:t>
      </w:r>
      <w:proofErr w:type="spellEnd"/>
      <w:r w:rsidRPr="0004777D">
        <w:rPr>
          <w:rFonts w:ascii="Poppins" w:hAnsi="Poppins" w:cs="Poppins"/>
          <w:sz w:val="18"/>
          <w:szCs w:val="18"/>
        </w:rPr>
        <w:t xml:space="preserve"> frente a crudos saudíes, iraquíes o nigerianos.</w:t>
      </w:r>
    </w:p>
    <w:p w14:paraId="21138476" w14:textId="77777777" w:rsidR="00597A5D" w:rsidRPr="0004777D" w:rsidRDefault="00597A5D" w:rsidP="00597A5D">
      <w:pPr>
        <w:shd w:val="clear" w:color="auto" w:fill="FFFFFF"/>
        <w:ind w:left="425"/>
        <w:jc w:val="both"/>
        <w:rPr>
          <w:rFonts w:ascii="Poppins" w:hAnsi="Poppins" w:cs="Poppins"/>
          <w:sz w:val="18"/>
          <w:szCs w:val="18"/>
        </w:rPr>
      </w:pPr>
    </w:p>
    <w:p w14:paraId="04CD748B" w14:textId="77777777" w:rsidR="00597A5D"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t>El contexto geopolítico sigue siendo determinante. Aunque EE. UU. ha amenazado con sanciones secundarias a quienes compren petróleo ruso, India mantiene una postura pragmática. Nueva Delhi defiende que sus decisiones se basan en seguridad energética y precio, y continuará comprando siempre que no se violen sanciones directas del Consejo de Seguridad de la ONU. Para las refinerías indias, estos descuentos representan una forma de reducir costos de importación y mejorar márgenes de refinación, especialmente en un mercado interno con precios regulados.</w:t>
      </w:r>
    </w:p>
    <w:p w14:paraId="58FCAB85" w14:textId="77777777" w:rsidR="00597A5D" w:rsidRPr="00932F2E" w:rsidRDefault="00597A5D" w:rsidP="00597A5D">
      <w:pPr>
        <w:shd w:val="clear" w:color="auto" w:fill="FFFFFF"/>
        <w:ind w:left="425"/>
        <w:jc w:val="both"/>
        <w:rPr>
          <w:rFonts w:ascii="Poppins" w:hAnsi="Poppins" w:cs="Poppins"/>
          <w:sz w:val="18"/>
          <w:szCs w:val="18"/>
        </w:rPr>
      </w:pPr>
    </w:p>
    <w:p w14:paraId="704D01E7" w14:textId="77777777" w:rsidR="00597A5D" w:rsidRPr="00932F2E" w:rsidRDefault="00597A5D" w:rsidP="00597A5D">
      <w:pPr>
        <w:shd w:val="clear" w:color="auto" w:fill="FFFFFF"/>
        <w:ind w:left="425"/>
        <w:jc w:val="both"/>
        <w:rPr>
          <w:rFonts w:ascii="Poppins" w:hAnsi="Poppins" w:cs="Poppins"/>
          <w:sz w:val="18"/>
          <w:szCs w:val="18"/>
        </w:rPr>
      </w:pPr>
      <w:r w:rsidRPr="00932F2E">
        <w:rPr>
          <w:rFonts w:ascii="Poppins" w:hAnsi="Poppins" w:cs="Poppins"/>
          <w:sz w:val="18"/>
          <w:szCs w:val="18"/>
        </w:rPr>
        <w:t xml:space="preserve">Analistas de </w:t>
      </w:r>
      <w:proofErr w:type="spellStart"/>
      <w:r w:rsidRPr="00932F2E">
        <w:rPr>
          <w:rFonts w:ascii="Poppins" w:hAnsi="Poppins" w:cs="Poppins"/>
          <w:sz w:val="18"/>
          <w:szCs w:val="18"/>
        </w:rPr>
        <w:t>Rystad</w:t>
      </w:r>
      <w:proofErr w:type="spellEnd"/>
      <w:r w:rsidRPr="00932F2E">
        <w:rPr>
          <w:rFonts w:ascii="Poppins" w:hAnsi="Poppins" w:cs="Poppins"/>
          <w:sz w:val="18"/>
          <w:szCs w:val="18"/>
        </w:rPr>
        <w:t xml:space="preserve"> Energy y </w:t>
      </w:r>
      <w:proofErr w:type="spellStart"/>
      <w:r w:rsidRPr="00932F2E">
        <w:rPr>
          <w:rFonts w:ascii="Poppins" w:hAnsi="Poppins" w:cs="Poppins"/>
          <w:sz w:val="18"/>
          <w:szCs w:val="18"/>
        </w:rPr>
        <w:t>Kpler</w:t>
      </w:r>
      <w:proofErr w:type="spellEnd"/>
      <w:r w:rsidRPr="00932F2E">
        <w:rPr>
          <w:rFonts w:ascii="Poppins" w:hAnsi="Poppins" w:cs="Poppins"/>
          <w:sz w:val="18"/>
          <w:szCs w:val="18"/>
        </w:rPr>
        <w:t xml:space="preserve"> señalan que el regreso de India al </w:t>
      </w:r>
      <w:proofErr w:type="spellStart"/>
      <w:r w:rsidRPr="00932F2E">
        <w:rPr>
          <w:rFonts w:ascii="Poppins" w:hAnsi="Poppins" w:cs="Poppins"/>
          <w:sz w:val="18"/>
          <w:szCs w:val="18"/>
        </w:rPr>
        <w:t>Urals</w:t>
      </w:r>
      <w:proofErr w:type="spellEnd"/>
      <w:r w:rsidRPr="00932F2E">
        <w:rPr>
          <w:rFonts w:ascii="Poppins" w:hAnsi="Poppins" w:cs="Poppins"/>
          <w:sz w:val="18"/>
          <w:szCs w:val="18"/>
        </w:rPr>
        <w:t xml:space="preserve"> podría ayudar a sostener las exportaciones rusas en torno a los 4,5–5,0 millones de barriles diarios, mitigando la pérdida de ingresos de Moscú. A escala global, esto ejerce presión a la baja sobre los precios del crudo, ya que asegura una salida constante para el petróleo ruso, reduciendo el riesgo de interrupciones logísticas que en otros escenarios habrían impulsado los precios al alza</w:t>
      </w:r>
    </w:p>
    <w:p w14:paraId="554EED08" w14:textId="77777777" w:rsidR="00597A5D" w:rsidRDefault="00597A5D" w:rsidP="00597A5D">
      <w:pPr>
        <w:shd w:val="clear" w:color="auto" w:fill="FFFFFF"/>
        <w:ind w:left="425"/>
        <w:jc w:val="both"/>
        <w:rPr>
          <w:rFonts w:ascii="Poppins" w:hAnsi="Poppins" w:cs="Poppins"/>
          <w:sz w:val="18"/>
          <w:szCs w:val="18"/>
        </w:rPr>
      </w:pPr>
    </w:p>
    <w:p w14:paraId="4FE83E52" w14:textId="77777777" w:rsidR="00597A5D" w:rsidRPr="0004777D" w:rsidRDefault="00597A5D" w:rsidP="00597A5D">
      <w:pPr>
        <w:pStyle w:val="Prrafodelista"/>
        <w:numPr>
          <w:ilvl w:val="0"/>
          <w:numId w:val="30"/>
        </w:numPr>
        <w:ind w:left="425"/>
        <w:contextualSpacing/>
        <w:jc w:val="both"/>
        <w:rPr>
          <w:rFonts w:ascii="Poppins" w:hAnsi="Poppins" w:cs="Poppins"/>
          <w:b/>
          <w:sz w:val="18"/>
          <w:szCs w:val="18"/>
        </w:rPr>
      </w:pPr>
      <w:r w:rsidRPr="0004777D">
        <w:rPr>
          <w:rFonts w:ascii="Poppins" w:hAnsi="Poppins" w:cs="Poppins"/>
          <w:b/>
          <w:sz w:val="18"/>
          <w:szCs w:val="18"/>
        </w:rPr>
        <w:t>Exceso de oferta marcaría el 2025 mientras OPEP proyecta un mercado más ajustado hacia 2026</w:t>
      </w:r>
    </w:p>
    <w:p w14:paraId="1BABB7A4" w14:textId="77777777" w:rsidR="00597A5D" w:rsidRDefault="00597A5D" w:rsidP="00597A5D">
      <w:pPr>
        <w:shd w:val="clear" w:color="auto" w:fill="FFFFFF"/>
        <w:jc w:val="both"/>
        <w:rPr>
          <w:rFonts w:ascii="Poppins" w:hAnsi="Poppins" w:cs="Poppins"/>
          <w:sz w:val="18"/>
          <w:szCs w:val="18"/>
        </w:rPr>
      </w:pPr>
    </w:p>
    <w:p w14:paraId="25B0DEFA" w14:textId="77777777" w:rsidR="00597A5D" w:rsidRDefault="00597A5D" w:rsidP="00597A5D">
      <w:pPr>
        <w:shd w:val="clear" w:color="auto" w:fill="FFFFFF"/>
        <w:ind w:left="425"/>
        <w:jc w:val="both"/>
        <w:rPr>
          <w:rFonts w:ascii="Poppins" w:hAnsi="Poppins" w:cs="Poppins"/>
          <w:sz w:val="18"/>
          <w:szCs w:val="18"/>
        </w:rPr>
      </w:pPr>
      <w:r w:rsidRPr="0004777D">
        <w:rPr>
          <w:rFonts w:ascii="Poppins" w:hAnsi="Poppins" w:cs="Poppins"/>
          <w:sz w:val="18"/>
          <w:szCs w:val="18"/>
        </w:rPr>
        <w:t xml:space="preserve">El mercado petrolero internacional recibió esta semana una serie de reportes divergentes sobre la evolución de la oferta y demanda de crudo. La Agencia Internacional de Energía (AIE), en su </w:t>
      </w:r>
      <w:proofErr w:type="spellStart"/>
      <w:r w:rsidRPr="0004777D">
        <w:rPr>
          <w:rFonts w:ascii="Poppins" w:hAnsi="Poppins" w:cs="Poppins"/>
          <w:sz w:val="18"/>
          <w:szCs w:val="18"/>
        </w:rPr>
        <w:t>Oil</w:t>
      </w:r>
      <w:proofErr w:type="spellEnd"/>
      <w:r w:rsidRPr="0004777D">
        <w:rPr>
          <w:rFonts w:ascii="Poppins" w:hAnsi="Poppins" w:cs="Poppins"/>
          <w:sz w:val="18"/>
          <w:szCs w:val="18"/>
        </w:rPr>
        <w:t xml:space="preserve"> </w:t>
      </w:r>
      <w:proofErr w:type="spellStart"/>
      <w:r w:rsidRPr="0004777D">
        <w:rPr>
          <w:rFonts w:ascii="Poppins" w:hAnsi="Poppins" w:cs="Poppins"/>
          <w:sz w:val="18"/>
          <w:szCs w:val="18"/>
        </w:rPr>
        <w:t>Market</w:t>
      </w:r>
      <w:proofErr w:type="spellEnd"/>
      <w:r w:rsidRPr="0004777D">
        <w:rPr>
          <w:rFonts w:ascii="Poppins" w:hAnsi="Poppins" w:cs="Poppins"/>
          <w:sz w:val="18"/>
          <w:szCs w:val="18"/>
        </w:rPr>
        <w:t xml:space="preserve"> </w:t>
      </w:r>
      <w:proofErr w:type="spellStart"/>
      <w:r w:rsidRPr="0004777D">
        <w:rPr>
          <w:rFonts w:ascii="Poppins" w:hAnsi="Poppins" w:cs="Poppins"/>
          <w:sz w:val="18"/>
          <w:szCs w:val="18"/>
        </w:rPr>
        <w:t>Report</w:t>
      </w:r>
      <w:proofErr w:type="spellEnd"/>
      <w:r w:rsidRPr="0004777D">
        <w:rPr>
          <w:rFonts w:ascii="Poppins" w:hAnsi="Poppins" w:cs="Poppins"/>
          <w:sz w:val="18"/>
          <w:szCs w:val="18"/>
        </w:rPr>
        <w:t xml:space="preserve"> de agosto 2025 (publicado el 13/08/2025), elevó su previsión de crecimiento de la oferta mundial a +2,5 millones de barriles diarios (Mb/d) para 2025, frente a los +2,1 Mb/d proyectados en julio. Al mismo tiempo, redujo su previsión de </w:t>
      </w:r>
      <w:r w:rsidRPr="0004777D">
        <w:rPr>
          <w:rFonts w:ascii="Poppins" w:hAnsi="Poppins" w:cs="Poppins"/>
          <w:sz w:val="18"/>
          <w:szCs w:val="18"/>
        </w:rPr>
        <w:lastRenderedPageBreak/>
        <w:t>crecimiento de la demanda a +680 kb/d en 2025 y +700 kb/d en 2026, advirtiendo sobre un mercado “inflado” y con riesgo de superávit prolongado.</w:t>
      </w:r>
    </w:p>
    <w:p w14:paraId="0D66F2D7" w14:textId="77777777" w:rsidR="00597A5D" w:rsidRPr="0004777D" w:rsidRDefault="00597A5D" w:rsidP="00597A5D">
      <w:pPr>
        <w:shd w:val="clear" w:color="auto" w:fill="FFFFFF"/>
        <w:ind w:left="425"/>
        <w:jc w:val="both"/>
        <w:rPr>
          <w:rFonts w:ascii="Poppins" w:hAnsi="Poppins" w:cs="Poppins"/>
          <w:sz w:val="18"/>
          <w:szCs w:val="18"/>
        </w:rPr>
      </w:pPr>
    </w:p>
    <w:p w14:paraId="417EE9AA" w14:textId="77777777" w:rsidR="00597A5D" w:rsidRDefault="00597A5D" w:rsidP="00597A5D">
      <w:pPr>
        <w:shd w:val="clear" w:color="auto" w:fill="FFFFFF"/>
        <w:ind w:left="425"/>
        <w:jc w:val="both"/>
        <w:rPr>
          <w:rFonts w:ascii="Poppins" w:hAnsi="Poppins" w:cs="Poppins"/>
          <w:sz w:val="18"/>
          <w:szCs w:val="18"/>
        </w:rPr>
      </w:pPr>
      <w:r w:rsidRPr="0004777D">
        <w:rPr>
          <w:rFonts w:ascii="Poppins" w:hAnsi="Poppins" w:cs="Poppins"/>
          <w:sz w:val="18"/>
          <w:szCs w:val="18"/>
        </w:rPr>
        <w:t xml:space="preserve">En contraste, la OPEP, en su </w:t>
      </w:r>
      <w:proofErr w:type="spellStart"/>
      <w:r w:rsidRPr="0004777D">
        <w:rPr>
          <w:rFonts w:ascii="Poppins" w:hAnsi="Poppins" w:cs="Poppins"/>
          <w:sz w:val="18"/>
          <w:szCs w:val="18"/>
        </w:rPr>
        <w:t>Monthly</w:t>
      </w:r>
      <w:proofErr w:type="spellEnd"/>
      <w:r w:rsidRPr="0004777D">
        <w:rPr>
          <w:rFonts w:ascii="Poppins" w:hAnsi="Poppins" w:cs="Poppins"/>
          <w:sz w:val="18"/>
          <w:szCs w:val="18"/>
        </w:rPr>
        <w:t xml:space="preserve"> </w:t>
      </w:r>
      <w:proofErr w:type="spellStart"/>
      <w:r w:rsidRPr="0004777D">
        <w:rPr>
          <w:rFonts w:ascii="Poppins" w:hAnsi="Poppins" w:cs="Poppins"/>
          <w:sz w:val="18"/>
          <w:szCs w:val="18"/>
        </w:rPr>
        <w:t>Oil</w:t>
      </w:r>
      <w:proofErr w:type="spellEnd"/>
      <w:r w:rsidRPr="0004777D">
        <w:rPr>
          <w:rFonts w:ascii="Poppins" w:hAnsi="Poppins" w:cs="Poppins"/>
          <w:sz w:val="18"/>
          <w:szCs w:val="18"/>
        </w:rPr>
        <w:t xml:space="preserve"> </w:t>
      </w:r>
      <w:proofErr w:type="spellStart"/>
      <w:r w:rsidRPr="0004777D">
        <w:rPr>
          <w:rFonts w:ascii="Poppins" w:hAnsi="Poppins" w:cs="Poppins"/>
          <w:sz w:val="18"/>
          <w:szCs w:val="18"/>
        </w:rPr>
        <w:t>Market</w:t>
      </w:r>
      <w:proofErr w:type="spellEnd"/>
      <w:r w:rsidRPr="0004777D">
        <w:rPr>
          <w:rFonts w:ascii="Poppins" w:hAnsi="Poppins" w:cs="Poppins"/>
          <w:sz w:val="18"/>
          <w:szCs w:val="18"/>
        </w:rPr>
        <w:t xml:space="preserve"> </w:t>
      </w:r>
      <w:proofErr w:type="spellStart"/>
      <w:r w:rsidRPr="0004777D">
        <w:rPr>
          <w:rFonts w:ascii="Poppins" w:hAnsi="Poppins" w:cs="Poppins"/>
          <w:sz w:val="18"/>
          <w:szCs w:val="18"/>
        </w:rPr>
        <w:t>Report</w:t>
      </w:r>
      <w:proofErr w:type="spellEnd"/>
      <w:r w:rsidRPr="0004777D">
        <w:rPr>
          <w:rFonts w:ascii="Poppins" w:hAnsi="Poppins" w:cs="Poppins"/>
          <w:sz w:val="18"/>
          <w:szCs w:val="18"/>
        </w:rPr>
        <w:t xml:space="preserve"> del 12/08/2025, mantuvo sin cambios su proyección de demanda global de crudo para 2025 en +1,28 Mb/d, pero elevó en +100 kb/d su previsión de crecimiento para 2026, hasta +1,38 Mb/d. El cartel también recortó el crecimiento de la oferta no OPEP+ a +630 kb/d para 2026, resaltando que EE. UU. y algunos productores latinoamericanos muestran señales de desaceleración. Para el bloque, el mercado tenderá a un mayor equilibrio en el mediano plazo.</w:t>
      </w:r>
    </w:p>
    <w:p w14:paraId="3CD6E424" w14:textId="77777777" w:rsidR="00597A5D" w:rsidRPr="0004777D" w:rsidRDefault="00597A5D" w:rsidP="00597A5D">
      <w:pPr>
        <w:shd w:val="clear" w:color="auto" w:fill="FFFFFF"/>
        <w:ind w:left="425"/>
        <w:jc w:val="both"/>
        <w:rPr>
          <w:rFonts w:ascii="Poppins" w:hAnsi="Poppins" w:cs="Poppins"/>
          <w:sz w:val="18"/>
          <w:szCs w:val="18"/>
        </w:rPr>
      </w:pPr>
    </w:p>
    <w:p w14:paraId="1AFB1A90" w14:textId="77777777" w:rsidR="00597A5D" w:rsidRDefault="00597A5D" w:rsidP="00597A5D">
      <w:pPr>
        <w:shd w:val="clear" w:color="auto" w:fill="FFFFFF"/>
        <w:ind w:left="425"/>
        <w:jc w:val="both"/>
        <w:rPr>
          <w:rFonts w:ascii="Poppins" w:hAnsi="Poppins" w:cs="Poppins"/>
          <w:sz w:val="18"/>
          <w:szCs w:val="18"/>
        </w:rPr>
      </w:pPr>
      <w:r w:rsidRPr="0004777D">
        <w:rPr>
          <w:rFonts w:ascii="Poppins" w:hAnsi="Poppins" w:cs="Poppins"/>
          <w:sz w:val="18"/>
          <w:szCs w:val="18"/>
        </w:rPr>
        <w:t>Por su parte, la Administración de Información Energética de EE. UU. (EIA), en su Short-</w:t>
      </w:r>
      <w:proofErr w:type="spellStart"/>
      <w:r w:rsidRPr="0004777D">
        <w:rPr>
          <w:rFonts w:ascii="Poppins" w:hAnsi="Poppins" w:cs="Poppins"/>
          <w:sz w:val="18"/>
          <w:szCs w:val="18"/>
        </w:rPr>
        <w:t>Term</w:t>
      </w:r>
      <w:proofErr w:type="spellEnd"/>
      <w:r w:rsidRPr="0004777D">
        <w:rPr>
          <w:rFonts w:ascii="Poppins" w:hAnsi="Poppins" w:cs="Poppins"/>
          <w:sz w:val="18"/>
          <w:szCs w:val="18"/>
        </w:rPr>
        <w:t xml:space="preserve"> Energy Outlook de agosto 2025 (publicado el 12/08/2025), proyectó que la producción estadounidense alcanzará un récord de 13,4 Mb/d en 2025, antes de estabilizarse en 2026. El organismo también anticipa que el Brent podría caer por debajo de 60 USD/barril en el cuarto trimestre de 2025, reflejando una oferta global abundante y niveles de inventarios más elevados.</w:t>
      </w:r>
    </w:p>
    <w:p w14:paraId="2E36C5DA" w14:textId="77777777" w:rsidR="00597A5D" w:rsidRPr="0004777D" w:rsidRDefault="00597A5D" w:rsidP="00597A5D">
      <w:pPr>
        <w:shd w:val="clear" w:color="auto" w:fill="FFFFFF"/>
        <w:ind w:left="425"/>
        <w:jc w:val="both"/>
        <w:rPr>
          <w:rFonts w:ascii="Poppins" w:hAnsi="Poppins" w:cs="Poppins"/>
          <w:sz w:val="18"/>
          <w:szCs w:val="18"/>
        </w:rPr>
      </w:pPr>
    </w:p>
    <w:p w14:paraId="0651173D" w14:textId="77777777" w:rsidR="00597A5D" w:rsidRDefault="00597A5D" w:rsidP="00597A5D">
      <w:pPr>
        <w:shd w:val="clear" w:color="auto" w:fill="FFFFFF"/>
        <w:ind w:left="425"/>
        <w:jc w:val="both"/>
        <w:rPr>
          <w:rFonts w:ascii="Poppins" w:hAnsi="Poppins" w:cs="Poppins"/>
          <w:sz w:val="18"/>
          <w:szCs w:val="18"/>
        </w:rPr>
      </w:pPr>
      <w:r w:rsidRPr="0004777D">
        <w:rPr>
          <w:rFonts w:ascii="Poppins" w:hAnsi="Poppins" w:cs="Poppins"/>
          <w:sz w:val="18"/>
          <w:szCs w:val="18"/>
        </w:rPr>
        <w:t>En línea con esta visión bajista, UBS redujo su proyección del Brent de 68 a 62 USD/barril para fines de 2025. El banco citó como factores clave la resiliencia de países sancionados como Rusia, Irán y Venezuela, el aumento de la producción en Sudamérica y la desaceleración de la demanda en India</w:t>
      </w:r>
      <w:r>
        <w:rPr>
          <w:rFonts w:ascii="Poppins" w:hAnsi="Poppins" w:cs="Poppins"/>
          <w:sz w:val="18"/>
          <w:szCs w:val="18"/>
        </w:rPr>
        <w:t>.</w:t>
      </w:r>
    </w:p>
    <w:p w14:paraId="6FF526DF" w14:textId="77777777" w:rsidR="00597A5D" w:rsidRPr="0004777D" w:rsidRDefault="00597A5D" w:rsidP="00597A5D">
      <w:pPr>
        <w:shd w:val="clear" w:color="auto" w:fill="FFFFFF"/>
        <w:ind w:left="425"/>
        <w:jc w:val="both"/>
        <w:rPr>
          <w:rFonts w:ascii="Poppins" w:hAnsi="Poppins" w:cs="Poppins"/>
          <w:sz w:val="18"/>
          <w:szCs w:val="18"/>
        </w:rPr>
      </w:pPr>
    </w:p>
    <w:p w14:paraId="2AE11D31" w14:textId="77777777" w:rsidR="00597A5D" w:rsidRPr="0004777D" w:rsidRDefault="00597A5D" w:rsidP="00597A5D">
      <w:pPr>
        <w:shd w:val="clear" w:color="auto" w:fill="FFFFFF"/>
        <w:ind w:left="425"/>
        <w:jc w:val="both"/>
        <w:rPr>
          <w:rFonts w:ascii="Poppins" w:hAnsi="Poppins" w:cs="Poppins"/>
          <w:sz w:val="18"/>
          <w:szCs w:val="18"/>
        </w:rPr>
      </w:pPr>
      <w:r w:rsidRPr="0004777D">
        <w:rPr>
          <w:rFonts w:ascii="Poppins" w:hAnsi="Poppins" w:cs="Poppins"/>
          <w:sz w:val="18"/>
          <w:szCs w:val="18"/>
        </w:rPr>
        <w:t xml:space="preserve">En conjunto, los reportes de agosto muestran un contraste marcado: mientras la AIE, la EIA y UBS anticipan un mercado </w:t>
      </w:r>
      <w:proofErr w:type="spellStart"/>
      <w:r w:rsidRPr="0004777D">
        <w:rPr>
          <w:rFonts w:ascii="Poppins" w:hAnsi="Poppins" w:cs="Poppins"/>
          <w:sz w:val="18"/>
          <w:szCs w:val="18"/>
        </w:rPr>
        <w:t>sobreabastecido</w:t>
      </w:r>
      <w:proofErr w:type="spellEnd"/>
      <w:r w:rsidRPr="0004777D">
        <w:rPr>
          <w:rFonts w:ascii="Poppins" w:hAnsi="Poppins" w:cs="Poppins"/>
          <w:sz w:val="18"/>
          <w:szCs w:val="18"/>
        </w:rPr>
        <w:t xml:space="preserve"> en 2025 con presión bajista sobre los precios, la OPEP proyecta un 2026 más ajustado, apoyado en la fortaleza de la demanda en economías emergentes y una ralentización en la oferta rival.</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lastRenderedPageBreak/>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7AE83578" w14:textId="39584590" w:rsidR="006A59A3" w:rsidRDefault="006A59A3" w:rsidP="00D87FA1">
      <w:pPr>
        <w:ind w:left="426"/>
        <w:jc w:val="both"/>
        <w:rPr>
          <w:rFonts w:ascii="Poppins" w:hAnsi="Poppins" w:cs="Poppins"/>
          <w:sz w:val="18"/>
          <w:szCs w:val="18"/>
        </w:rPr>
      </w:pPr>
    </w:p>
    <w:p w14:paraId="0A7180A7" w14:textId="3F614A41" w:rsidR="006A59A3" w:rsidRDefault="006A59A3" w:rsidP="00D87FA1">
      <w:pPr>
        <w:ind w:left="426"/>
        <w:jc w:val="both"/>
        <w:rPr>
          <w:rFonts w:ascii="Poppins" w:hAnsi="Poppins" w:cs="Poppins"/>
          <w:sz w:val="18"/>
          <w:szCs w:val="18"/>
        </w:rPr>
      </w:pPr>
    </w:p>
    <w:p w14:paraId="126A7350" w14:textId="18D6736B" w:rsidR="006A59A3" w:rsidRDefault="006A59A3" w:rsidP="00D87FA1">
      <w:pPr>
        <w:ind w:left="426"/>
        <w:jc w:val="both"/>
        <w:rPr>
          <w:rFonts w:ascii="Poppins" w:hAnsi="Poppins" w:cs="Poppins"/>
          <w:sz w:val="18"/>
          <w:szCs w:val="18"/>
        </w:rPr>
      </w:pPr>
    </w:p>
    <w:p w14:paraId="7616A1EA" w14:textId="77777777" w:rsidR="006A59A3" w:rsidRDefault="006A59A3" w:rsidP="00D87FA1">
      <w:pPr>
        <w:ind w:left="426"/>
        <w:jc w:val="both"/>
        <w:rPr>
          <w:rFonts w:ascii="Poppins" w:hAnsi="Poppins" w:cs="Poppins"/>
          <w:sz w:val="18"/>
          <w:szCs w:val="18"/>
        </w:rPr>
      </w:pPr>
    </w:p>
    <w:p w14:paraId="5200D66E" w14:textId="052F1767" w:rsidR="000A6914" w:rsidRDefault="000A6914" w:rsidP="00D87FA1">
      <w:pPr>
        <w:ind w:left="426"/>
        <w:jc w:val="both"/>
        <w:rPr>
          <w:rFonts w:ascii="Poppins" w:hAnsi="Poppins" w:cs="Poppins"/>
          <w:sz w:val="18"/>
          <w:szCs w:val="18"/>
        </w:rPr>
      </w:pPr>
    </w:p>
    <w:p w14:paraId="7AA16AEF" w14:textId="1D904C96" w:rsidR="000A6914" w:rsidRDefault="000A6914" w:rsidP="00D87FA1">
      <w:pPr>
        <w:ind w:left="426"/>
        <w:jc w:val="both"/>
        <w:rPr>
          <w:rFonts w:ascii="Poppins" w:hAnsi="Poppins" w:cs="Poppins"/>
          <w:sz w:val="18"/>
          <w:szCs w:val="18"/>
        </w:rPr>
      </w:pPr>
    </w:p>
    <w:p w14:paraId="43D6D069" w14:textId="230635A5" w:rsidR="000A6914" w:rsidRDefault="000A6914" w:rsidP="00D87FA1">
      <w:pPr>
        <w:ind w:left="426"/>
        <w:jc w:val="both"/>
        <w:rPr>
          <w:rFonts w:ascii="Poppins" w:hAnsi="Poppins" w:cs="Poppins"/>
          <w:sz w:val="18"/>
          <w:szCs w:val="18"/>
        </w:rPr>
      </w:pPr>
    </w:p>
    <w:p w14:paraId="36B6CEC0" w14:textId="1E265E37" w:rsidR="000A6914" w:rsidRDefault="000A6914" w:rsidP="00D87FA1">
      <w:pPr>
        <w:ind w:left="426"/>
        <w:jc w:val="both"/>
        <w:rPr>
          <w:rFonts w:ascii="Poppins" w:hAnsi="Poppins" w:cs="Poppins"/>
          <w:sz w:val="18"/>
          <w:szCs w:val="18"/>
        </w:rPr>
      </w:pPr>
    </w:p>
    <w:p w14:paraId="40F91BE1" w14:textId="2FAF4D8C" w:rsidR="000A6914" w:rsidRDefault="000A6914" w:rsidP="00D87FA1">
      <w:pPr>
        <w:ind w:left="426"/>
        <w:jc w:val="both"/>
        <w:rPr>
          <w:rFonts w:ascii="Poppins" w:hAnsi="Poppins" w:cs="Poppins"/>
          <w:sz w:val="18"/>
          <w:szCs w:val="18"/>
        </w:rPr>
      </w:pPr>
    </w:p>
    <w:p w14:paraId="733EC049" w14:textId="496394D9" w:rsidR="000A6914" w:rsidRDefault="000A6914" w:rsidP="00D87FA1">
      <w:pPr>
        <w:ind w:left="426"/>
        <w:jc w:val="both"/>
        <w:rPr>
          <w:rFonts w:ascii="Poppins" w:hAnsi="Poppins" w:cs="Poppins"/>
          <w:sz w:val="18"/>
          <w:szCs w:val="18"/>
        </w:rPr>
      </w:pPr>
    </w:p>
    <w:p w14:paraId="0C522B11" w14:textId="3B5AF534" w:rsidR="000A6914" w:rsidRDefault="000A6914" w:rsidP="00D87FA1">
      <w:pPr>
        <w:ind w:left="426"/>
        <w:jc w:val="both"/>
        <w:rPr>
          <w:rFonts w:ascii="Poppins" w:hAnsi="Poppins" w:cs="Poppins"/>
          <w:sz w:val="18"/>
          <w:szCs w:val="18"/>
        </w:rPr>
      </w:pPr>
    </w:p>
    <w:p w14:paraId="2B7D9A7E" w14:textId="0D5590CD" w:rsidR="003310E5" w:rsidRDefault="003310E5" w:rsidP="00D87FA1">
      <w:pPr>
        <w:ind w:left="426"/>
        <w:jc w:val="both"/>
        <w:rPr>
          <w:rFonts w:ascii="Poppins" w:hAnsi="Poppins" w:cs="Poppins"/>
          <w:sz w:val="18"/>
          <w:szCs w:val="18"/>
        </w:rPr>
      </w:pPr>
    </w:p>
    <w:p w14:paraId="26A0AE03" w14:textId="11FD79B6" w:rsidR="00597A5D" w:rsidRDefault="00597A5D" w:rsidP="00D87FA1">
      <w:pPr>
        <w:ind w:left="426"/>
        <w:jc w:val="both"/>
        <w:rPr>
          <w:rFonts w:ascii="Poppins" w:hAnsi="Poppins" w:cs="Poppins"/>
          <w:sz w:val="18"/>
          <w:szCs w:val="18"/>
        </w:rPr>
      </w:pPr>
    </w:p>
    <w:p w14:paraId="4432EA52" w14:textId="77777777" w:rsidR="00597A5D" w:rsidRDefault="00597A5D" w:rsidP="00D87FA1">
      <w:pPr>
        <w:ind w:left="426"/>
        <w:jc w:val="both"/>
        <w:rPr>
          <w:rFonts w:ascii="Poppins" w:hAnsi="Poppins" w:cs="Poppins"/>
          <w:sz w:val="18"/>
          <w:szCs w:val="18"/>
        </w:rPr>
      </w:pPr>
    </w:p>
    <w:p w14:paraId="2EEE9601" w14:textId="77777777" w:rsidR="00597A5D" w:rsidRDefault="00597A5D" w:rsidP="00D87FA1">
      <w:pPr>
        <w:ind w:left="426"/>
        <w:jc w:val="both"/>
        <w:rPr>
          <w:rFonts w:ascii="Poppins" w:hAnsi="Poppins" w:cs="Poppins"/>
          <w:sz w:val="18"/>
          <w:szCs w:val="18"/>
        </w:rPr>
      </w:pPr>
    </w:p>
    <w:p w14:paraId="6F19B019" w14:textId="478591D6" w:rsidR="003310E5" w:rsidRDefault="003310E5" w:rsidP="00D87FA1">
      <w:pPr>
        <w:ind w:left="426"/>
        <w:jc w:val="both"/>
        <w:rPr>
          <w:rFonts w:ascii="Poppins" w:hAnsi="Poppins" w:cs="Poppins"/>
          <w:sz w:val="18"/>
          <w:szCs w:val="18"/>
        </w:rPr>
      </w:pPr>
    </w:p>
    <w:p w14:paraId="6A38A82A" w14:textId="1A9842E7" w:rsidR="003310E5" w:rsidRDefault="003310E5" w:rsidP="00D87FA1">
      <w:pPr>
        <w:ind w:left="426"/>
        <w:jc w:val="both"/>
        <w:rPr>
          <w:rFonts w:ascii="Poppins" w:hAnsi="Poppins" w:cs="Poppins"/>
          <w:sz w:val="18"/>
          <w:szCs w:val="18"/>
        </w:rPr>
      </w:pPr>
    </w:p>
    <w:p w14:paraId="5E4B641E" w14:textId="77777777" w:rsidR="003310E5" w:rsidRDefault="003310E5" w:rsidP="00D87FA1">
      <w:pPr>
        <w:ind w:left="426"/>
        <w:jc w:val="both"/>
        <w:rPr>
          <w:rFonts w:ascii="Poppins" w:hAnsi="Poppins" w:cs="Poppins"/>
          <w:sz w:val="18"/>
          <w:szCs w:val="18"/>
        </w:rPr>
      </w:pPr>
    </w:p>
    <w:p w14:paraId="1F0D15AD" w14:textId="54055FAB" w:rsidR="000A6914" w:rsidRDefault="000A6914" w:rsidP="00D87FA1">
      <w:pPr>
        <w:ind w:left="426"/>
        <w:jc w:val="both"/>
        <w:rPr>
          <w:rFonts w:ascii="Poppins" w:hAnsi="Poppins" w:cs="Poppins"/>
          <w:sz w:val="18"/>
          <w:szCs w:val="18"/>
        </w:rPr>
      </w:pPr>
    </w:p>
    <w:p w14:paraId="7FD16913" w14:textId="70543642" w:rsidR="004D51A4" w:rsidRDefault="004D51A4" w:rsidP="00D87FA1">
      <w:pPr>
        <w:ind w:left="426"/>
        <w:jc w:val="both"/>
        <w:rPr>
          <w:rFonts w:ascii="Poppins" w:hAnsi="Poppins" w:cs="Poppins"/>
          <w:sz w:val="18"/>
          <w:szCs w:val="18"/>
        </w:rPr>
      </w:pPr>
    </w:p>
    <w:p w14:paraId="69B28673" w14:textId="77777777" w:rsidR="00597A5D" w:rsidRDefault="00597A5D"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519AA9C9"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4748A9">
        <w:rPr>
          <w:rFonts w:ascii="Poppins" w:hAnsi="Poppins" w:cs="Poppins"/>
          <w:sz w:val="18"/>
          <w:szCs w:val="18"/>
        </w:rPr>
        <w:t>1</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70513D">
        <w:rPr>
          <w:rFonts w:ascii="Poppins" w:hAnsi="Poppins" w:cs="Poppins"/>
          <w:sz w:val="18"/>
          <w:szCs w:val="18"/>
        </w:rPr>
        <w:t>7</w:t>
      </w:r>
      <w:r w:rsidR="004748A9" w:rsidRPr="00581B20">
        <w:rPr>
          <w:rFonts w:ascii="Poppins" w:hAnsi="Poppins" w:cs="Poppins"/>
          <w:sz w:val="18"/>
          <w:szCs w:val="18"/>
        </w:rPr>
        <w:t xml:space="preserve"> de </w:t>
      </w:r>
      <w:r w:rsidR="0070513D">
        <w:rPr>
          <w:rFonts w:ascii="Poppins" w:hAnsi="Poppins" w:cs="Poppins"/>
          <w:sz w:val="18"/>
          <w:szCs w:val="18"/>
        </w:rPr>
        <w:t>junio</w:t>
      </w:r>
      <w:r w:rsidR="004748A9" w:rsidRPr="00581B20">
        <w:rPr>
          <w:rFonts w:ascii="Poppins" w:hAnsi="Poppins" w:cs="Poppins"/>
          <w:sz w:val="18"/>
          <w:szCs w:val="18"/>
        </w:rPr>
        <w:t xml:space="preserve"> de 2025 hasta el </w:t>
      </w:r>
      <w:r w:rsidR="0070513D">
        <w:rPr>
          <w:rFonts w:ascii="Poppins" w:hAnsi="Poppins" w:cs="Poppins"/>
          <w:sz w:val="18"/>
          <w:szCs w:val="18"/>
        </w:rPr>
        <w:t>28</w:t>
      </w:r>
      <w:r w:rsidR="004748A9" w:rsidRPr="00581B20">
        <w:rPr>
          <w:rFonts w:ascii="Poppins" w:hAnsi="Poppins" w:cs="Poppins"/>
          <w:sz w:val="18"/>
          <w:szCs w:val="18"/>
        </w:rPr>
        <w:t xml:space="preserve"> de </w:t>
      </w:r>
      <w:r w:rsidR="0070513D">
        <w:rPr>
          <w:rFonts w:ascii="Poppins" w:hAnsi="Poppins" w:cs="Poppins"/>
          <w:sz w:val="18"/>
          <w:szCs w:val="18"/>
        </w:rPr>
        <w:t>agosto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7660ED2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25</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sidR="0070513D">
        <w:rPr>
          <w:rFonts w:ascii="Poppins" w:hAnsi="Poppins" w:cs="Poppins"/>
          <w:sz w:val="18"/>
          <w:szCs w:val="18"/>
        </w:rPr>
        <w:t>01</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 hasta el jueves 2</w:t>
      </w:r>
      <w:r w:rsidR="0070513D">
        <w:rPr>
          <w:rFonts w:ascii="Poppins" w:hAnsi="Poppins" w:cs="Poppins"/>
          <w:sz w:val="18"/>
          <w:szCs w:val="18"/>
        </w:rPr>
        <w:t>8</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7F6FA146"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70513D">
        <w:rPr>
          <w:rFonts w:ascii="Poppins" w:hAnsi="Poppins" w:cs="Poppins"/>
          <w:sz w:val="18"/>
          <w:szCs w:val="18"/>
        </w:rPr>
        <w:t xml:space="preserve"> y </w:t>
      </w:r>
      <w:r w:rsidR="0070513D" w:rsidRPr="0096213B">
        <w:rPr>
          <w:rFonts w:ascii="Poppins" w:hAnsi="Poppins" w:cs="Poppins"/>
          <w:sz w:val="18"/>
          <w:szCs w:val="18"/>
        </w:rPr>
        <w:t xml:space="preserve">Osinergmin </w:t>
      </w:r>
      <w:proofErr w:type="spellStart"/>
      <w:r w:rsidR="0070513D" w:rsidRPr="0096213B">
        <w:rPr>
          <w:rFonts w:ascii="Poppins" w:hAnsi="Poppins" w:cs="Poppins"/>
          <w:sz w:val="18"/>
          <w:szCs w:val="18"/>
        </w:rPr>
        <w:t>N°</w:t>
      </w:r>
      <w:proofErr w:type="spellEnd"/>
      <w:r w:rsidR="0070513D" w:rsidRPr="0096213B">
        <w:rPr>
          <w:rFonts w:ascii="Poppins" w:hAnsi="Poppins" w:cs="Poppins"/>
          <w:sz w:val="18"/>
          <w:szCs w:val="18"/>
        </w:rPr>
        <w:t xml:space="preserve"> </w:t>
      </w:r>
      <w:r w:rsidR="0070513D">
        <w:rPr>
          <w:rFonts w:ascii="Poppins" w:hAnsi="Poppins" w:cs="Poppins"/>
          <w:sz w:val="18"/>
          <w:szCs w:val="18"/>
        </w:rPr>
        <w:t>025</w:t>
      </w:r>
      <w:r w:rsidR="0070513D" w:rsidRPr="0096213B">
        <w:rPr>
          <w:rFonts w:ascii="Poppins" w:hAnsi="Poppins" w:cs="Poppins"/>
          <w:sz w:val="18"/>
          <w:szCs w:val="18"/>
        </w:rPr>
        <w:t>-202</w:t>
      </w:r>
      <w:r w:rsidR="0070513D">
        <w:rPr>
          <w:rFonts w:ascii="Poppins" w:hAnsi="Poppins" w:cs="Poppins"/>
          <w:sz w:val="18"/>
          <w:szCs w:val="18"/>
        </w:rPr>
        <w:t>5</w:t>
      </w:r>
      <w:r w:rsidR="0070513D"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6C4CA1">
        <w:rPr>
          <w:rFonts w:ascii="Poppins" w:hAnsi="Poppins" w:cs="Poppins"/>
          <w:sz w:val="18"/>
          <w:szCs w:val="18"/>
        </w:rPr>
        <w:t>1</w:t>
      </w:r>
      <w:r w:rsidR="00D32902">
        <w:rPr>
          <w:rFonts w:ascii="Poppins" w:hAnsi="Poppins" w:cs="Poppins"/>
          <w:sz w:val="18"/>
          <w:szCs w:val="18"/>
        </w:rPr>
        <w:t>9</w:t>
      </w:r>
      <w:r w:rsidR="000E7379">
        <w:rPr>
          <w:rFonts w:ascii="Poppins" w:hAnsi="Poppins" w:cs="Poppins"/>
          <w:sz w:val="18"/>
          <w:szCs w:val="18"/>
        </w:rPr>
        <w:t xml:space="preserve"> </w:t>
      </w:r>
      <w:r w:rsidR="00077956">
        <w:rPr>
          <w:rFonts w:ascii="Poppins" w:hAnsi="Poppins" w:cs="Poppins"/>
          <w:sz w:val="18"/>
          <w:szCs w:val="18"/>
        </w:rPr>
        <w:t xml:space="preserve">de </w:t>
      </w:r>
      <w:r w:rsidR="0070513D">
        <w:rPr>
          <w:rFonts w:ascii="Poppins" w:hAnsi="Poppins" w:cs="Poppins"/>
          <w:sz w:val="18"/>
          <w:szCs w:val="18"/>
        </w:rPr>
        <w:t>agosto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8E04BD">
        <w:rPr>
          <w:rFonts w:ascii="Poppins" w:hAnsi="Poppins" w:cs="Poppins"/>
          <w:sz w:val="18"/>
          <w:szCs w:val="18"/>
        </w:rPr>
        <w:t>lunes</w:t>
      </w:r>
      <w:r w:rsidR="008C34F8">
        <w:rPr>
          <w:rFonts w:ascii="Poppins" w:hAnsi="Poppins" w:cs="Poppins"/>
          <w:sz w:val="18"/>
          <w:szCs w:val="18"/>
        </w:rPr>
        <w:t xml:space="preserve"> </w:t>
      </w:r>
      <w:r w:rsidR="00D32902">
        <w:rPr>
          <w:rFonts w:ascii="Poppins" w:hAnsi="Poppins" w:cs="Poppins"/>
          <w:sz w:val="18"/>
          <w:szCs w:val="18"/>
        </w:rPr>
        <w:t>25</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E04BD">
        <w:rPr>
          <w:rFonts w:ascii="Poppins" w:hAnsi="Poppins" w:cs="Poppins"/>
          <w:sz w:val="18"/>
          <w:szCs w:val="18"/>
        </w:rPr>
        <w:t>agosto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4E7ADF4" w:rsidR="00E804F9" w:rsidRPr="00273F37" w:rsidRDefault="00593ACE" w:rsidP="009B438E">
      <w:pPr>
        <w:pStyle w:val="Sangradetextonormal"/>
        <w:numPr>
          <w:ilvl w:val="0"/>
          <w:numId w:val="16"/>
        </w:numPr>
        <w:ind w:left="568" w:hanging="426"/>
        <w:rPr>
          <w:rFonts w:ascii="Poppins" w:hAnsi="Poppins" w:cs="Poppins"/>
          <w:sz w:val="18"/>
          <w:szCs w:val="18"/>
        </w:rPr>
      </w:pPr>
      <w:r w:rsidRPr="00273F37">
        <w:rPr>
          <w:rFonts w:ascii="Poppins" w:hAnsi="Poppins" w:cs="Poppins"/>
          <w:sz w:val="18"/>
          <w:szCs w:val="18"/>
        </w:rPr>
        <w:t xml:space="preserve">El día </w:t>
      </w:r>
      <w:r w:rsidR="006C4CA1">
        <w:rPr>
          <w:rFonts w:ascii="Poppins" w:hAnsi="Poppins" w:cs="Poppins"/>
          <w:sz w:val="18"/>
          <w:szCs w:val="18"/>
        </w:rPr>
        <w:t>1</w:t>
      </w:r>
      <w:r w:rsidR="00D32902">
        <w:rPr>
          <w:rFonts w:ascii="Poppins" w:hAnsi="Poppins" w:cs="Poppins"/>
          <w:sz w:val="18"/>
          <w:szCs w:val="18"/>
        </w:rPr>
        <w:t>9</w:t>
      </w:r>
      <w:r w:rsidRPr="00273F37">
        <w:rPr>
          <w:rFonts w:ascii="Poppins" w:hAnsi="Poppins" w:cs="Poppins"/>
          <w:sz w:val="18"/>
          <w:szCs w:val="18"/>
        </w:rPr>
        <w:t>.</w:t>
      </w:r>
      <w:r w:rsidR="0082707D" w:rsidRPr="00273F37">
        <w:rPr>
          <w:rFonts w:ascii="Poppins" w:hAnsi="Poppins" w:cs="Poppins"/>
          <w:sz w:val="18"/>
          <w:szCs w:val="18"/>
        </w:rPr>
        <w:t>0</w:t>
      </w:r>
      <w:r w:rsidR="008E04BD">
        <w:rPr>
          <w:rFonts w:ascii="Poppins" w:hAnsi="Poppins" w:cs="Poppins"/>
          <w:sz w:val="18"/>
          <w:szCs w:val="18"/>
        </w:rPr>
        <w:t>8</w:t>
      </w:r>
      <w:r w:rsidRPr="00273F37">
        <w:rPr>
          <w:rFonts w:ascii="Poppins" w:hAnsi="Poppins" w:cs="Poppins"/>
          <w:sz w:val="18"/>
          <w:szCs w:val="18"/>
        </w:rPr>
        <w:t>.202</w:t>
      </w:r>
      <w:r w:rsidR="0082707D" w:rsidRPr="00273F37">
        <w:rPr>
          <w:rFonts w:ascii="Poppins" w:hAnsi="Poppins" w:cs="Poppins"/>
          <w:sz w:val="18"/>
          <w:szCs w:val="18"/>
        </w:rPr>
        <w:t>5</w:t>
      </w:r>
      <w:r w:rsidRPr="00273F37">
        <w:rPr>
          <w:rFonts w:ascii="Poppins" w:hAnsi="Poppins" w:cs="Poppins"/>
          <w:sz w:val="18"/>
          <w:szCs w:val="18"/>
        </w:rPr>
        <w:t xml:space="preserve">, Petroperú publicó su lista de precios de venta de combustibles. </w:t>
      </w:r>
      <w:r w:rsidR="005B7181" w:rsidRPr="00273F37">
        <w:rPr>
          <w:rFonts w:ascii="Poppins" w:hAnsi="Poppins" w:cs="Poppins"/>
          <w:sz w:val="18"/>
          <w:szCs w:val="18"/>
        </w:rPr>
        <w:t>En dicha lista se</w:t>
      </w:r>
      <w:r w:rsidRPr="00273F37">
        <w:rPr>
          <w:rFonts w:ascii="Poppins" w:hAnsi="Poppins" w:cs="Poppins"/>
          <w:sz w:val="18"/>
          <w:szCs w:val="18"/>
        </w:rPr>
        <w:t xml:space="preserve"> registraron variaciones en los precios de</w:t>
      </w:r>
      <w:r w:rsidR="00335BF6" w:rsidRPr="00273F37">
        <w:rPr>
          <w:rFonts w:ascii="Poppins" w:hAnsi="Poppins" w:cs="Poppins"/>
          <w:sz w:val="18"/>
          <w:szCs w:val="18"/>
        </w:rPr>
        <w:t xml:space="preserve"> la Gasolina Premium (</w:t>
      </w:r>
      <w:r w:rsidR="00D32902">
        <w:rPr>
          <w:rFonts w:ascii="Poppins" w:hAnsi="Poppins" w:cs="Poppins"/>
          <w:sz w:val="18"/>
          <w:szCs w:val="18"/>
        </w:rPr>
        <w:t>-</w:t>
      </w:r>
      <w:r w:rsidR="00335BF6" w:rsidRPr="00273F37">
        <w:rPr>
          <w:rFonts w:ascii="Poppins" w:hAnsi="Poppins" w:cs="Poppins"/>
          <w:sz w:val="18"/>
          <w:szCs w:val="18"/>
        </w:rPr>
        <w:t>0,</w:t>
      </w:r>
      <w:r w:rsidR="006C4CA1">
        <w:rPr>
          <w:rFonts w:ascii="Poppins" w:hAnsi="Poppins" w:cs="Poppins"/>
          <w:sz w:val="18"/>
          <w:szCs w:val="18"/>
        </w:rPr>
        <w:t>1</w:t>
      </w:r>
      <w:r w:rsidR="00D32902">
        <w:rPr>
          <w:rFonts w:ascii="Poppins" w:hAnsi="Poppins" w:cs="Poppins"/>
          <w:sz w:val="18"/>
          <w:szCs w:val="18"/>
        </w:rPr>
        <w:t>5</w:t>
      </w:r>
      <w:r w:rsidR="00335BF6" w:rsidRPr="00273F37">
        <w:rPr>
          <w:rFonts w:ascii="Poppins" w:hAnsi="Poppins" w:cs="Poppins"/>
          <w:sz w:val="18"/>
          <w:szCs w:val="18"/>
        </w:rPr>
        <w:t xml:space="preserve"> S/</w:t>
      </w:r>
      <w:proofErr w:type="spellStart"/>
      <w:r w:rsidR="00335BF6" w:rsidRPr="00273F37">
        <w:rPr>
          <w:rFonts w:ascii="Poppins" w:hAnsi="Poppins" w:cs="Poppins"/>
          <w:sz w:val="18"/>
          <w:szCs w:val="18"/>
        </w:rPr>
        <w:t>Gln</w:t>
      </w:r>
      <w:proofErr w:type="spellEnd"/>
      <w:r w:rsidR="00335BF6" w:rsidRPr="00273F37">
        <w:rPr>
          <w:rFonts w:ascii="Poppins" w:hAnsi="Poppins" w:cs="Poppins"/>
          <w:sz w:val="18"/>
          <w:szCs w:val="18"/>
        </w:rPr>
        <w:t>)</w:t>
      </w:r>
      <w:r w:rsidR="00465772">
        <w:rPr>
          <w:rFonts w:ascii="Poppins" w:hAnsi="Poppins" w:cs="Poppins"/>
          <w:sz w:val="18"/>
          <w:szCs w:val="18"/>
        </w:rPr>
        <w:t xml:space="preserve">, </w:t>
      </w:r>
      <w:r w:rsidR="00465772" w:rsidRPr="00273F37">
        <w:rPr>
          <w:rFonts w:ascii="Poppins" w:hAnsi="Poppins" w:cs="Poppins"/>
          <w:sz w:val="18"/>
          <w:szCs w:val="18"/>
        </w:rPr>
        <w:t xml:space="preserve">Gasolina </w:t>
      </w:r>
      <w:r w:rsidR="00465772">
        <w:rPr>
          <w:rFonts w:ascii="Poppins" w:hAnsi="Poppins" w:cs="Poppins"/>
          <w:sz w:val="18"/>
          <w:szCs w:val="18"/>
        </w:rPr>
        <w:t>Regular</w:t>
      </w:r>
      <w:r w:rsidR="00465772" w:rsidRPr="00273F37">
        <w:rPr>
          <w:rFonts w:ascii="Poppins" w:hAnsi="Poppins" w:cs="Poppins"/>
          <w:sz w:val="18"/>
          <w:szCs w:val="18"/>
        </w:rPr>
        <w:t xml:space="preserve"> (</w:t>
      </w:r>
      <w:r w:rsidR="00D32902">
        <w:rPr>
          <w:rFonts w:ascii="Poppins" w:hAnsi="Poppins" w:cs="Poppins"/>
          <w:sz w:val="18"/>
          <w:szCs w:val="18"/>
        </w:rPr>
        <w:t>-</w:t>
      </w:r>
      <w:r w:rsidR="00465772" w:rsidRPr="00273F37">
        <w:rPr>
          <w:rFonts w:ascii="Poppins" w:hAnsi="Poppins" w:cs="Poppins"/>
          <w:sz w:val="18"/>
          <w:szCs w:val="18"/>
        </w:rPr>
        <w:t>0,</w:t>
      </w:r>
      <w:r w:rsidR="00D32902">
        <w:rPr>
          <w:rFonts w:ascii="Poppins" w:hAnsi="Poppins" w:cs="Poppins"/>
          <w:sz w:val="18"/>
          <w:szCs w:val="18"/>
        </w:rPr>
        <w:t>15</w:t>
      </w:r>
      <w:r w:rsidR="00465772" w:rsidRPr="00273F37">
        <w:rPr>
          <w:rFonts w:ascii="Poppins" w:hAnsi="Poppins" w:cs="Poppins"/>
          <w:sz w:val="18"/>
          <w:szCs w:val="18"/>
        </w:rPr>
        <w:t xml:space="preserve"> S/</w:t>
      </w:r>
      <w:proofErr w:type="spellStart"/>
      <w:r w:rsidR="00465772" w:rsidRPr="00273F37">
        <w:rPr>
          <w:rFonts w:ascii="Poppins" w:hAnsi="Poppins" w:cs="Poppins"/>
          <w:sz w:val="18"/>
          <w:szCs w:val="18"/>
        </w:rPr>
        <w:t>Gln</w:t>
      </w:r>
      <w:proofErr w:type="spellEnd"/>
      <w:r w:rsidR="00465772" w:rsidRPr="00273F37">
        <w:rPr>
          <w:rFonts w:ascii="Poppins" w:hAnsi="Poppins" w:cs="Poppins"/>
          <w:sz w:val="18"/>
          <w:szCs w:val="18"/>
        </w:rPr>
        <w:t>)</w:t>
      </w:r>
      <w:r w:rsidR="00465772">
        <w:rPr>
          <w:rFonts w:ascii="Poppins" w:hAnsi="Poppins" w:cs="Poppins"/>
          <w:sz w:val="18"/>
          <w:szCs w:val="18"/>
        </w:rPr>
        <w:t>,</w:t>
      </w:r>
      <w:r w:rsidR="00335BF6" w:rsidRPr="00273F37">
        <w:rPr>
          <w:rFonts w:ascii="Poppins" w:hAnsi="Poppins" w:cs="Poppins"/>
          <w:sz w:val="18"/>
          <w:szCs w:val="18"/>
        </w:rPr>
        <w:t xml:space="preserve"> </w:t>
      </w:r>
      <w:proofErr w:type="spellStart"/>
      <w:r w:rsidR="00335BF6" w:rsidRPr="00273F37">
        <w:rPr>
          <w:rFonts w:ascii="Poppins" w:hAnsi="Poppins" w:cs="Poppins"/>
          <w:sz w:val="18"/>
          <w:szCs w:val="18"/>
          <w:lang w:val="es-PE"/>
        </w:rPr>
        <w:t>Gasohol</w:t>
      </w:r>
      <w:proofErr w:type="spellEnd"/>
      <w:r w:rsidR="00335BF6" w:rsidRPr="00273F37">
        <w:rPr>
          <w:rFonts w:ascii="Poppins" w:hAnsi="Poppins" w:cs="Poppins"/>
          <w:sz w:val="18"/>
          <w:szCs w:val="18"/>
          <w:lang w:val="es-PE"/>
        </w:rPr>
        <w:t xml:space="preserve"> Premium (</w:t>
      </w:r>
      <w:r w:rsidR="00D32902">
        <w:rPr>
          <w:rFonts w:ascii="Poppins" w:hAnsi="Poppins" w:cs="Poppins"/>
          <w:sz w:val="18"/>
          <w:szCs w:val="18"/>
          <w:lang w:val="es-PE"/>
        </w:rPr>
        <w:t>-</w:t>
      </w:r>
      <w:r w:rsidR="006E046A" w:rsidRPr="00273F37">
        <w:rPr>
          <w:rFonts w:ascii="Poppins" w:hAnsi="Poppins" w:cs="Poppins"/>
          <w:sz w:val="18"/>
          <w:szCs w:val="18"/>
          <w:lang w:val="es-PE"/>
        </w:rPr>
        <w:t>0</w:t>
      </w:r>
      <w:r w:rsidR="00335BF6" w:rsidRPr="00273F37">
        <w:rPr>
          <w:rFonts w:ascii="Poppins" w:hAnsi="Poppins" w:cs="Poppins"/>
          <w:sz w:val="18"/>
          <w:szCs w:val="18"/>
          <w:lang w:val="es-PE"/>
        </w:rPr>
        <w:t>,</w:t>
      </w:r>
      <w:r w:rsidR="006C4CA1">
        <w:rPr>
          <w:rFonts w:ascii="Poppins" w:hAnsi="Poppins" w:cs="Poppins"/>
          <w:sz w:val="18"/>
          <w:szCs w:val="18"/>
          <w:lang w:val="es-PE"/>
        </w:rPr>
        <w:t>1</w:t>
      </w:r>
      <w:r w:rsidR="00D32902">
        <w:rPr>
          <w:rFonts w:ascii="Poppins" w:hAnsi="Poppins" w:cs="Poppins"/>
          <w:sz w:val="18"/>
          <w:szCs w:val="18"/>
          <w:lang w:val="es-PE"/>
        </w:rPr>
        <w:t>5</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w:t>
      </w:r>
      <w:r w:rsidR="00465772">
        <w:rPr>
          <w:rFonts w:ascii="Poppins" w:hAnsi="Poppins" w:cs="Poppins"/>
          <w:sz w:val="18"/>
          <w:szCs w:val="18"/>
          <w:lang w:val="es-PE"/>
        </w:rPr>
        <w:t xml:space="preserve">, </w:t>
      </w:r>
      <w:proofErr w:type="spellStart"/>
      <w:r w:rsidR="00465772" w:rsidRPr="00273F37">
        <w:rPr>
          <w:rFonts w:ascii="Poppins" w:hAnsi="Poppins" w:cs="Poppins"/>
          <w:sz w:val="18"/>
          <w:szCs w:val="18"/>
        </w:rPr>
        <w:t>Gaso</w:t>
      </w:r>
      <w:r w:rsidR="00465772">
        <w:rPr>
          <w:rFonts w:ascii="Poppins" w:hAnsi="Poppins" w:cs="Poppins"/>
          <w:sz w:val="18"/>
          <w:szCs w:val="18"/>
        </w:rPr>
        <w:t>hol</w:t>
      </w:r>
      <w:proofErr w:type="spellEnd"/>
      <w:r w:rsidR="00465772" w:rsidRPr="00273F37">
        <w:rPr>
          <w:rFonts w:ascii="Poppins" w:hAnsi="Poppins" w:cs="Poppins"/>
          <w:sz w:val="18"/>
          <w:szCs w:val="18"/>
        </w:rPr>
        <w:t xml:space="preserve"> </w:t>
      </w:r>
      <w:r w:rsidR="00465772">
        <w:rPr>
          <w:rFonts w:ascii="Poppins" w:hAnsi="Poppins" w:cs="Poppins"/>
          <w:sz w:val="18"/>
          <w:szCs w:val="18"/>
        </w:rPr>
        <w:t>Regular</w:t>
      </w:r>
      <w:r w:rsidR="00465772" w:rsidRPr="00273F37">
        <w:rPr>
          <w:rFonts w:ascii="Poppins" w:hAnsi="Poppins" w:cs="Poppins"/>
          <w:sz w:val="18"/>
          <w:szCs w:val="18"/>
        </w:rPr>
        <w:t xml:space="preserve"> (</w:t>
      </w:r>
      <w:r w:rsidR="00D32902">
        <w:rPr>
          <w:rFonts w:ascii="Poppins" w:hAnsi="Poppins" w:cs="Poppins"/>
          <w:sz w:val="18"/>
          <w:szCs w:val="18"/>
        </w:rPr>
        <w:t>-</w:t>
      </w:r>
      <w:r w:rsidR="00465772" w:rsidRPr="00273F37">
        <w:rPr>
          <w:rFonts w:ascii="Poppins" w:hAnsi="Poppins" w:cs="Poppins"/>
          <w:sz w:val="18"/>
          <w:szCs w:val="18"/>
        </w:rPr>
        <w:t>0,</w:t>
      </w:r>
      <w:r w:rsidR="00D32902">
        <w:rPr>
          <w:rFonts w:ascii="Poppins" w:hAnsi="Poppins" w:cs="Poppins"/>
          <w:sz w:val="18"/>
          <w:szCs w:val="18"/>
        </w:rPr>
        <w:t>13</w:t>
      </w:r>
      <w:r w:rsidR="00465772" w:rsidRPr="00273F37">
        <w:rPr>
          <w:rFonts w:ascii="Poppins" w:hAnsi="Poppins" w:cs="Poppins"/>
          <w:sz w:val="18"/>
          <w:szCs w:val="18"/>
        </w:rPr>
        <w:t xml:space="preserve"> S/</w:t>
      </w:r>
      <w:proofErr w:type="spellStart"/>
      <w:r w:rsidR="00465772" w:rsidRPr="00273F37">
        <w:rPr>
          <w:rFonts w:ascii="Poppins" w:hAnsi="Poppins" w:cs="Poppins"/>
          <w:sz w:val="18"/>
          <w:szCs w:val="18"/>
        </w:rPr>
        <w:t>Gln</w:t>
      </w:r>
      <w:proofErr w:type="spellEnd"/>
      <w:r w:rsidR="00465772" w:rsidRPr="00273F37">
        <w:rPr>
          <w:rFonts w:ascii="Poppins" w:hAnsi="Poppins" w:cs="Poppins"/>
          <w:sz w:val="18"/>
          <w:szCs w:val="18"/>
        </w:rPr>
        <w:t>)</w:t>
      </w:r>
      <w:r w:rsidR="006C4CA1">
        <w:rPr>
          <w:rFonts w:ascii="Poppins" w:hAnsi="Poppins" w:cs="Poppins"/>
          <w:sz w:val="18"/>
          <w:szCs w:val="18"/>
        </w:rPr>
        <w:t xml:space="preserve">, </w:t>
      </w:r>
      <w:r w:rsidR="00432D6B" w:rsidRPr="00273F37">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D1086B2"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70A0E">
        <w:rPr>
          <w:rFonts w:ascii="Poppins" w:hAnsi="Poppins" w:cs="Poppins"/>
          <w:sz w:val="18"/>
          <w:szCs w:val="18"/>
        </w:rPr>
        <w:t>04</w:t>
      </w:r>
      <w:r w:rsidR="00336251" w:rsidRPr="0096213B">
        <w:rPr>
          <w:rFonts w:ascii="Poppins" w:hAnsi="Poppins" w:cs="Poppins"/>
          <w:sz w:val="18"/>
          <w:szCs w:val="18"/>
        </w:rPr>
        <w:t>/</w:t>
      </w:r>
      <w:r w:rsidR="000F0295">
        <w:rPr>
          <w:rFonts w:ascii="Poppins" w:hAnsi="Poppins" w:cs="Poppins"/>
          <w:sz w:val="18"/>
          <w:szCs w:val="18"/>
        </w:rPr>
        <w:t>0</w:t>
      </w:r>
      <w:r w:rsidR="00E70A0E">
        <w:rPr>
          <w:rFonts w:ascii="Poppins" w:hAnsi="Poppins" w:cs="Poppins"/>
          <w:sz w:val="18"/>
          <w:szCs w:val="18"/>
        </w:rPr>
        <w:t>8</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E70A0E">
        <w:rPr>
          <w:rFonts w:ascii="Poppins" w:hAnsi="Poppins" w:cs="Poppins"/>
          <w:sz w:val="18"/>
          <w:szCs w:val="18"/>
        </w:rPr>
        <w:t>15</w:t>
      </w:r>
      <w:r w:rsidR="00336251" w:rsidRPr="0096213B">
        <w:rPr>
          <w:rFonts w:ascii="Poppins" w:hAnsi="Poppins" w:cs="Poppins"/>
          <w:sz w:val="18"/>
          <w:szCs w:val="18"/>
        </w:rPr>
        <w:t>/</w:t>
      </w:r>
      <w:r w:rsidR="00C41E63">
        <w:rPr>
          <w:rFonts w:ascii="Poppins" w:hAnsi="Poppins" w:cs="Poppins"/>
          <w:sz w:val="18"/>
          <w:szCs w:val="18"/>
        </w:rPr>
        <w:t>0</w:t>
      </w:r>
      <w:r w:rsidR="0070513D">
        <w:rPr>
          <w:rFonts w:ascii="Poppins" w:hAnsi="Poppins" w:cs="Poppins"/>
          <w:sz w:val="18"/>
          <w:szCs w:val="18"/>
        </w:rPr>
        <w:t>8</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9437CA1"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6C4CA1">
        <w:rPr>
          <w:rFonts w:ascii="Poppins" w:hAnsi="Poppins" w:cs="Poppins"/>
          <w:b/>
          <w:bCs/>
          <w:i/>
          <w:sz w:val="18"/>
          <w:szCs w:val="18"/>
          <w:lang w:eastAsia="es-PE"/>
        </w:rPr>
        <w:t>1</w:t>
      </w:r>
      <w:r w:rsidR="00E70A0E">
        <w:rPr>
          <w:rFonts w:ascii="Poppins" w:hAnsi="Poppins" w:cs="Poppins"/>
          <w:b/>
          <w:bCs/>
          <w:i/>
          <w:sz w:val="18"/>
          <w:szCs w:val="18"/>
          <w:lang w:eastAsia="es-PE"/>
        </w:rPr>
        <w:t>8</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70513D">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4F606E49" w:rsidR="00A86191" w:rsidRPr="0096213B" w:rsidRDefault="00F022A1"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483DD81" wp14:editId="1B70570C">
            <wp:extent cx="5450774" cy="3083975"/>
            <wp:effectExtent l="0" t="0" r="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70279" cy="309501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C928826"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1F1A3D">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D3297">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F022A1">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w:t>
      </w:r>
      <w:proofErr w:type="gramStart"/>
      <w:r w:rsidR="00893F38" w:rsidRPr="0096213B">
        <w:rPr>
          <w:rFonts w:ascii="Poppins" w:hAnsi="Poppins" w:cs="Poppins"/>
          <w:sz w:val="18"/>
          <w:szCs w:val="18"/>
        </w:rPr>
        <w:t>100</w:t>
      </w:r>
      <w:r w:rsidRPr="0096213B">
        <w:rPr>
          <w:rFonts w:ascii="Poppins" w:hAnsi="Poppins" w:cs="Poppins"/>
          <w:sz w:val="18"/>
          <w:szCs w:val="18"/>
        </w:rPr>
        <w:t xml:space="preserve">, </w:t>
      </w:r>
      <w:r w:rsidR="00E70A0E">
        <w:rPr>
          <w:rFonts w:ascii="Poppins" w:hAnsi="Poppins" w:cs="Poppins"/>
          <w:sz w:val="18"/>
          <w:szCs w:val="18"/>
        </w:rPr>
        <w:t xml:space="preserve"> 86</w:t>
      </w:r>
      <w:proofErr w:type="gramEnd"/>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5606E">
        <w:rPr>
          <w:rFonts w:ascii="Poppins" w:hAnsi="Poppins" w:cs="Poppins"/>
          <w:sz w:val="18"/>
          <w:szCs w:val="18"/>
        </w:rPr>
        <w:t>6</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4EA8C826"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1F1A3D">
        <w:rPr>
          <w:rFonts w:ascii="Poppins" w:hAnsi="Poppins" w:cs="Poppins"/>
          <w:sz w:val="18"/>
          <w:szCs w:val="18"/>
        </w:rPr>
        <w:t>1</w:t>
      </w:r>
      <w:r w:rsidR="00E70A0E">
        <w:rPr>
          <w:rFonts w:ascii="Poppins" w:hAnsi="Poppins" w:cs="Poppins"/>
          <w:sz w:val="18"/>
          <w:szCs w:val="18"/>
        </w:rPr>
        <w:t>8</w:t>
      </w:r>
      <w:r w:rsidR="00F07057">
        <w:rPr>
          <w:rFonts w:ascii="Poppins" w:hAnsi="Poppins" w:cs="Poppins"/>
          <w:sz w:val="18"/>
          <w:szCs w:val="18"/>
        </w:rPr>
        <w:t xml:space="preserve"> </w:t>
      </w:r>
      <w:r w:rsidRPr="0096213B">
        <w:rPr>
          <w:rFonts w:ascii="Poppins" w:hAnsi="Poppins" w:cs="Poppins"/>
          <w:sz w:val="18"/>
          <w:szCs w:val="18"/>
        </w:rPr>
        <w:t xml:space="preserve">de </w:t>
      </w:r>
      <w:r w:rsidR="0070513D">
        <w:rPr>
          <w:rFonts w:ascii="Poppins" w:hAnsi="Poppins" w:cs="Poppins"/>
          <w:sz w:val="18"/>
          <w:szCs w:val="18"/>
        </w:rPr>
        <w:t>agost</w:t>
      </w:r>
      <w:r w:rsidR="00CB7FE6">
        <w:rPr>
          <w:rFonts w:ascii="Poppins" w:hAnsi="Poppins" w:cs="Poppins"/>
          <w:sz w:val="18"/>
          <w:szCs w:val="18"/>
        </w:rPr>
        <w:t>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CC8871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1F1A3D">
        <w:rPr>
          <w:rFonts w:ascii="Poppins" w:hAnsi="Poppins" w:cs="Poppins"/>
          <w:sz w:val="18"/>
          <w:szCs w:val="18"/>
        </w:rPr>
        <w:t>6</w:t>
      </w:r>
      <w:r w:rsidR="00E70A0E">
        <w:rPr>
          <w:rFonts w:ascii="Poppins" w:hAnsi="Poppins" w:cs="Poppins"/>
          <w:sz w:val="18"/>
          <w:szCs w:val="18"/>
        </w:rPr>
        <w:t>6</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1F1A3D">
        <w:rPr>
          <w:rFonts w:ascii="Poppins" w:hAnsi="Poppins" w:cs="Poppins"/>
          <w:sz w:val="18"/>
          <w:szCs w:val="18"/>
        </w:rPr>
        <w:t>5</w:t>
      </w:r>
      <w:r w:rsidR="00E70A0E">
        <w:rPr>
          <w:rFonts w:ascii="Poppins" w:hAnsi="Poppins" w:cs="Poppins"/>
          <w:sz w:val="18"/>
          <w:szCs w:val="18"/>
        </w:rPr>
        <w:t>4</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844865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E70A0E">
        <w:rPr>
          <w:rFonts w:ascii="Poppins" w:hAnsi="Poppins" w:cs="Poppins"/>
          <w:sz w:val="18"/>
          <w:szCs w:val="18"/>
        </w:rPr>
        <w:t>61</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C427E8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1F1A3D">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1F1A3D">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51C43011"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D32902">
        <w:rPr>
          <w:rFonts w:ascii="Poppins" w:hAnsi="Poppins" w:cs="Poppins"/>
          <w:sz w:val="18"/>
          <w:szCs w:val="18"/>
        </w:rPr>
        <w:t>34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32902">
        <w:rPr>
          <w:rFonts w:ascii="Poppins" w:hAnsi="Poppins" w:cs="Poppins"/>
          <w:sz w:val="18"/>
          <w:szCs w:val="18"/>
        </w:rPr>
        <w:t>7</w:t>
      </w:r>
      <w:r w:rsidR="00A33C99" w:rsidRPr="0096213B">
        <w:rPr>
          <w:rFonts w:ascii="Poppins" w:hAnsi="Poppins" w:cs="Poppins"/>
          <w:sz w:val="18"/>
          <w:szCs w:val="18"/>
        </w:rPr>
        <w:t>,</w:t>
      </w:r>
      <w:r w:rsidR="00D32902">
        <w:rPr>
          <w:rFonts w:ascii="Poppins" w:hAnsi="Poppins" w:cs="Poppins"/>
          <w:sz w:val="18"/>
          <w:szCs w:val="18"/>
        </w:rPr>
        <w:t>2</w:t>
      </w:r>
      <w:r w:rsidR="001F1A3D">
        <w:rPr>
          <w:rFonts w:ascii="Poppins" w:hAnsi="Poppins" w:cs="Poppins"/>
          <w:sz w:val="18"/>
          <w:szCs w:val="18"/>
        </w:rPr>
        <w:t>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16D73D9"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E70A0E">
        <w:rPr>
          <w:rFonts w:ascii="Poppins" w:hAnsi="Poppins" w:cs="Poppins"/>
          <w:sz w:val="18"/>
          <w:szCs w:val="18"/>
        </w:rPr>
        <w:t>61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3213933"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D32902">
        <w:rPr>
          <w:rFonts w:ascii="Poppins" w:hAnsi="Poppins" w:cs="Poppins"/>
          <w:bCs/>
          <w:sz w:val="18"/>
          <w:szCs w:val="18"/>
        </w:rPr>
        <w:t>64</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E0CBE99"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D32902">
        <w:rPr>
          <w:rFonts w:ascii="Poppins" w:hAnsi="Poppins" w:cs="Poppins"/>
          <w:sz w:val="18"/>
          <w:szCs w:val="18"/>
        </w:rPr>
        <w:t>2</w:t>
      </w:r>
      <w:r w:rsidR="001F1A3D">
        <w:rPr>
          <w:rFonts w:ascii="Poppins" w:hAnsi="Poppins" w:cs="Poppins"/>
          <w:sz w:val="18"/>
          <w:szCs w:val="18"/>
        </w:rPr>
        <w:t>8</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6D8A870"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2</w:t>
      </w:r>
      <w:r w:rsidR="009B6181">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1F1A3D">
        <w:rPr>
          <w:rFonts w:ascii="Poppins" w:hAnsi="Poppins" w:cs="Poppins"/>
          <w:sz w:val="18"/>
          <w:szCs w:val="18"/>
          <w:lang w:eastAsia="en-US"/>
        </w:rPr>
        <w:t>2</w:t>
      </w:r>
      <w:r w:rsidR="00D32902">
        <w:rPr>
          <w:rFonts w:ascii="Poppins" w:hAnsi="Poppins" w:cs="Poppins"/>
          <w:sz w:val="18"/>
          <w:szCs w:val="18"/>
          <w:lang w:eastAsia="en-US"/>
        </w:rPr>
        <w:t>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w:t>
      </w:r>
      <w:r w:rsidR="00D32902">
        <w:rPr>
          <w:rFonts w:ascii="Poppins" w:hAnsi="Poppins" w:cs="Poppins"/>
          <w:sz w:val="18"/>
          <w:szCs w:val="18"/>
          <w:lang w:eastAsia="en-US"/>
        </w:rPr>
        <w:t>5</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521"/>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530808D9" w:rsidR="00CE3B76" w:rsidRPr="00CE3B76" w:rsidRDefault="00F022A1" w:rsidP="00CE3B76">
            <w:pPr>
              <w:pBdr>
                <w:top w:val="single" w:sz="4" w:space="1" w:color="auto"/>
                <w:bottom w:val="single" w:sz="4" w:space="1" w:color="auto"/>
              </w:pBdr>
              <w:rPr>
                <w:rFonts w:ascii="Poppins" w:hAnsi="Poppins" w:cs="Poppins"/>
                <w:sz w:val="18"/>
                <w:szCs w:val="18"/>
                <w:lang w:val="es-PE" w:eastAsia="en-US"/>
              </w:rPr>
            </w:pPr>
            <w:r w:rsidRPr="00F022A1">
              <w:rPr>
                <w:rFonts w:ascii="Poppins" w:hAnsi="Poppins" w:cs="Poppins"/>
                <w:noProof/>
                <w:sz w:val="18"/>
                <w:szCs w:val="18"/>
                <w:lang w:val="es-PE" w:eastAsia="en-US"/>
              </w:rPr>
              <w:drawing>
                <wp:inline distT="0" distB="0" distL="0" distR="0" wp14:anchorId="0D622092" wp14:editId="353BC2DA">
                  <wp:extent cx="8448675" cy="2891642"/>
                  <wp:effectExtent l="0" t="0" r="0" b="444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56463" cy="2894307"/>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07D8B12D" w:rsidR="000F7442" w:rsidRPr="0096213B" w:rsidRDefault="00CF6EBC" w:rsidP="000F7442">
            <w:pPr>
              <w:jc w:val="center"/>
              <w:rPr>
                <w:rFonts w:ascii="Poppins" w:hAnsi="Poppins" w:cs="Poppins"/>
                <w:sz w:val="8"/>
                <w:szCs w:val="20"/>
              </w:rPr>
            </w:pPr>
            <w:r w:rsidRPr="00CF6EBC">
              <w:rPr>
                <w:rFonts w:ascii="Poppins" w:hAnsi="Poppins" w:cs="Poppins"/>
                <w:noProof/>
                <w:sz w:val="8"/>
                <w:szCs w:val="20"/>
              </w:rPr>
              <w:drawing>
                <wp:inline distT="0" distB="0" distL="0" distR="0" wp14:anchorId="2414DBAF" wp14:editId="7CC9134A">
                  <wp:extent cx="3566160" cy="275082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6160" cy="275082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19559F1E" w:rsidR="00EF3BE9" w:rsidRPr="0096213B" w:rsidRDefault="00CF6EBC"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5A0DC5FE" wp14:editId="7C745849">
                  <wp:extent cx="5303952" cy="27051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45094" cy="272608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256B954F" w:rsidR="00551F16" w:rsidRPr="0096213B" w:rsidRDefault="00E70A0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E70A0E">
        <w:rPr>
          <w:noProof/>
        </w:rPr>
        <w:drawing>
          <wp:inline distT="0" distB="0" distL="0" distR="0" wp14:anchorId="3F278629" wp14:editId="32BE944E">
            <wp:extent cx="5623560" cy="250063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23560" cy="250063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561EA7F5" w:rsidR="00F70B88" w:rsidRDefault="00CE7DDC" w:rsidP="00604758">
      <w:pPr>
        <w:spacing w:line="0" w:lineRule="atLeast"/>
        <w:ind w:right="-567"/>
        <w:jc w:val="both"/>
        <w:rPr>
          <w:rFonts w:ascii="Poppins" w:hAnsi="Poppins" w:cs="Poppins"/>
          <w:noProof/>
          <w:sz w:val="20"/>
          <w:szCs w:val="20"/>
        </w:rPr>
      </w:pPr>
      <w:r w:rsidRPr="00CE7DDC">
        <w:rPr>
          <w:noProof/>
        </w:rPr>
        <w:drawing>
          <wp:inline distT="0" distB="0" distL="0" distR="0" wp14:anchorId="015F6243" wp14:editId="62E73CC8">
            <wp:extent cx="5850255" cy="238506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38506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50909D94" w:rsidR="00127A54" w:rsidRPr="0096213B" w:rsidRDefault="00CE7DDC" w:rsidP="006220EA">
      <w:pPr>
        <w:rPr>
          <w:rFonts w:ascii="Poppins" w:hAnsi="Poppins" w:cs="Poppins"/>
          <w:i/>
          <w:sz w:val="14"/>
          <w:szCs w:val="14"/>
        </w:rPr>
      </w:pPr>
      <w:r w:rsidRPr="00CE7DDC">
        <w:rPr>
          <w:noProof/>
        </w:rPr>
        <w:drawing>
          <wp:inline distT="0" distB="0" distL="0" distR="0" wp14:anchorId="0260603C" wp14:editId="5E20AACB">
            <wp:extent cx="5850255" cy="7060565"/>
            <wp:effectExtent l="0" t="0" r="0"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05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E248F16" w:rsidR="005048C1" w:rsidRPr="0096213B" w:rsidRDefault="00F91202" w:rsidP="005048C1">
      <w:pPr>
        <w:jc w:val="both"/>
        <w:rPr>
          <w:rFonts w:ascii="Poppins" w:hAnsi="Poppins" w:cs="Poppins"/>
          <w:i/>
          <w:iCs/>
          <w:sz w:val="12"/>
          <w:szCs w:val="12"/>
        </w:rPr>
      </w:pPr>
      <w:r>
        <w:t xml:space="preserve">                       </w:t>
      </w:r>
      <w:r w:rsidR="00CE7DDC" w:rsidRPr="00CE7DDC">
        <w:rPr>
          <w:noProof/>
        </w:rPr>
        <w:drawing>
          <wp:inline distT="0" distB="0" distL="0" distR="0" wp14:anchorId="7DA736CE" wp14:editId="3E151404">
            <wp:extent cx="5850255" cy="5694045"/>
            <wp:effectExtent l="0" t="0" r="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69404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594B765D" w:rsidR="004E1013" w:rsidRPr="00297394" w:rsidRDefault="00CE7DDC" w:rsidP="00297394">
      <w:pPr>
        <w:jc w:val="center"/>
        <w:rPr>
          <w:rFonts w:asciiTheme="minorHAnsi" w:hAnsiTheme="minorHAnsi" w:cstheme="minorHAnsi"/>
          <w:noProof/>
          <w:sz w:val="22"/>
          <w:szCs w:val="22"/>
        </w:rPr>
      </w:pPr>
      <w:r>
        <w:rPr>
          <w:rFonts w:asciiTheme="minorHAnsi" w:hAnsiTheme="minorHAnsi" w:cstheme="minorHAnsi"/>
          <w:noProof/>
          <w:sz w:val="22"/>
          <w:szCs w:val="22"/>
        </w:rPr>
        <w:drawing>
          <wp:inline distT="0" distB="0" distL="0" distR="0" wp14:anchorId="7A578DA3" wp14:editId="7B1C6D42">
            <wp:extent cx="5570220" cy="3402743"/>
            <wp:effectExtent l="0" t="0" r="0"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5228" cy="3411911"/>
                    </a:xfrm>
                    <a:prstGeom prst="rect">
                      <a:avLst/>
                    </a:prstGeom>
                    <a:noFill/>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5FB12C3C" w:rsidR="00842A58" w:rsidRDefault="00842A58" w:rsidP="00842A58">
      <w:pPr>
        <w:jc w:val="center"/>
        <w:rPr>
          <w:rFonts w:asciiTheme="minorHAnsi" w:hAnsiTheme="minorHAnsi" w:cstheme="minorHAnsi"/>
          <w:sz w:val="22"/>
          <w:szCs w:val="22"/>
        </w:rPr>
      </w:pPr>
    </w:p>
    <w:p w14:paraId="2AFAEB8B" w14:textId="76B35CFB" w:rsidR="009D0082" w:rsidRDefault="00CE7DDC"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9D95124" wp14:editId="423ADE04">
            <wp:extent cx="5585460" cy="3154659"/>
            <wp:effectExtent l="0" t="0" r="0" b="825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95944" cy="3160580"/>
                    </a:xfrm>
                    <a:prstGeom prst="rect">
                      <a:avLst/>
                    </a:prstGeom>
                    <a:noFill/>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1645AE2B" w:rsidR="00373E46" w:rsidRDefault="00373E46" w:rsidP="00373E46">
      <w:pPr>
        <w:pStyle w:val="xl37"/>
        <w:tabs>
          <w:tab w:val="left" w:pos="180"/>
        </w:tabs>
        <w:spacing w:before="0" w:beforeAutospacing="0" w:after="0" w:afterAutospacing="0"/>
        <w:jc w:val="center"/>
        <w:rPr>
          <w:noProof/>
        </w:rPr>
      </w:pPr>
    </w:p>
    <w:p w14:paraId="5E1F5A38" w14:textId="77777777" w:rsidR="006F473A" w:rsidRDefault="006F473A" w:rsidP="00373E46">
      <w:pPr>
        <w:pStyle w:val="xl37"/>
        <w:tabs>
          <w:tab w:val="left" w:pos="180"/>
        </w:tabs>
        <w:spacing w:before="0" w:beforeAutospacing="0" w:after="0" w:afterAutospacing="0"/>
        <w:jc w:val="center"/>
        <w:rPr>
          <w:noProof/>
        </w:rPr>
      </w:pPr>
    </w:p>
    <w:p w14:paraId="4D391BD6" w14:textId="77777777" w:rsidR="006F473A" w:rsidRDefault="006F473A" w:rsidP="00373E46">
      <w:pPr>
        <w:pStyle w:val="xl37"/>
        <w:tabs>
          <w:tab w:val="left" w:pos="180"/>
        </w:tabs>
        <w:spacing w:before="0" w:beforeAutospacing="0" w:after="0" w:afterAutospacing="0"/>
        <w:jc w:val="center"/>
        <w:rPr>
          <w:noProof/>
        </w:rPr>
      </w:pPr>
    </w:p>
    <w:p w14:paraId="376C4386" w14:textId="65278AB0" w:rsidR="00105E3C" w:rsidRDefault="00CE7DDC" w:rsidP="00373E46">
      <w:pPr>
        <w:pStyle w:val="xl37"/>
        <w:tabs>
          <w:tab w:val="left" w:pos="180"/>
        </w:tabs>
        <w:spacing w:before="0" w:beforeAutospacing="0" w:after="0" w:afterAutospacing="0"/>
        <w:jc w:val="center"/>
        <w:rPr>
          <w:noProof/>
        </w:rPr>
      </w:pPr>
      <w:r>
        <w:rPr>
          <w:noProof/>
        </w:rPr>
        <w:drawing>
          <wp:inline distT="0" distB="0" distL="0" distR="0" wp14:anchorId="0E70935A" wp14:editId="64BE9DF3">
            <wp:extent cx="5654040" cy="3019682"/>
            <wp:effectExtent l="0" t="0" r="381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6860" cy="3026529"/>
                    </a:xfrm>
                    <a:prstGeom prst="rect">
                      <a:avLst/>
                    </a:prstGeom>
                    <a:noFill/>
                  </pic:spPr>
                </pic:pic>
              </a:graphicData>
            </a:graphic>
          </wp:inline>
        </w:drawing>
      </w:r>
    </w:p>
    <w:p w14:paraId="63E97738" w14:textId="2C1E9E8D" w:rsidR="006F473A" w:rsidRDefault="006F473A" w:rsidP="00373E46">
      <w:pPr>
        <w:pStyle w:val="xl37"/>
        <w:tabs>
          <w:tab w:val="left" w:pos="180"/>
        </w:tabs>
        <w:spacing w:before="0" w:beforeAutospacing="0" w:after="0" w:afterAutospacing="0"/>
        <w:jc w:val="center"/>
        <w:rPr>
          <w:noProof/>
        </w:rPr>
      </w:pPr>
    </w:p>
    <w:p w14:paraId="2DB56123" w14:textId="7FA8D438" w:rsidR="006F473A" w:rsidRDefault="006F473A" w:rsidP="00373E46">
      <w:pPr>
        <w:pStyle w:val="xl37"/>
        <w:tabs>
          <w:tab w:val="left" w:pos="180"/>
        </w:tabs>
        <w:spacing w:before="0" w:beforeAutospacing="0" w:after="0" w:afterAutospacing="0"/>
        <w:jc w:val="center"/>
        <w:rPr>
          <w:noProof/>
        </w:rPr>
      </w:pPr>
    </w:p>
    <w:p w14:paraId="0AE27330" w14:textId="77777777" w:rsidR="006F473A" w:rsidRDefault="006F473A"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58EACC4C" w14:textId="2FFBF7D7" w:rsidR="002035C4" w:rsidRDefault="00CE7DDC" w:rsidP="00373E46">
      <w:pPr>
        <w:pStyle w:val="xl37"/>
        <w:tabs>
          <w:tab w:val="left" w:pos="180"/>
        </w:tabs>
        <w:spacing w:before="0" w:beforeAutospacing="0" w:after="0" w:afterAutospacing="0"/>
        <w:jc w:val="center"/>
        <w:rPr>
          <w:noProof/>
        </w:rPr>
      </w:pPr>
      <w:r>
        <w:rPr>
          <w:noProof/>
        </w:rPr>
        <w:drawing>
          <wp:inline distT="0" distB="0" distL="0" distR="0" wp14:anchorId="4644EBC5" wp14:editId="0D9653E9">
            <wp:extent cx="5674995" cy="3030874"/>
            <wp:effectExtent l="0" t="0" r="190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0042" cy="3044251"/>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74E21798" w:rsidR="00FC2850" w:rsidRDefault="00FC2850" w:rsidP="00373E46">
      <w:pPr>
        <w:pStyle w:val="xl37"/>
        <w:tabs>
          <w:tab w:val="left" w:pos="180"/>
        </w:tabs>
        <w:spacing w:before="0" w:beforeAutospacing="0" w:after="0" w:afterAutospacing="0"/>
        <w:jc w:val="center"/>
        <w:rPr>
          <w:noProof/>
        </w:rPr>
      </w:pPr>
    </w:p>
    <w:p w14:paraId="246524AC" w14:textId="22EDC72C" w:rsidR="00105E3C" w:rsidRDefault="00105E3C" w:rsidP="00373E46">
      <w:pPr>
        <w:pStyle w:val="xl37"/>
        <w:tabs>
          <w:tab w:val="left" w:pos="180"/>
        </w:tabs>
        <w:spacing w:before="0" w:beforeAutospacing="0" w:after="0" w:afterAutospacing="0"/>
        <w:jc w:val="center"/>
        <w:rPr>
          <w:noProof/>
        </w:rPr>
      </w:pPr>
    </w:p>
    <w:p w14:paraId="16FEA214" w14:textId="419C8A7E" w:rsidR="006F473A" w:rsidRDefault="006F473A" w:rsidP="00373E46">
      <w:pPr>
        <w:pStyle w:val="xl37"/>
        <w:tabs>
          <w:tab w:val="left" w:pos="180"/>
        </w:tabs>
        <w:spacing w:before="0" w:beforeAutospacing="0" w:after="0" w:afterAutospacing="0"/>
        <w:jc w:val="center"/>
        <w:rPr>
          <w:noProof/>
        </w:rPr>
      </w:pPr>
    </w:p>
    <w:p w14:paraId="2D79EA94" w14:textId="3928EB56" w:rsidR="006F473A" w:rsidRDefault="006F473A"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5606E"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7FFADB6"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w:t>
          </w:r>
          <w:r w:rsidR="00CF6EBC">
            <w:rPr>
              <w:rFonts w:ascii="Poppins" w:hAnsi="Poppins" w:cs="Poppins"/>
              <w:b/>
              <w:sz w:val="22"/>
              <w:szCs w:val="22"/>
              <w:lang w:val="it-IT"/>
            </w:rPr>
            <w:t>3</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4BBDE59"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w:t>
          </w:r>
          <w:r w:rsidR="00523E19">
            <w:rPr>
              <w:rFonts w:ascii="Poppins" w:hAnsi="Poppins" w:cs="Poppins"/>
              <w:b/>
              <w:sz w:val="22"/>
              <w:szCs w:val="22"/>
              <w:lang w:val="it-IT"/>
            </w:rPr>
            <w:t>3</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631F264"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w:t>
          </w:r>
          <w:r w:rsidR="00CF6EBC">
            <w:rPr>
              <w:rFonts w:ascii="Poppins" w:hAnsi="Poppins" w:cs="Poppins"/>
              <w:b/>
              <w:sz w:val="22"/>
              <w:szCs w:val="22"/>
              <w:lang w:val="it-IT"/>
            </w:rPr>
            <w:t>3</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46E9FA3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w:t>
          </w:r>
          <w:r w:rsidR="00CF6EBC">
            <w:rPr>
              <w:rFonts w:ascii="Poppins" w:hAnsi="Poppins" w:cs="Poppins"/>
              <w:b/>
              <w:sz w:val="22"/>
              <w:szCs w:val="22"/>
              <w:lang w:val="it-IT"/>
            </w:rPr>
            <w:t>3</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727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47BEA"/>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72705"/>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395</TotalTime>
  <Pages>20</Pages>
  <Words>4726</Words>
  <Characters>25994</Characters>
  <Application>Microsoft Office Word</Application>
  <DocSecurity>0</DocSecurity>
  <Lines>216</Lines>
  <Paragraphs>61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30659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2025-05-14T15:47:00Z</cp:lastPrinted>
  <dcterms:created xsi:type="dcterms:W3CDTF">2025-08-20T17:58:00Z</dcterms:created>
  <dcterms:modified xsi:type="dcterms:W3CDTF">2025-08-22T20:43:00Z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