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6C823A7"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A74D6">
        <w:rPr>
          <w:rFonts w:asciiTheme="minorHAnsi" w:hAnsiTheme="minorHAnsi" w:cstheme="minorHAnsi"/>
          <w:sz w:val="32"/>
          <w:szCs w:val="28"/>
          <w:u w:val="single"/>
          <w:lang w:val="it-IT"/>
        </w:rPr>
        <w:t>1</w:t>
      </w:r>
      <w:r w:rsidR="00360ED2">
        <w:rPr>
          <w:rFonts w:asciiTheme="minorHAnsi" w:hAnsiTheme="minorHAnsi" w:cstheme="minorHAnsi"/>
          <w:sz w:val="32"/>
          <w:szCs w:val="28"/>
          <w:u w:val="single"/>
          <w:lang w:val="it-IT"/>
        </w:rPr>
        <w:t>2</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7953C570"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5A20CB">
        <w:rPr>
          <w:rFonts w:asciiTheme="minorHAnsi" w:hAnsiTheme="minorHAnsi" w:cstheme="minorHAnsi"/>
          <w:b/>
          <w:bCs/>
          <w:sz w:val="28"/>
          <w:szCs w:val="28"/>
        </w:rPr>
        <w:t>1</w:t>
      </w:r>
      <w:r w:rsidR="00360ED2">
        <w:rPr>
          <w:rFonts w:asciiTheme="minorHAnsi" w:hAnsiTheme="minorHAnsi" w:cstheme="minorHAnsi"/>
          <w:b/>
          <w:bCs/>
          <w:sz w:val="28"/>
          <w:szCs w:val="28"/>
        </w:rPr>
        <w:t>8</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6A74D6">
        <w:rPr>
          <w:rFonts w:asciiTheme="minorHAnsi" w:hAnsiTheme="minorHAnsi" w:cstheme="minorHAnsi"/>
          <w:b/>
          <w:bCs/>
          <w:sz w:val="28"/>
          <w:szCs w:val="28"/>
        </w:rPr>
        <w:t>3</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260D85B2" w:rsidR="005C1470" w:rsidRPr="002B3648" w:rsidRDefault="00FC05C1"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6D592EB6" wp14:editId="22B26268">
            <wp:extent cx="5391924" cy="3673768"/>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3373" cy="3681569"/>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1C2431D9"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3399072F" w14:textId="77777777" w:rsidR="00E84624" w:rsidRDefault="00E84624"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02B6B9B4"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FC05C1">
        <w:rPr>
          <w:rFonts w:asciiTheme="minorHAnsi" w:hAnsiTheme="minorHAnsi" w:cstheme="minorHAnsi"/>
          <w:sz w:val="22"/>
          <w:szCs w:val="22"/>
        </w:rPr>
        <w:t>80</w:t>
      </w:r>
      <w:r w:rsidR="005B4C77">
        <w:rPr>
          <w:rFonts w:asciiTheme="minorHAnsi" w:hAnsiTheme="minorHAnsi" w:cstheme="minorHAnsi"/>
          <w:sz w:val="22"/>
          <w:szCs w:val="22"/>
        </w:rPr>
        <w:t>,</w:t>
      </w:r>
      <w:r w:rsidR="00FC05C1">
        <w:rPr>
          <w:rFonts w:asciiTheme="minorHAnsi" w:hAnsiTheme="minorHAnsi" w:cstheme="minorHAnsi"/>
          <w:sz w:val="22"/>
          <w:szCs w:val="22"/>
        </w:rPr>
        <w:t>9</w:t>
      </w:r>
      <w:r w:rsidR="00A057BA">
        <w:rPr>
          <w:rFonts w:asciiTheme="minorHAnsi" w:hAnsiTheme="minorHAnsi" w:cstheme="minorHAnsi"/>
          <w:sz w:val="22"/>
          <w:szCs w:val="22"/>
        </w:rPr>
        <w:t>7</w:t>
      </w:r>
      <w:r w:rsidRPr="00733288">
        <w:rPr>
          <w:rFonts w:asciiTheme="minorHAnsi" w:hAnsiTheme="minorHAnsi" w:cstheme="minorHAnsi"/>
          <w:sz w:val="22"/>
          <w:szCs w:val="22"/>
        </w:rPr>
        <w:t xml:space="preserve"> US$/Bl, las gasolinas registraron un precio superior a </w:t>
      </w:r>
      <w:r w:rsidR="00FC05C1">
        <w:rPr>
          <w:rFonts w:asciiTheme="minorHAnsi" w:hAnsiTheme="minorHAnsi" w:cstheme="minorHAnsi"/>
          <w:sz w:val="22"/>
          <w:szCs w:val="22"/>
        </w:rPr>
        <w:t>100</w:t>
      </w:r>
      <w:r w:rsidRPr="00733288">
        <w:rPr>
          <w:rFonts w:asciiTheme="minorHAnsi" w:hAnsiTheme="minorHAnsi" w:cstheme="minorHAnsi"/>
          <w:sz w:val="22"/>
          <w:szCs w:val="22"/>
        </w:rPr>
        <w:t xml:space="preserve"> US$/Bl y los destilados medios registraron niveles por encima de los </w:t>
      </w:r>
      <w:r w:rsidR="0003140D">
        <w:rPr>
          <w:rFonts w:asciiTheme="minorHAnsi" w:hAnsiTheme="minorHAnsi" w:cstheme="minorHAnsi"/>
          <w:sz w:val="22"/>
          <w:szCs w:val="22"/>
        </w:rPr>
        <w:t>10</w:t>
      </w:r>
      <w:r w:rsidR="006A74D6">
        <w:rPr>
          <w:rFonts w:asciiTheme="minorHAnsi" w:hAnsiTheme="minorHAnsi" w:cstheme="minorHAnsi"/>
          <w:sz w:val="22"/>
          <w:szCs w:val="22"/>
        </w:rPr>
        <w:t>5</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FC05C1">
        <w:rPr>
          <w:rFonts w:asciiTheme="minorHAnsi" w:hAnsiTheme="minorHAnsi" w:cstheme="minorHAnsi"/>
          <w:sz w:val="22"/>
          <w:szCs w:val="22"/>
        </w:rPr>
        <w:t>4</w:t>
      </w:r>
      <w:r w:rsidR="00941CD2">
        <w:rPr>
          <w:rFonts w:asciiTheme="minorHAnsi" w:hAnsiTheme="minorHAnsi" w:cstheme="minorHAnsi"/>
          <w:sz w:val="22"/>
          <w:szCs w:val="22"/>
        </w:rPr>
        <w:t>,</w:t>
      </w:r>
      <w:r w:rsidR="00FC05C1">
        <w:rPr>
          <w:rFonts w:asciiTheme="minorHAnsi" w:hAnsiTheme="minorHAnsi" w:cstheme="minorHAnsi"/>
          <w:sz w:val="22"/>
          <w:szCs w:val="22"/>
        </w:rPr>
        <w:t>72</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58AC065C" w14:textId="28AEBEEE"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FC05C1">
        <w:rPr>
          <w:rFonts w:asciiTheme="minorHAnsi" w:hAnsiTheme="minorHAnsi" w:cstheme="minorHAnsi"/>
          <w:bCs/>
          <w:sz w:val="22"/>
          <w:szCs w:val="22"/>
        </w:rPr>
        <w:t>0</w:t>
      </w:r>
      <w:r w:rsidR="004B2B55">
        <w:rPr>
          <w:rFonts w:asciiTheme="minorHAnsi" w:hAnsiTheme="minorHAnsi" w:cstheme="minorHAnsi"/>
          <w:bCs/>
          <w:sz w:val="22"/>
          <w:szCs w:val="22"/>
        </w:rPr>
        <w:t>4</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FC05C1">
        <w:rPr>
          <w:rFonts w:asciiTheme="minorHAnsi" w:hAnsiTheme="minorHAnsi" w:cstheme="minorHAnsi"/>
          <w:bCs/>
          <w:sz w:val="22"/>
          <w:szCs w:val="22"/>
        </w:rPr>
        <w:t>3</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FC05C1">
        <w:rPr>
          <w:rFonts w:asciiTheme="minorHAnsi" w:hAnsiTheme="minorHAnsi" w:cstheme="minorHAnsi"/>
          <w:bCs/>
          <w:sz w:val="22"/>
          <w:szCs w:val="22"/>
        </w:rPr>
        <w:t>15</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6A74D6">
        <w:rPr>
          <w:rFonts w:asciiTheme="minorHAnsi" w:hAnsiTheme="minorHAnsi" w:cstheme="minorHAnsi"/>
          <w:bCs/>
          <w:sz w:val="22"/>
          <w:szCs w:val="22"/>
        </w:rPr>
        <w:t>3</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200D1466" w14:textId="55BF8445" w:rsidR="0070512E" w:rsidRPr="00054215" w:rsidRDefault="0070512E" w:rsidP="0070512E">
      <w:pPr>
        <w:pStyle w:val="Prrafodelista"/>
        <w:ind w:left="426"/>
        <w:jc w:val="both"/>
        <w:rPr>
          <w:rFonts w:asciiTheme="minorHAnsi" w:hAnsiTheme="minorHAnsi" w:cstheme="minorHAnsi"/>
          <w:sz w:val="22"/>
          <w:szCs w:val="22"/>
        </w:rPr>
      </w:pPr>
    </w:p>
    <w:p w14:paraId="3820E9A4" w14:textId="77777777" w:rsidR="00FC05C1" w:rsidRPr="006D7D62" w:rsidRDefault="00FC05C1" w:rsidP="00FC05C1">
      <w:pPr>
        <w:pStyle w:val="Prrafodelista"/>
        <w:numPr>
          <w:ilvl w:val="0"/>
          <w:numId w:val="13"/>
        </w:numPr>
        <w:ind w:left="426"/>
        <w:contextualSpacing/>
        <w:jc w:val="both"/>
        <w:rPr>
          <w:rFonts w:asciiTheme="minorHAnsi" w:hAnsiTheme="minorHAnsi" w:cstheme="minorHAnsi"/>
          <w:sz w:val="22"/>
          <w:szCs w:val="22"/>
        </w:rPr>
      </w:pPr>
      <w:r w:rsidRPr="006D7D62">
        <w:rPr>
          <w:rFonts w:asciiTheme="minorHAnsi" w:hAnsiTheme="minorHAnsi" w:cstheme="minorHAnsi"/>
          <w:b/>
          <w:sz w:val="22"/>
          <w:szCs w:val="22"/>
        </w:rPr>
        <w:t>La disminución de las existencias de crudo; así como la disminución de los inventarios de gasolinas y el aumento de los inventarios de propano y diésel, al 08 de marzo del 2024</w:t>
      </w:r>
    </w:p>
    <w:p w14:paraId="61AFFA37" w14:textId="77777777" w:rsidR="00FC05C1" w:rsidRPr="006D7D62" w:rsidRDefault="00FC05C1" w:rsidP="00FC05C1">
      <w:pPr>
        <w:jc w:val="both"/>
        <w:rPr>
          <w:rFonts w:asciiTheme="minorHAnsi" w:hAnsiTheme="minorHAnsi" w:cstheme="minorHAnsi"/>
          <w:sz w:val="22"/>
          <w:szCs w:val="22"/>
        </w:rPr>
      </w:pPr>
    </w:p>
    <w:p w14:paraId="371EEE51" w14:textId="77777777" w:rsidR="00FC05C1" w:rsidRPr="006D7D62" w:rsidRDefault="00FC05C1" w:rsidP="00FC05C1">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Los inventarios de petróleo de Estados Unidos cayeron en 1,5 millones de barriles, ubicándose en -3% por debajo de la media de los últimos 5 años en esta época del año, lo que representa 447,0 millones de barriles.</w:t>
      </w:r>
    </w:p>
    <w:p w14:paraId="38A96734" w14:textId="77777777" w:rsidR="00FC05C1" w:rsidRPr="006D7D62" w:rsidRDefault="00FC05C1" w:rsidP="00FC05C1">
      <w:pPr>
        <w:pStyle w:val="Prrafodelista"/>
        <w:ind w:left="426"/>
        <w:jc w:val="both"/>
        <w:rPr>
          <w:rFonts w:asciiTheme="minorHAnsi" w:hAnsiTheme="minorHAnsi" w:cstheme="minorHAnsi"/>
          <w:sz w:val="22"/>
          <w:szCs w:val="22"/>
        </w:rPr>
      </w:pPr>
    </w:p>
    <w:p w14:paraId="55E8FE32" w14:textId="6DAC7A10" w:rsidR="00FC05C1" w:rsidRDefault="00FC05C1" w:rsidP="00FC05C1">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Por su parte, las existencias de gasolina se redujeron en 5,7 millones de barriles, reportando un total de 234,1 millones de barriles; mientras los inventarios de destilados, que incluyen al diésel y al combustible para calefacción, subieron 0,9 millones de barriles, con un total de 117,9 millones de barriles. Finalmente, las existencias de propano aumentaron 0,678 millones de barriles, ubicándose en los 51,855 millones de barriles.</w:t>
      </w:r>
    </w:p>
    <w:p w14:paraId="0CD3B16D" w14:textId="304A4E95" w:rsidR="00F91A25" w:rsidRDefault="00F91A25" w:rsidP="00FC05C1">
      <w:pPr>
        <w:pStyle w:val="Prrafodelista"/>
        <w:ind w:left="426"/>
        <w:jc w:val="both"/>
        <w:rPr>
          <w:rFonts w:asciiTheme="minorHAnsi" w:hAnsiTheme="minorHAnsi" w:cstheme="minorHAnsi"/>
          <w:sz w:val="22"/>
          <w:szCs w:val="22"/>
        </w:rPr>
      </w:pPr>
    </w:p>
    <w:p w14:paraId="2DB57582" w14:textId="2569CBBA" w:rsidR="00F91A25" w:rsidRDefault="00F91A25" w:rsidP="00FC05C1">
      <w:pPr>
        <w:pStyle w:val="Prrafodelista"/>
        <w:ind w:left="426"/>
        <w:jc w:val="both"/>
        <w:rPr>
          <w:rFonts w:asciiTheme="minorHAnsi" w:hAnsiTheme="minorHAnsi" w:cstheme="minorHAnsi"/>
          <w:sz w:val="22"/>
          <w:szCs w:val="22"/>
        </w:rPr>
      </w:pPr>
    </w:p>
    <w:p w14:paraId="66B96DB1" w14:textId="77777777" w:rsidR="00F91A25" w:rsidRPr="006D7D62" w:rsidRDefault="00F91A25" w:rsidP="00FC05C1">
      <w:pPr>
        <w:pStyle w:val="Prrafodelista"/>
        <w:ind w:left="426"/>
        <w:jc w:val="both"/>
        <w:rPr>
          <w:rFonts w:asciiTheme="minorHAnsi" w:hAnsiTheme="minorHAnsi" w:cstheme="minorHAnsi"/>
          <w:sz w:val="22"/>
          <w:szCs w:val="22"/>
        </w:rPr>
      </w:pPr>
    </w:p>
    <w:p w14:paraId="666CA8DE" w14:textId="77777777" w:rsidR="00FC05C1" w:rsidRPr="006D7D62" w:rsidRDefault="00FC05C1" w:rsidP="00FC05C1">
      <w:pPr>
        <w:pStyle w:val="Prrafodelista"/>
        <w:ind w:left="360"/>
        <w:jc w:val="both"/>
        <w:rPr>
          <w:rFonts w:asciiTheme="minorHAnsi" w:hAnsiTheme="minorHAnsi" w:cstheme="minorHAnsi"/>
          <w:b/>
          <w:sz w:val="22"/>
          <w:szCs w:val="22"/>
        </w:rPr>
      </w:pPr>
    </w:p>
    <w:p w14:paraId="71972B48" w14:textId="77777777" w:rsidR="00FC05C1" w:rsidRPr="00FC05C1" w:rsidRDefault="00FC05C1" w:rsidP="00FC05C1">
      <w:pPr>
        <w:pStyle w:val="Prrafodelista"/>
        <w:numPr>
          <w:ilvl w:val="0"/>
          <w:numId w:val="13"/>
        </w:numPr>
        <w:ind w:left="426"/>
        <w:contextualSpacing/>
        <w:jc w:val="both"/>
        <w:rPr>
          <w:rFonts w:asciiTheme="minorHAnsi" w:hAnsiTheme="minorHAnsi" w:cstheme="minorHAnsi"/>
          <w:b/>
          <w:sz w:val="22"/>
          <w:szCs w:val="22"/>
        </w:rPr>
      </w:pPr>
      <w:r w:rsidRPr="00FC05C1">
        <w:rPr>
          <w:rFonts w:asciiTheme="minorHAnsi" w:hAnsiTheme="minorHAnsi" w:cstheme="minorHAnsi"/>
          <w:b/>
          <w:sz w:val="22"/>
          <w:szCs w:val="22"/>
        </w:rPr>
        <w:lastRenderedPageBreak/>
        <w:t>Las señales de escasez de oferta, debido a la ampliación de los recortes voluntarios de producción de petróleo hasta finales del segundo trimestre 2024, de parte de los productores de la OPEP</w:t>
      </w:r>
    </w:p>
    <w:p w14:paraId="4F6452CE" w14:textId="77777777" w:rsidR="00FC05C1" w:rsidRPr="006D7D62" w:rsidRDefault="00FC05C1" w:rsidP="00FC05C1">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br/>
        <w:t>La OPEP prorrogará sus recortes voluntarios de producción de petróleo de 2,2 millones de barriles por día (bpd) hasta el segundo trimestre del 2024. Desde finales de 2022, la OPEP ha aplicado una serie de recortes de la producción para sostener el mercado en un contexto de aumento de la producción de Estados Unidos y de otros productores no miembros y de preocupación por la demanda, ya que las principales economías se enfrentan a altas tasas de interés.</w:t>
      </w:r>
    </w:p>
    <w:p w14:paraId="56C9872B" w14:textId="111EAB4A" w:rsidR="00FC05C1" w:rsidRPr="006D7D62" w:rsidRDefault="00FC05C1" w:rsidP="00FC05C1">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br/>
        <w:t>Asimismo, Rusia recortará su producción y sus exportaciones petroleras en 471</w:t>
      </w:r>
      <w:r w:rsidR="00F91A25">
        <w:rPr>
          <w:rFonts w:asciiTheme="minorHAnsi" w:hAnsiTheme="minorHAnsi" w:cstheme="minorHAnsi"/>
          <w:sz w:val="22"/>
          <w:szCs w:val="22"/>
        </w:rPr>
        <w:t xml:space="preserve"> mil</w:t>
      </w:r>
      <w:r w:rsidRPr="006D7D62">
        <w:rPr>
          <w:rFonts w:asciiTheme="minorHAnsi" w:hAnsiTheme="minorHAnsi" w:cstheme="minorHAnsi"/>
          <w:sz w:val="22"/>
          <w:szCs w:val="22"/>
        </w:rPr>
        <w:t xml:space="preserve"> bpd adicionales en el segundo trimestre del 2024, en coordinación con algunos países participantes de la OPEP. El recorte adicional ruso está estrechamente relacionado con un desplome de 400</w:t>
      </w:r>
      <w:r w:rsidR="00F91A25">
        <w:rPr>
          <w:rFonts w:asciiTheme="minorHAnsi" w:hAnsiTheme="minorHAnsi" w:cstheme="minorHAnsi"/>
          <w:sz w:val="22"/>
          <w:szCs w:val="22"/>
        </w:rPr>
        <w:t xml:space="preserve"> mil</w:t>
      </w:r>
      <w:r w:rsidRPr="006D7D62">
        <w:rPr>
          <w:rFonts w:asciiTheme="minorHAnsi" w:hAnsiTheme="minorHAnsi" w:cstheme="minorHAnsi"/>
          <w:sz w:val="22"/>
          <w:szCs w:val="22"/>
        </w:rPr>
        <w:t xml:space="preserve"> bpd en el funcionamiento de las refinerías del país, derivado en gran medida de los ataques de drones ucranianos contra activos de refino en Rusia.</w:t>
      </w:r>
    </w:p>
    <w:p w14:paraId="0C5370C3" w14:textId="77777777" w:rsidR="00FC05C1" w:rsidRPr="006D7D62" w:rsidRDefault="00FC05C1" w:rsidP="00FC05C1">
      <w:pPr>
        <w:pStyle w:val="Prrafodelista"/>
        <w:ind w:left="426"/>
        <w:jc w:val="both"/>
        <w:rPr>
          <w:rFonts w:asciiTheme="minorHAnsi" w:hAnsiTheme="minorHAnsi" w:cstheme="minorHAnsi"/>
          <w:sz w:val="22"/>
          <w:szCs w:val="22"/>
        </w:rPr>
      </w:pPr>
    </w:p>
    <w:p w14:paraId="7819B124" w14:textId="77777777" w:rsidR="00FC05C1" w:rsidRPr="006D7D62" w:rsidRDefault="00FC05C1" w:rsidP="00FC05C1">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Goldman Sachs también previó que los responsables de la OPEP anunciarían una prórroga de los recortes de producción a principios de marzo 2024 para mantener el mercado en un déficit moderado, que considera de 0,5 millones de bpd en el primer trimestre del 2024 y de 0,4 millones de bpd en el segundo trimestre del 2024.</w:t>
      </w:r>
    </w:p>
    <w:p w14:paraId="0CADBD26" w14:textId="77777777" w:rsidR="00FC05C1" w:rsidRPr="006D7D62" w:rsidRDefault="00FC05C1" w:rsidP="00FC05C1">
      <w:pPr>
        <w:jc w:val="both"/>
        <w:rPr>
          <w:rFonts w:asciiTheme="minorHAnsi" w:hAnsiTheme="minorHAnsi" w:cstheme="minorHAnsi"/>
          <w:sz w:val="22"/>
          <w:szCs w:val="22"/>
        </w:rPr>
      </w:pPr>
    </w:p>
    <w:p w14:paraId="003E1314" w14:textId="77777777" w:rsidR="00FC05C1" w:rsidRPr="00F91A25" w:rsidRDefault="00FC05C1" w:rsidP="00F91A25">
      <w:pPr>
        <w:pStyle w:val="Prrafodelista"/>
        <w:numPr>
          <w:ilvl w:val="0"/>
          <w:numId w:val="13"/>
        </w:numPr>
        <w:ind w:left="426"/>
        <w:contextualSpacing/>
        <w:jc w:val="both"/>
        <w:rPr>
          <w:rFonts w:asciiTheme="minorHAnsi" w:hAnsiTheme="minorHAnsi" w:cstheme="minorHAnsi"/>
          <w:b/>
          <w:sz w:val="22"/>
          <w:szCs w:val="22"/>
        </w:rPr>
      </w:pPr>
      <w:r w:rsidRPr="00F91A25">
        <w:rPr>
          <w:rFonts w:asciiTheme="minorHAnsi" w:hAnsiTheme="minorHAnsi" w:cstheme="minorHAnsi"/>
          <w:b/>
          <w:sz w:val="22"/>
          <w:szCs w:val="22"/>
        </w:rPr>
        <w:t>Las preocupaciones por las metas de crecimiento económico de China</w:t>
      </w:r>
    </w:p>
    <w:p w14:paraId="686EA98D" w14:textId="77777777" w:rsidR="00FC05C1" w:rsidRPr="006D7D62" w:rsidRDefault="00FC05C1" w:rsidP="00FC05C1">
      <w:pPr>
        <w:jc w:val="both"/>
        <w:rPr>
          <w:rFonts w:asciiTheme="minorHAnsi" w:hAnsiTheme="minorHAnsi" w:cstheme="minorHAnsi"/>
          <w:b/>
          <w:bCs/>
          <w:sz w:val="22"/>
          <w:szCs w:val="22"/>
        </w:rPr>
      </w:pPr>
    </w:p>
    <w:p w14:paraId="786B6468" w14:textId="77777777"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En el mercado, prevaleció el escepticismo en torno al crecimiento económico de China. Este país fijó un objetivo de crecimiento económico para 2024 en torno al 5%, similar al del año pasado y en línea con las expectativas de los analistas, pero la falta de planes de estímulo de gran envergadura para la recuperación de su economía decepcionó a los inversores.</w:t>
      </w:r>
    </w:p>
    <w:p w14:paraId="4AF7DE5F" w14:textId="77777777" w:rsidR="00FC05C1" w:rsidRPr="006D7D62" w:rsidRDefault="00FC05C1" w:rsidP="00F91A25">
      <w:pPr>
        <w:pStyle w:val="Prrafodelista"/>
        <w:ind w:left="426"/>
        <w:jc w:val="both"/>
        <w:rPr>
          <w:rFonts w:asciiTheme="minorHAnsi" w:hAnsiTheme="minorHAnsi" w:cstheme="minorHAnsi"/>
          <w:sz w:val="22"/>
          <w:szCs w:val="22"/>
        </w:rPr>
      </w:pPr>
    </w:p>
    <w:p w14:paraId="221AAE44" w14:textId="77777777"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Según analistas, el objetivo de crecimiento es bueno, pero lo que falta es precisar cómo quieren lograrlo; qué tipo de estímulo aplicarán para ello. La aversión al riesgo en los mercados financieros en general también ejerció presión sobre los precios.</w:t>
      </w:r>
    </w:p>
    <w:p w14:paraId="749C32AD" w14:textId="77777777" w:rsidR="00FC05C1" w:rsidRPr="006D7D62" w:rsidRDefault="00FC05C1" w:rsidP="00F91A25">
      <w:pPr>
        <w:pStyle w:val="Prrafodelista"/>
        <w:ind w:left="426"/>
        <w:jc w:val="both"/>
        <w:rPr>
          <w:rFonts w:asciiTheme="minorHAnsi" w:hAnsiTheme="minorHAnsi" w:cstheme="minorHAnsi"/>
          <w:sz w:val="22"/>
          <w:szCs w:val="22"/>
        </w:rPr>
      </w:pPr>
    </w:p>
    <w:p w14:paraId="27511E18" w14:textId="77777777"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En los 2 primeros meses del 2024, las importaciones chinas de petróleo han ido más débiles que en los meses anteriores, siguiendo una tendencia bajista de las compras por parte del principal importador de petróleo del mundo.</w:t>
      </w:r>
    </w:p>
    <w:p w14:paraId="6DFC534F" w14:textId="77777777" w:rsidR="00FC05C1" w:rsidRPr="00F91A25" w:rsidRDefault="00FC05C1" w:rsidP="00F91A25">
      <w:pPr>
        <w:pStyle w:val="Prrafodelista"/>
        <w:ind w:left="426"/>
        <w:jc w:val="both"/>
        <w:rPr>
          <w:rFonts w:asciiTheme="minorHAnsi" w:hAnsiTheme="minorHAnsi" w:cstheme="minorHAnsi"/>
          <w:sz w:val="22"/>
          <w:szCs w:val="22"/>
        </w:rPr>
      </w:pPr>
    </w:p>
    <w:p w14:paraId="041500AE" w14:textId="77777777" w:rsidR="00FC05C1" w:rsidRPr="006D7D62" w:rsidRDefault="00FC05C1" w:rsidP="00F91A25">
      <w:pPr>
        <w:pStyle w:val="Prrafodelista"/>
        <w:numPr>
          <w:ilvl w:val="0"/>
          <w:numId w:val="13"/>
        </w:numPr>
        <w:ind w:left="426"/>
        <w:contextualSpacing/>
        <w:jc w:val="both"/>
        <w:rPr>
          <w:rFonts w:asciiTheme="minorHAnsi" w:hAnsiTheme="minorHAnsi" w:cstheme="minorHAnsi"/>
          <w:b/>
          <w:sz w:val="22"/>
          <w:szCs w:val="22"/>
        </w:rPr>
      </w:pPr>
      <w:r w:rsidRPr="006D7D62">
        <w:rPr>
          <w:rFonts w:asciiTheme="minorHAnsi" w:hAnsiTheme="minorHAnsi" w:cstheme="minorHAnsi"/>
          <w:b/>
          <w:sz w:val="22"/>
          <w:szCs w:val="22"/>
        </w:rPr>
        <w:t>Las perspectivas de retrasos en los recortes de las tasas de interés en Estados Unidos, teniendo en cuenta los continuos riesgos inflacionarios</w:t>
      </w:r>
    </w:p>
    <w:p w14:paraId="34C7B3CE" w14:textId="77777777" w:rsidR="00FC05C1" w:rsidRPr="006D7D62" w:rsidRDefault="00FC05C1" w:rsidP="00FC05C1">
      <w:pPr>
        <w:pStyle w:val="Prrafodelista"/>
        <w:ind w:left="360"/>
        <w:jc w:val="both"/>
        <w:rPr>
          <w:rFonts w:asciiTheme="minorHAnsi" w:hAnsiTheme="minorHAnsi" w:cstheme="minorHAnsi"/>
          <w:b/>
          <w:sz w:val="22"/>
          <w:szCs w:val="22"/>
        </w:rPr>
      </w:pPr>
    </w:p>
    <w:p w14:paraId="6C49C032" w14:textId="77777777"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El gobernador de la FED señaló que las autoridades de la Reserva Federal de Estados Unidos deberían retrasar los recortes de las tasas de interés al menos un par de meses más para evaluar si el repunte de la inflación indica un estancamiento en el progreso hacia la estabilidad de los precios o es un evento coyuntural.</w:t>
      </w:r>
    </w:p>
    <w:p w14:paraId="645F409D" w14:textId="77777777"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br/>
        <w:t>Unas tasas de interés altas durante más tiempo podrían retrasar el crecimiento económico. Sin embargo, algunos analistas afirman que la demanda de petróleo se ha mantenido en gran medida saludable, incluso en Estados Unidos.</w:t>
      </w:r>
    </w:p>
    <w:p w14:paraId="353EAA04" w14:textId="77777777" w:rsidR="00FC05C1" w:rsidRPr="006D7D62" w:rsidRDefault="00FC05C1" w:rsidP="00F91A25">
      <w:pPr>
        <w:pStyle w:val="Prrafodelista"/>
        <w:ind w:left="426"/>
        <w:jc w:val="both"/>
        <w:rPr>
          <w:rFonts w:asciiTheme="minorHAnsi" w:hAnsiTheme="minorHAnsi" w:cstheme="minorHAnsi"/>
          <w:sz w:val="22"/>
          <w:szCs w:val="22"/>
        </w:rPr>
      </w:pPr>
    </w:p>
    <w:p w14:paraId="400D3345" w14:textId="77777777"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 xml:space="preserve">La Reserva Federal de Nueva York señaló que su Encuesta de Expectativas de los Consumidores de enero mostraba que las perspectivas de inflación para dentro de 1 año y 5 años se mantenían por encima del objetivo del 2% fijado por la Reserva Federal. </w:t>
      </w:r>
    </w:p>
    <w:p w14:paraId="5574B369" w14:textId="77777777" w:rsidR="00FC05C1" w:rsidRPr="006D7D62" w:rsidRDefault="00FC05C1" w:rsidP="00F91A25">
      <w:pPr>
        <w:pStyle w:val="Prrafodelista"/>
        <w:ind w:left="426"/>
        <w:jc w:val="both"/>
        <w:rPr>
          <w:rFonts w:asciiTheme="minorHAnsi" w:hAnsiTheme="minorHAnsi" w:cstheme="minorHAnsi"/>
          <w:sz w:val="22"/>
          <w:szCs w:val="22"/>
        </w:rPr>
      </w:pPr>
    </w:p>
    <w:p w14:paraId="791398B6" w14:textId="77777777" w:rsidR="00FC05C1" w:rsidRPr="00F91A25" w:rsidRDefault="00FC05C1" w:rsidP="00F91A25">
      <w:pPr>
        <w:pStyle w:val="Prrafodelista"/>
        <w:numPr>
          <w:ilvl w:val="0"/>
          <w:numId w:val="13"/>
        </w:numPr>
        <w:ind w:left="426"/>
        <w:contextualSpacing/>
        <w:jc w:val="both"/>
        <w:rPr>
          <w:rFonts w:asciiTheme="minorHAnsi" w:hAnsiTheme="minorHAnsi" w:cstheme="minorHAnsi"/>
          <w:b/>
          <w:sz w:val="22"/>
          <w:szCs w:val="22"/>
        </w:rPr>
      </w:pPr>
      <w:r w:rsidRPr="00F91A25">
        <w:rPr>
          <w:rFonts w:asciiTheme="minorHAnsi" w:hAnsiTheme="minorHAnsi" w:cstheme="minorHAnsi"/>
          <w:b/>
          <w:sz w:val="22"/>
          <w:szCs w:val="22"/>
        </w:rPr>
        <w:t>La producción de petróleo en Estados Unidos prevista para el 2024</w:t>
      </w:r>
    </w:p>
    <w:p w14:paraId="1B618FDF" w14:textId="77777777" w:rsidR="00F91A25" w:rsidRDefault="00F91A25" w:rsidP="00F91A25">
      <w:pPr>
        <w:pStyle w:val="Prrafodelista"/>
        <w:ind w:left="426"/>
        <w:jc w:val="both"/>
        <w:rPr>
          <w:rFonts w:asciiTheme="minorHAnsi" w:hAnsiTheme="minorHAnsi" w:cstheme="minorHAnsi"/>
          <w:sz w:val="22"/>
          <w:szCs w:val="22"/>
        </w:rPr>
      </w:pPr>
    </w:p>
    <w:p w14:paraId="7FD66896" w14:textId="3C505676"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Según la EIA (Administración de Información de Energía de Estados Unidos), la producción de petróleo de Estados Unidos en 2023 alcanzó un récord histórico con un promedio de 12,9 millones de barriles por día (bpd). En 2023, Estados Unidos, por sexto año consecutivo, ha producido más petróleo que cualquier otro país. En su informe de “Perspectivas Energéticas a Corto Plazo” (STEO) la EIA eleva su previsión para el crecimiento de la producción nacional de petróleo en 2024 a 260</w:t>
      </w:r>
      <w:r w:rsidR="00F91A25">
        <w:rPr>
          <w:rFonts w:asciiTheme="minorHAnsi" w:hAnsiTheme="minorHAnsi" w:cstheme="minorHAnsi"/>
          <w:sz w:val="22"/>
          <w:szCs w:val="22"/>
        </w:rPr>
        <w:t xml:space="preserve"> mil</w:t>
      </w:r>
      <w:r w:rsidRPr="006D7D62">
        <w:rPr>
          <w:rFonts w:asciiTheme="minorHAnsi" w:hAnsiTheme="minorHAnsi" w:cstheme="minorHAnsi"/>
          <w:sz w:val="22"/>
          <w:szCs w:val="22"/>
        </w:rPr>
        <w:t xml:space="preserve"> barriles por día, hacía una producción anual de 13,19 millones barriles, unos 90</w:t>
      </w:r>
      <w:r w:rsidR="00F91A25">
        <w:rPr>
          <w:rFonts w:asciiTheme="minorHAnsi" w:hAnsiTheme="minorHAnsi" w:cstheme="minorHAnsi"/>
          <w:sz w:val="22"/>
          <w:szCs w:val="22"/>
        </w:rPr>
        <w:t xml:space="preserve"> mil</w:t>
      </w:r>
      <w:r w:rsidRPr="006D7D62">
        <w:rPr>
          <w:rFonts w:asciiTheme="minorHAnsi" w:hAnsiTheme="minorHAnsi" w:cstheme="minorHAnsi"/>
          <w:sz w:val="22"/>
          <w:szCs w:val="22"/>
        </w:rPr>
        <w:t xml:space="preserve"> barriles más frente a la previsión estimada anteriormente de 170</w:t>
      </w:r>
      <w:r w:rsidR="00F91A25">
        <w:rPr>
          <w:rFonts w:asciiTheme="minorHAnsi" w:hAnsiTheme="minorHAnsi" w:cstheme="minorHAnsi"/>
          <w:sz w:val="22"/>
          <w:szCs w:val="22"/>
        </w:rPr>
        <w:t xml:space="preserve"> mil</w:t>
      </w:r>
      <w:r w:rsidRPr="006D7D62">
        <w:rPr>
          <w:rFonts w:asciiTheme="minorHAnsi" w:hAnsiTheme="minorHAnsi" w:cstheme="minorHAnsi"/>
          <w:sz w:val="22"/>
          <w:szCs w:val="22"/>
        </w:rPr>
        <w:t xml:space="preserve"> bpd.</w:t>
      </w:r>
    </w:p>
    <w:p w14:paraId="0BCE2B15" w14:textId="77777777" w:rsidR="00F91A25" w:rsidRDefault="00F91A25" w:rsidP="00F91A25">
      <w:pPr>
        <w:pStyle w:val="Prrafodelista"/>
        <w:ind w:left="426"/>
        <w:jc w:val="both"/>
        <w:rPr>
          <w:rFonts w:asciiTheme="minorHAnsi" w:hAnsiTheme="minorHAnsi" w:cstheme="minorHAnsi"/>
          <w:sz w:val="22"/>
          <w:szCs w:val="22"/>
        </w:rPr>
      </w:pPr>
    </w:p>
    <w:p w14:paraId="5F77470A" w14:textId="11604092"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En 2024, el consumo total de petróleo de Estados Unidos aumentará unos 200</w:t>
      </w:r>
      <w:r w:rsidR="00F91A25">
        <w:rPr>
          <w:rFonts w:asciiTheme="minorHAnsi" w:hAnsiTheme="minorHAnsi" w:cstheme="minorHAnsi"/>
          <w:sz w:val="22"/>
          <w:szCs w:val="22"/>
        </w:rPr>
        <w:t xml:space="preserve"> mil</w:t>
      </w:r>
      <w:r w:rsidRPr="006D7D62">
        <w:rPr>
          <w:rFonts w:asciiTheme="minorHAnsi" w:hAnsiTheme="minorHAnsi" w:cstheme="minorHAnsi"/>
          <w:sz w:val="22"/>
          <w:szCs w:val="22"/>
        </w:rPr>
        <w:t xml:space="preserve"> bpd a 20,4 millones de bpd.</w:t>
      </w:r>
    </w:p>
    <w:p w14:paraId="7DED30E8" w14:textId="77777777" w:rsidR="00FC05C1" w:rsidRPr="006D7D62" w:rsidRDefault="00FC05C1" w:rsidP="00FC05C1">
      <w:pPr>
        <w:pStyle w:val="Prrafodelista"/>
        <w:ind w:left="284"/>
        <w:jc w:val="both"/>
        <w:rPr>
          <w:rFonts w:asciiTheme="minorHAnsi" w:hAnsiTheme="minorHAnsi" w:cstheme="minorHAnsi"/>
          <w:sz w:val="22"/>
          <w:szCs w:val="22"/>
        </w:rPr>
      </w:pPr>
    </w:p>
    <w:p w14:paraId="0F7A322A" w14:textId="77777777" w:rsidR="00FC05C1" w:rsidRPr="00F91A25" w:rsidRDefault="00FC05C1" w:rsidP="00F91A25">
      <w:pPr>
        <w:pStyle w:val="Prrafodelista"/>
        <w:numPr>
          <w:ilvl w:val="0"/>
          <w:numId w:val="13"/>
        </w:numPr>
        <w:ind w:left="426"/>
        <w:contextualSpacing/>
        <w:jc w:val="both"/>
        <w:rPr>
          <w:rFonts w:asciiTheme="minorHAnsi" w:hAnsiTheme="minorHAnsi" w:cstheme="minorHAnsi"/>
          <w:b/>
          <w:sz w:val="22"/>
          <w:szCs w:val="22"/>
        </w:rPr>
      </w:pPr>
      <w:r w:rsidRPr="00F91A25">
        <w:rPr>
          <w:rFonts w:asciiTheme="minorHAnsi" w:hAnsiTheme="minorHAnsi" w:cstheme="minorHAnsi"/>
          <w:b/>
          <w:sz w:val="22"/>
          <w:szCs w:val="22"/>
        </w:rPr>
        <w:t>Los continuos ataques a buques comerciales en el Mar Rojo y las expectativas de un alto al fuego en el Medio Oriente</w:t>
      </w:r>
    </w:p>
    <w:p w14:paraId="5DE32EBA" w14:textId="77777777" w:rsidR="00FC05C1" w:rsidRPr="00F91A25" w:rsidRDefault="00FC05C1" w:rsidP="00F91A25">
      <w:pPr>
        <w:pStyle w:val="Prrafodelista"/>
        <w:ind w:left="426"/>
        <w:contextualSpacing/>
        <w:jc w:val="both"/>
        <w:rPr>
          <w:rFonts w:asciiTheme="minorHAnsi" w:hAnsiTheme="minorHAnsi" w:cstheme="minorHAnsi"/>
          <w:b/>
          <w:sz w:val="22"/>
          <w:szCs w:val="22"/>
        </w:rPr>
      </w:pPr>
    </w:p>
    <w:p w14:paraId="6F847B9F" w14:textId="77777777"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 xml:space="preserve">El conflicto en Medio Oriente ha mantenido elevados los precios, mientras los mediadores de Estados Unidos, Qatar y Egipto siguen intentando lograr un alto el fuego en la Franja de Gaza. </w:t>
      </w:r>
    </w:p>
    <w:p w14:paraId="48876BBC" w14:textId="77777777" w:rsidR="00FC05C1" w:rsidRPr="006D7D62" w:rsidRDefault="00FC05C1" w:rsidP="00F91A25">
      <w:pPr>
        <w:pStyle w:val="Prrafodelista"/>
        <w:ind w:left="426"/>
        <w:jc w:val="both"/>
        <w:rPr>
          <w:rFonts w:asciiTheme="minorHAnsi" w:hAnsiTheme="minorHAnsi" w:cstheme="minorHAnsi"/>
          <w:sz w:val="22"/>
          <w:szCs w:val="22"/>
        </w:rPr>
      </w:pPr>
    </w:p>
    <w:p w14:paraId="0E3CF792" w14:textId="77777777" w:rsidR="00FC05C1" w:rsidRPr="006D7D62" w:rsidRDefault="00FC05C1" w:rsidP="00F91A25">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 xml:space="preserve">Los hutíes de Yemen, alineados con Irán; han mantenido sus ataques en el Mar Rojo, a buques vinculados comercialmente a Estados Unidos, Gran Bretaña e Israel desde mediados de noviembre 2023. </w:t>
      </w:r>
    </w:p>
    <w:p w14:paraId="53F26192" w14:textId="77777777" w:rsidR="00FC05C1" w:rsidRPr="006D7D62" w:rsidRDefault="00FC05C1" w:rsidP="00FC05C1">
      <w:pPr>
        <w:pStyle w:val="Prrafodelista"/>
        <w:ind w:left="284"/>
        <w:jc w:val="both"/>
        <w:rPr>
          <w:rFonts w:asciiTheme="minorHAnsi" w:hAnsiTheme="minorHAnsi" w:cstheme="minorHAnsi"/>
          <w:sz w:val="22"/>
          <w:szCs w:val="22"/>
        </w:rPr>
      </w:pPr>
    </w:p>
    <w:p w14:paraId="14960D76" w14:textId="77777777" w:rsidR="00FC05C1" w:rsidRPr="006D7D62" w:rsidRDefault="00FC05C1" w:rsidP="00FC05C1">
      <w:pPr>
        <w:pStyle w:val="Prrafodelista"/>
        <w:ind w:left="426"/>
        <w:jc w:val="both"/>
        <w:rPr>
          <w:rFonts w:asciiTheme="minorHAnsi" w:hAnsiTheme="minorHAnsi" w:cstheme="minorHAnsi"/>
          <w:sz w:val="22"/>
          <w:szCs w:val="22"/>
        </w:rPr>
      </w:pPr>
      <w:r w:rsidRPr="006D7D62">
        <w:rPr>
          <w:rFonts w:asciiTheme="minorHAnsi" w:hAnsiTheme="minorHAnsi" w:cstheme="minorHAnsi"/>
          <w:sz w:val="22"/>
          <w:szCs w:val="22"/>
        </w:rPr>
        <w:t xml:space="preserve">El líder del brazo político de Hamás, Ismail Haniya, ha asegurado que la milicia palestina continúa abierta a seguir negociando un acuerdo de intercambio de rehenes a cambio de un alto el fuego con Israel, aunque ha rechazado la devolución de los secuestrados sin una garantía de que Israel no continuará con su ofensiva sobre Gaza.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w:t>
      </w:r>
      <w:r w:rsidRPr="006C04F5">
        <w:rPr>
          <w:rFonts w:asciiTheme="minorHAnsi" w:hAnsiTheme="minorHAnsi" w:cstheme="minorHAnsi"/>
          <w:sz w:val="22"/>
          <w:szCs w:val="22"/>
        </w:rPr>
        <w:lastRenderedPageBreak/>
        <w:t>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0328CF46"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0F9F796B" w:rsidR="006C04F5" w:rsidRDefault="00F91A25" w:rsidP="00B230B8">
      <w:pPr>
        <w:contextualSpacing/>
        <w:jc w:val="both"/>
        <w:rPr>
          <w:rFonts w:asciiTheme="minorHAnsi" w:hAnsiTheme="minorHAnsi" w:cstheme="minorHAnsi"/>
          <w:color w:val="191919"/>
          <w:sz w:val="22"/>
          <w:szCs w:val="22"/>
        </w:rPr>
      </w:pPr>
      <w:r>
        <w:rPr>
          <w:rFonts w:asciiTheme="minorHAnsi" w:hAnsiTheme="minorHAnsi" w:cstheme="minorHAnsi"/>
          <w:color w:val="191919"/>
          <w:sz w:val="22"/>
          <w:szCs w:val="22"/>
        </w:rPr>
        <w:lastRenderedPageBreak/>
        <w:t xml:space="preserve"> </w:t>
      </w:r>
    </w:p>
    <w:p w14:paraId="2CDE603B" w14:textId="77777777" w:rsidR="00F91A25" w:rsidRDefault="00F91A2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0558880A">
            <wp:extent cx="5409152" cy="2997641"/>
            <wp:effectExtent l="0" t="0" r="1270" b="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51511" cy="3021115"/>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067A945"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6B8C2E60" w14:textId="4090249D"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E6204C">
        <w:rPr>
          <w:rFonts w:asciiTheme="minorHAnsi" w:hAnsiTheme="minorHAnsi" w:cstheme="minorHAnsi"/>
          <w:sz w:val="22"/>
          <w:szCs w:val="22"/>
        </w:rPr>
        <w:t>16</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557C48">
        <w:rPr>
          <w:rFonts w:asciiTheme="minorHAnsi" w:hAnsiTheme="minorHAnsi" w:cstheme="minorHAnsi"/>
          <w:sz w:val="22"/>
          <w:szCs w:val="22"/>
        </w:rPr>
        <w:t>01</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557C48">
        <w:rPr>
          <w:rFonts w:asciiTheme="minorHAnsi" w:hAnsiTheme="minorHAnsi" w:cstheme="minorHAnsi"/>
          <w:sz w:val="22"/>
          <w:szCs w:val="22"/>
        </w:rPr>
        <w:t>8</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r w:rsidR="00557C48">
        <w:rPr>
          <w:rFonts w:asciiTheme="minorHAnsi" w:hAnsiTheme="minorHAnsi" w:cstheme="minorHAnsi"/>
          <w:sz w:val="22"/>
          <w:szCs w:val="22"/>
        </w:rPr>
        <w:t xml:space="preserve"> Asimismo, </w:t>
      </w:r>
      <w:r w:rsidR="00557C48" w:rsidRPr="004D4B7D">
        <w:rPr>
          <w:rFonts w:asciiTheme="minorHAnsi" w:hAnsiTheme="minorHAnsi" w:cstheme="minorHAnsi"/>
          <w:sz w:val="22"/>
          <w:szCs w:val="22"/>
        </w:rPr>
        <w:t>se fij</w:t>
      </w:r>
      <w:r w:rsidR="00557C48">
        <w:rPr>
          <w:rFonts w:asciiTheme="minorHAnsi" w:hAnsiTheme="minorHAnsi" w:cstheme="minorHAnsi"/>
          <w:sz w:val="22"/>
          <w:szCs w:val="22"/>
        </w:rPr>
        <w:t>ó</w:t>
      </w:r>
      <w:r w:rsidR="00557C48" w:rsidRPr="004D4B7D">
        <w:rPr>
          <w:rFonts w:asciiTheme="minorHAnsi" w:hAnsiTheme="minorHAnsi" w:cstheme="minorHAnsi"/>
          <w:sz w:val="22"/>
          <w:szCs w:val="22"/>
        </w:rPr>
        <w:t xml:space="preserve"> </w:t>
      </w:r>
      <w:r w:rsidR="00557C48">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01 de marzo de 2024 hasta el 25 de abril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218B3DA6"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 0</w:t>
      </w:r>
      <w:r w:rsidR="00557C48">
        <w:rPr>
          <w:rFonts w:asciiTheme="minorHAnsi" w:hAnsiTheme="minorHAnsi" w:cstheme="minorHAnsi"/>
          <w:sz w:val="22"/>
          <w:szCs w:val="22"/>
        </w:rPr>
        <w:t>16</w:t>
      </w:r>
      <w:r>
        <w:rPr>
          <w:rFonts w:asciiTheme="minorHAnsi" w:hAnsiTheme="minorHAnsi" w:cstheme="minorHAnsi"/>
          <w:sz w:val="22"/>
          <w:szCs w:val="22"/>
        </w:rPr>
        <w:t>-202</w:t>
      </w:r>
      <w:r w:rsidR="006C77CF">
        <w:rPr>
          <w:rFonts w:asciiTheme="minorHAnsi" w:hAnsiTheme="minorHAnsi" w:cstheme="minorHAnsi"/>
          <w:sz w:val="22"/>
          <w:szCs w:val="22"/>
        </w:rPr>
        <w:t>4</w:t>
      </w:r>
      <w:r>
        <w:rPr>
          <w:rFonts w:asciiTheme="minorHAnsi" w:hAnsiTheme="minorHAnsi" w:cstheme="minorHAnsi"/>
          <w:sz w:val="22"/>
          <w:szCs w:val="22"/>
        </w:rPr>
        <w:t>-OS/GRT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A057BA">
        <w:rPr>
          <w:rFonts w:asciiTheme="minorHAnsi" w:hAnsiTheme="minorHAnsi" w:cstheme="minorHAnsi"/>
          <w:sz w:val="22"/>
          <w:szCs w:val="22"/>
        </w:rPr>
        <w:t>1</w:t>
      </w:r>
      <w:r w:rsidR="00F91A25">
        <w:rPr>
          <w:rFonts w:asciiTheme="minorHAnsi" w:hAnsiTheme="minorHAnsi" w:cstheme="minorHAnsi"/>
          <w:sz w:val="22"/>
          <w:szCs w:val="22"/>
        </w:rPr>
        <w:t>9</w:t>
      </w:r>
      <w:r>
        <w:rPr>
          <w:rFonts w:asciiTheme="minorHAnsi" w:hAnsiTheme="minorHAnsi" w:cstheme="minorHAnsi"/>
          <w:sz w:val="22"/>
          <w:szCs w:val="22"/>
        </w:rPr>
        <w:t xml:space="preserve"> de </w:t>
      </w:r>
      <w:r w:rsidR="00557C48">
        <w:rPr>
          <w:rFonts w:asciiTheme="minorHAnsi" w:hAnsiTheme="minorHAnsi" w:cstheme="minorHAnsi"/>
          <w:sz w:val="22"/>
          <w:szCs w:val="22"/>
        </w:rPr>
        <w:t>marz</w:t>
      </w:r>
      <w:r w:rsidR="00C7098F">
        <w:rPr>
          <w:rFonts w:asciiTheme="minorHAnsi" w:hAnsiTheme="minorHAnsi" w:cstheme="minorHAnsi"/>
          <w:sz w:val="22"/>
          <w:szCs w:val="22"/>
        </w:rPr>
        <w:t>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557C4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F91A25">
        <w:rPr>
          <w:rFonts w:asciiTheme="minorHAnsi" w:hAnsiTheme="minorHAnsi" w:cstheme="minorHAnsi"/>
          <w:sz w:val="22"/>
          <w:szCs w:val="22"/>
        </w:rPr>
        <w:t>25</w:t>
      </w:r>
      <w:r w:rsidRPr="00294829">
        <w:rPr>
          <w:rFonts w:asciiTheme="minorHAnsi" w:hAnsiTheme="minorHAnsi" w:cstheme="minorHAnsi"/>
          <w:sz w:val="22"/>
          <w:szCs w:val="22"/>
        </w:rPr>
        <w:t xml:space="preserve"> de </w:t>
      </w:r>
      <w:r w:rsidR="00557C48">
        <w:rPr>
          <w:rFonts w:asciiTheme="minorHAnsi" w:hAnsiTheme="minorHAnsi" w:cstheme="minorHAnsi"/>
          <w:sz w:val="22"/>
          <w:szCs w:val="22"/>
        </w:rPr>
        <w:t>marzo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250FD21" w14:textId="63812D1C" w:rsidR="00C7098F"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F91A25">
        <w:rPr>
          <w:rFonts w:asciiTheme="minorHAnsi" w:hAnsiTheme="minorHAnsi" w:cstheme="minorHAnsi"/>
          <w:sz w:val="22"/>
          <w:szCs w:val="22"/>
        </w:rPr>
        <w:t>15</w:t>
      </w:r>
      <w:r w:rsidR="00C7098F">
        <w:rPr>
          <w:rFonts w:asciiTheme="minorHAnsi" w:hAnsiTheme="minorHAnsi" w:cstheme="minorHAnsi"/>
          <w:sz w:val="22"/>
          <w:szCs w:val="22"/>
        </w:rPr>
        <w:t>.0</w:t>
      </w:r>
      <w:r w:rsidR="00E6204C">
        <w:rPr>
          <w:rFonts w:asciiTheme="minorHAnsi" w:hAnsiTheme="minorHAnsi" w:cstheme="minorHAnsi"/>
          <w:sz w:val="22"/>
          <w:szCs w:val="22"/>
        </w:rPr>
        <w:t>3</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w:t>
      </w:r>
      <w:r w:rsidR="00A057BA">
        <w:rPr>
          <w:rFonts w:asciiTheme="minorHAnsi" w:hAnsiTheme="minorHAnsi" w:cstheme="minorHAnsi"/>
          <w:sz w:val="22"/>
          <w:szCs w:val="22"/>
        </w:rPr>
        <w:t xml:space="preserve"> la Gasolina Premium (</w:t>
      </w:r>
      <w:r w:rsidR="00F91A25">
        <w:rPr>
          <w:rFonts w:asciiTheme="minorHAnsi" w:hAnsiTheme="minorHAnsi" w:cstheme="minorHAnsi"/>
          <w:sz w:val="22"/>
          <w:szCs w:val="22"/>
        </w:rPr>
        <w:t>+</w:t>
      </w:r>
      <w:r w:rsidR="00A057BA">
        <w:rPr>
          <w:rFonts w:asciiTheme="minorHAnsi" w:hAnsiTheme="minorHAnsi" w:cstheme="minorHAnsi"/>
          <w:sz w:val="22"/>
          <w:szCs w:val="22"/>
        </w:rPr>
        <w:t>0,0</w:t>
      </w:r>
      <w:r w:rsidR="00F91A25">
        <w:rPr>
          <w:rFonts w:asciiTheme="minorHAnsi" w:hAnsiTheme="minorHAnsi" w:cstheme="minorHAnsi"/>
          <w:sz w:val="22"/>
          <w:szCs w:val="22"/>
        </w:rPr>
        <w:t>4</w:t>
      </w:r>
      <w:r w:rsidR="00A057BA">
        <w:rPr>
          <w:rFonts w:asciiTheme="minorHAnsi" w:hAnsiTheme="minorHAnsi" w:cstheme="minorHAnsi"/>
          <w:sz w:val="22"/>
          <w:szCs w:val="22"/>
        </w:rPr>
        <w:t xml:space="preserve"> S/Gln),</w:t>
      </w:r>
      <w:r>
        <w:rPr>
          <w:rFonts w:asciiTheme="minorHAnsi" w:hAnsiTheme="minorHAnsi" w:cstheme="minorHAnsi"/>
          <w:sz w:val="22"/>
          <w:szCs w:val="22"/>
        </w:rPr>
        <w:t xml:space="preserve"> </w:t>
      </w:r>
      <w:r w:rsidR="00A057BA">
        <w:rPr>
          <w:rFonts w:asciiTheme="minorHAnsi" w:hAnsiTheme="minorHAnsi" w:cstheme="minorHAnsi"/>
          <w:sz w:val="22"/>
          <w:szCs w:val="22"/>
        </w:rPr>
        <w:t>Gasolina Regular (</w:t>
      </w:r>
      <w:r w:rsidR="00F91A25">
        <w:rPr>
          <w:rFonts w:asciiTheme="minorHAnsi" w:hAnsiTheme="minorHAnsi" w:cstheme="minorHAnsi"/>
          <w:sz w:val="22"/>
          <w:szCs w:val="22"/>
        </w:rPr>
        <w:t>+</w:t>
      </w:r>
      <w:r w:rsidR="00A057BA">
        <w:rPr>
          <w:rFonts w:asciiTheme="minorHAnsi" w:hAnsiTheme="minorHAnsi" w:cstheme="minorHAnsi"/>
          <w:sz w:val="22"/>
          <w:szCs w:val="22"/>
        </w:rPr>
        <w:t>0,0</w:t>
      </w:r>
      <w:r w:rsidR="00F91A25">
        <w:rPr>
          <w:rFonts w:asciiTheme="minorHAnsi" w:hAnsiTheme="minorHAnsi" w:cstheme="minorHAnsi"/>
          <w:sz w:val="22"/>
          <w:szCs w:val="22"/>
        </w:rPr>
        <w:t>6</w:t>
      </w:r>
      <w:r w:rsidR="00A057BA">
        <w:rPr>
          <w:rFonts w:asciiTheme="minorHAnsi" w:hAnsiTheme="minorHAnsi" w:cstheme="minorHAnsi"/>
          <w:sz w:val="22"/>
          <w:szCs w:val="22"/>
        </w:rPr>
        <w:t xml:space="preserve"> S/Gln), Gasohol Premium (</w:t>
      </w:r>
      <w:r w:rsidR="00F91A25">
        <w:rPr>
          <w:rFonts w:asciiTheme="minorHAnsi" w:hAnsiTheme="minorHAnsi" w:cstheme="minorHAnsi"/>
          <w:sz w:val="22"/>
          <w:szCs w:val="22"/>
        </w:rPr>
        <w:t>+</w:t>
      </w:r>
      <w:r w:rsidR="00A057BA">
        <w:rPr>
          <w:rFonts w:asciiTheme="minorHAnsi" w:hAnsiTheme="minorHAnsi" w:cstheme="minorHAnsi"/>
          <w:sz w:val="22"/>
          <w:szCs w:val="22"/>
        </w:rPr>
        <w:t>0,0</w:t>
      </w:r>
      <w:r w:rsidR="00F91A25">
        <w:rPr>
          <w:rFonts w:asciiTheme="minorHAnsi" w:hAnsiTheme="minorHAnsi" w:cstheme="minorHAnsi"/>
          <w:sz w:val="22"/>
          <w:szCs w:val="22"/>
        </w:rPr>
        <w:t>4</w:t>
      </w:r>
      <w:r w:rsidR="00A057BA">
        <w:rPr>
          <w:rFonts w:asciiTheme="minorHAnsi" w:hAnsiTheme="minorHAnsi" w:cstheme="minorHAnsi"/>
          <w:sz w:val="22"/>
          <w:szCs w:val="22"/>
        </w:rPr>
        <w:t xml:space="preserve"> S/Gln), Gasohol Regular (</w:t>
      </w:r>
      <w:r w:rsidR="00F91A25">
        <w:rPr>
          <w:rFonts w:asciiTheme="minorHAnsi" w:hAnsiTheme="minorHAnsi" w:cstheme="minorHAnsi"/>
          <w:sz w:val="22"/>
          <w:szCs w:val="22"/>
        </w:rPr>
        <w:t>+</w:t>
      </w:r>
      <w:r w:rsidR="00A057BA">
        <w:rPr>
          <w:rFonts w:asciiTheme="minorHAnsi" w:hAnsiTheme="minorHAnsi" w:cstheme="minorHAnsi"/>
          <w:sz w:val="22"/>
          <w:szCs w:val="22"/>
        </w:rPr>
        <w:t xml:space="preserve">0,06 S/Gln), </w:t>
      </w:r>
      <w:r w:rsidR="00557C48">
        <w:rPr>
          <w:rFonts w:asciiTheme="minorHAnsi" w:hAnsiTheme="minorHAnsi" w:cstheme="minorHAnsi"/>
          <w:sz w:val="22"/>
          <w:szCs w:val="22"/>
        </w:rPr>
        <w:t xml:space="preserve">Diésel B5 </w:t>
      </w:r>
      <w:r w:rsidR="00A057BA">
        <w:rPr>
          <w:rFonts w:asciiTheme="minorHAnsi" w:hAnsiTheme="minorHAnsi" w:cstheme="minorHAnsi"/>
          <w:sz w:val="22"/>
          <w:szCs w:val="22"/>
        </w:rPr>
        <w:t>S-50</w:t>
      </w:r>
      <w:r w:rsidR="00557C48">
        <w:rPr>
          <w:rFonts w:asciiTheme="minorHAnsi" w:hAnsiTheme="minorHAnsi" w:cstheme="minorHAnsi"/>
          <w:sz w:val="22"/>
          <w:szCs w:val="22"/>
        </w:rPr>
        <w:t xml:space="preserve"> (</w:t>
      </w:r>
      <w:r w:rsidR="00A057BA">
        <w:rPr>
          <w:rFonts w:asciiTheme="minorHAnsi" w:hAnsiTheme="minorHAnsi" w:cstheme="minorHAnsi"/>
          <w:sz w:val="22"/>
          <w:szCs w:val="22"/>
        </w:rPr>
        <w:t>-</w:t>
      </w:r>
      <w:r w:rsidR="00557C48">
        <w:rPr>
          <w:rFonts w:asciiTheme="minorHAnsi" w:hAnsiTheme="minorHAnsi" w:cstheme="minorHAnsi"/>
          <w:sz w:val="22"/>
          <w:szCs w:val="22"/>
        </w:rPr>
        <w:t>0,</w:t>
      </w:r>
      <w:r w:rsidR="00F91A25">
        <w:rPr>
          <w:rFonts w:asciiTheme="minorHAnsi" w:hAnsiTheme="minorHAnsi" w:cstheme="minorHAnsi"/>
          <w:sz w:val="22"/>
          <w:szCs w:val="22"/>
        </w:rPr>
        <w:t>17</w:t>
      </w:r>
      <w:r w:rsidR="00557C48">
        <w:rPr>
          <w:rFonts w:asciiTheme="minorHAnsi" w:hAnsiTheme="minorHAnsi" w:cstheme="minorHAnsi"/>
          <w:sz w:val="22"/>
          <w:szCs w:val="22"/>
        </w:rPr>
        <w:t xml:space="preserve"> S/Gln), </w:t>
      </w:r>
      <w:r w:rsidR="004573EA">
        <w:rPr>
          <w:rFonts w:asciiTheme="minorHAnsi" w:hAnsiTheme="minorHAnsi" w:cstheme="minorHAnsi"/>
          <w:sz w:val="22"/>
          <w:szCs w:val="22"/>
        </w:rPr>
        <w:t>Residual 6</w:t>
      </w:r>
      <w:r>
        <w:rPr>
          <w:rFonts w:asciiTheme="minorHAnsi" w:hAnsiTheme="minorHAnsi" w:cstheme="minorHAnsi"/>
          <w:sz w:val="22"/>
          <w:szCs w:val="22"/>
        </w:rPr>
        <w:t xml:space="preserve"> (</w:t>
      </w:r>
      <w:r w:rsidR="00A057BA">
        <w:rPr>
          <w:rFonts w:asciiTheme="minorHAnsi" w:hAnsiTheme="minorHAnsi" w:cstheme="minorHAnsi"/>
          <w:sz w:val="22"/>
          <w:szCs w:val="22"/>
        </w:rPr>
        <w:t>-</w:t>
      </w:r>
      <w:r w:rsidR="00C7098F">
        <w:rPr>
          <w:rFonts w:asciiTheme="minorHAnsi" w:hAnsiTheme="minorHAnsi" w:cstheme="minorHAnsi"/>
          <w:sz w:val="22"/>
          <w:szCs w:val="22"/>
        </w:rPr>
        <w:t>0</w:t>
      </w:r>
      <w:r>
        <w:rPr>
          <w:rFonts w:asciiTheme="minorHAnsi" w:hAnsiTheme="minorHAnsi" w:cstheme="minorHAnsi"/>
          <w:sz w:val="22"/>
          <w:szCs w:val="22"/>
        </w:rPr>
        <w:t>,</w:t>
      </w:r>
      <w:r w:rsidR="00F91A25">
        <w:rPr>
          <w:rFonts w:asciiTheme="minorHAnsi" w:hAnsiTheme="minorHAnsi" w:cstheme="minorHAnsi"/>
          <w:sz w:val="22"/>
          <w:szCs w:val="22"/>
        </w:rPr>
        <w:t>06</w:t>
      </w:r>
      <w:r>
        <w:rPr>
          <w:rFonts w:asciiTheme="minorHAnsi" w:hAnsiTheme="minorHAnsi" w:cstheme="minorHAnsi"/>
          <w:sz w:val="22"/>
          <w:szCs w:val="22"/>
        </w:rPr>
        <w:t xml:space="preserve"> S/Gln)</w:t>
      </w:r>
      <w:r w:rsidR="00C7098F">
        <w:rPr>
          <w:rFonts w:asciiTheme="minorHAnsi" w:hAnsiTheme="minorHAnsi" w:cstheme="minorHAnsi"/>
          <w:sz w:val="22"/>
          <w:szCs w:val="22"/>
        </w:rPr>
        <w:t xml:space="preserve"> y del</w:t>
      </w:r>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w:t>
      </w:r>
      <w:r w:rsidR="00A057BA">
        <w:rPr>
          <w:rFonts w:asciiTheme="minorHAnsi" w:hAnsiTheme="minorHAnsi" w:cstheme="minorHAnsi"/>
          <w:sz w:val="22"/>
          <w:szCs w:val="22"/>
        </w:rPr>
        <w:t>-</w:t>
      </w:r>
      <w:r w:rsidR="00C7098F">
        <w:rPr>
          <w:rFonts w:asciiTheme="minorHAnsi" w:hAnsiTheme="minorHAnsi" w:cstheme="minorHAnsi"/>
          <w:sz w:val="22"/>
          <w:szCs w:val="22"/>
        </w:rPr>
        <w:t>0</w:t>
      </w:r>
      <w:r>
        <w:rPr>
          <w:rFonts w:asciiTheme="minorHAnsi" w:hAnsiTheme="minorHAnsi" w:cstheme="minorHAnsi"/>
          <w:sz w:val="22"/>
          <w:szCs w:val="22"/>
        </w:rPr>
        <w:t>,</w:t>
      </w:r>
      <w:r w:rsidR="00F91A25">
        <w:rPr>
          <w:rFonts w:asciiTheme="minorHAnsi" w:hAnsiTheme="minorHAnsi" w:cstheme="minorHAnsi"/>
          <w:sz w:val="22"/>
          <w:szCs w:val="22"/>
        </w:rPr>
        <w:t>05</w:t>
      </w:r>
      <w:r>
        <w:rPr>
          <w:rFonts w:asciiTheme="minorHAnsi" w:hAnsiTheme="minorHAnsi" w:cstheme="minorHAnsi"/>
          <w:sz w:val="22"/>
          <w:szCs w:val="22"/>
        </w:rPr>
        <w:t xml:space="preserve"> S/Gln).</w:t>
      </w:r>
      <w:r w:rsidR="00557C48">
        <w:rPr>
          <w:rFonts w:asciiTheme="minorHAnsi" w:hAnsiTheme="minorHAnsi" w:cstheme="minorHAnsi"/>
          <w:sz w:val="22"/>
          <w:szCs w:val="22"/>
        </w:rPr>
        <w:t xml:space="preserve"> </w:t>
      </w:r>
    </w:p>
    <w:p w14:paraId="5896A4FC" w14:textId="77777777" w:rsidR="00977837" w:rsidRDefault="00977837" w:rsidP="00977837">
      <w:pPr>
        <w:pStyle w:val="Prrafodelista"/>
        <w:rPr>
          <w:rFonts w:asciiTheme="minorHAnsi" w:hAnsiTheme="minorHAnsi" w:cstheme="minorHAnsi"/>
          <w:sz w:val="22"/>
          <w:szCs w:val="22"/>
        </w:rPr>
      </w:pPr>
    </w:p>
    <w:p w14:paraId="22496B6D" w14:textId="74D9746C" w:rsidR="00977837" w:rsidRDefault="00977837" w:rsidP="00977837">
      <w:pPr>
        <w:pStyle w:val="Sangradetextonormal"/>
        <w:rPr>
          <w:rFonts w:asciiTheme="minorHAnsi" w:hAnsiTheme="minorHAnsi" w:cstheme="minorHAnsi"/>
          <w:sz w:val="22"/>
          <w:szCs w:val="22"/>
        </w:rPr>
      </w:pPr>
    </w:p>
    <w:p w14:paraId="555447D2" w14:textId="1D543568" w:rsidR="00557C48" w:rsidRDefault="00557C48" w:rsidP="00977837">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2B2184F" w:rsidR="00180596" w:rsidRDefault="00180596" w:rsidP="00E53D92">
      <w:pPr>
        <w:rPr>
          <w:rFonts w:asciiTheme="minorHAnsi" w:hAnsiTheme="minorHAnsi" w:cstheme="minorHAnsi"/>
          <w:b/>
          <w:sz w:val="22"/>
          <w:szCs w:val="22"/>
        </w:rPr>
      </w:pPr>
    </w:p>
    <w:p w14:paraId="355B75F4" w14:textId="77777777" w:rsidR="00F91A25" w:rsidRDefault="00F91A25"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lastRenderedPageBreak/>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0709D586" w14:textId="1F51391E" w:rsidR="001457B2" w:rsidRDefault="001457B2" w:rsidP="00313709">
      <w:pPr>
        <w:jc w:val="both"/>
        <w:rPr>
          <w:rFonts w:asciiTheme="minorHAnsi" w:hAnsiTheme="minorHAnsi" w:cstheme="minorHAnsi"/>
          <w:sz w:val="22"/>
          <w:szCs w:val="22"/>
        </w:rPr>
      </w:pP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3BC05221"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F91A25">
        <w:rPr>
          <w:rFonts w:asciiTheme="minorHAnsi" w:hAnsiTheme="minorHAnsi" w:cstheme="minorHAnsi"/>
          <w:sz w:val="22"/>
          <w:szCs w:val="22"/>
        </w:rPr>
        <w:t>0</w:t>
      </w:r>
      <w:r w:rsidR="004B2B55">
        <w:rPr>
          <w:rFonts w:asciiTheme="minorHAnsi" w:hAnsiTheme="minorHAnsi" w:cstheme="minorHAnsi"/>
          <w:sz w:val="22"/>
          <w:szCs w:val="22"/>
        </w:rPr>
        <w:t>4</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F91A25">
        <w:rPr>
          <w:rFonts w:asciiTheme="minorHAnsi" w:hAnsiTheme="minorHAnsi" w:cstheme="minorHAnsi"/>
          <w:sz w:val="22"/>
          <w:szCs w:val="22"/>
        </w:rPr>
        <w:t>3</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F91A25">
        <w:rPr>
          <w:rFonts w:asciiTheme="minorHAnsi" w:hAnsiTheme="minorHAnsi" w:cstheme="minorHAnsi"/>
          <w:sz w:val="22"/>
          <w:szCs w:val="22"/>
        </w:rPr>
        <w:t>15</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557C48">
        <w:rPr>
          <w:rFonts w:asciiTheme="minorHAnsi" w:hAnsiTheme="minorHAnsi" w:cstheme="minorHAnsi"/>
          <w:sz w:val="22"/>
          <w:szCs w:val="22"/>
        </w:rPr>
        <w:t>3</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02FF4D66"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A057BA">
        <w:rPr>
          <w:rFonts w:ascii="Calibri" w:hAnsi="Calibri" w:cs="Arial"/>
          <w:b/>
          <w:bCs/>
          <w:i/>
          <w:sz w:val="22"/>
          <w:szCs w:val="22"/>
          <w:lang w:eastAsia="es-PE"/>
        </w:rPr>
        <w:t>1</w:t>
      </w:r>
      <w:r w:rsidR="00F91A25">
        <w:rPr>
          <w:rFonts w:ascii="Calibri" w:hAnsi="Calibri" w:cs="Arial"/>
          <w:b/>
          <w:bCs/>
          <w:i/>
          <w:sz w:val="22"/>
          <w:szCs w:val="22"/>
          <w:lang w:eastAsia="es-PE"/>
        </w:rPr>
        <w:t>8</w:t>
      </w:r>
      <w:r>
        <w:rPr>
          <w:rFonts w:ascii="Calibri" w:hAnsi="Calibri" w:cs="Arial"/>
          <w:b/>
          <w:bCs/>
          <w:i/>
          <w:sz w:val="22"/>
          <w:szCs w:val="22"/>
          <w:lang w:eastAsia="es-PE"/>
        </w:rPr>
        <w:t>-</w:t>
      </w:r>
      <w:r w:rsidR="00FF75D8">
        <w:rPr>
          <w:rFonts w:ascii="Calibri" w:hAnsi="Calibri" w:cs="Arial"/>
          <w:b/>
          <w:bCs/>
          <w:i/>
          <w:sz w:val="22"/>
          <w:szCs w:val="22"/>
          <w:lang w:eastAsia="es-PE"/>
        </w:rPr>
        <w:t>0</w:t>
      </w:r>
      <w:r w:rsidR="00557C48">
        <w:rPr>
          <w:rFonts w:ascii="Calibri" w:hAnsi="Calibri" w:cs="Arial"/>
          <w:b/>
          <w:bCs/>
          <w:i/>
          <w:sz w:val="22"/>
          <w:szCs w:val="22"/>
          <w:lang w:eastAsia="es-PE"/>
        </w:rPr>
        <w:t>3</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3ADCFD81" w:rsidR="00FF75D8" w:rsidRPr="00CC2A8A" w:rsidRDefault="00F91A25" w:rsidP="00336251">
      <w:pPr>
        <w:pBdr>
          <w:top w:val="single" w:sz="4" w:space="1" w:color="auto"/>
          <w:bottom w:val="single" w:sz="4" w:space="1" w:color="auto"/>
        </w:pBdr>
        <w:jc w:val="center"/>
        <w:rPr>
          <w:rFonts w:ascii="Calibri" w:hAnsi="Calibri" w:cs="Arial"/>
          <w:bCs/>
          <w:sz w:val="32"/>
          <w:szCs w:val="32"/>
        </w:rPr>
      </w:pPr>
      <w:r w:rsidRPr="007E3507">
        <w:rPr>
          <w:noProof/>
        </w:rPr>
        <w:drawing>
          <wp:inline distT="0" distB="0" distL="0" distR="0" wp14:anchorId="4AF600D9" wp14:editId="4482A121">
            <wp:extent cx="5490845" cy="2797908"/>
            <wp:effectExtent l="0" t="0" r="0" b="2540"/>
            <wp:docPr id="13284551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55143" name=""/>
                    <pic:cNvPicPr/>
                  </pic:nvPicPr>
                  <pic:blipFill>
                    <a:blip r:embed="rId14"/>
                    <a:stretch>
                      <a:fillRect/>
                    </a:stretch>
                  </pic:blipFill>
                  <pic:spPr>
                    <a:xfrm>
                      <a:off x="0" y="0"/>
                      <a:ext cx="5493216" cy="2799116"/>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48F1D1BA"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F91A25">
        <w:rPr>
          <w:rFonts w:asciiTheme="minorHAnsi" w:hAnsiTheme="minorHAnsi" w:cstheme="minorHAnsi"/>
          <w:sz w:val="22"/>
          <w:szCs w:val="22"/>
        </w:rPr>
        <w:t>2</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E6665">
        <w:rPr>
          <w:rFonts w:asciiTheme="minorHAnsi" w:hAnsiTheme="minorHAnsi" w:cstheme="minorHAnsi"/>
          <w:sz w:val="22"/>
          <w:szCs w:val="22"/>
        </w:rPr>
        <w:t>0</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A057BA">
        <w:rPr>
          <w:rFonts w:asciiTheme="minorHAnsi" w:hAnsiTheme="minorHAnsi" w:cstheme="minorHAnsi"/>
          <w:sz w:val="22"/>
          <w:szCs w:val="22"/>
        </w:rPr>
        <w:t>3</w:t>
      </w:r>
      <w:r w:rsidR="001C5D77">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F91A25">
        <w:rPr>
          <w:rFonts w:asciiTheme="minorHAnsi" w:hAnsiTheme="minorHAnsi" w:cstheme="minorHAnsi"/>
          <w:sz w:val="22"/>
          <w:szCs w:val="22"/>
        </w:rPr>
        <w:t>6</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3967A50F"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F91A25">
        <w:rPr>
          <w:rFonts w:asciiTheme="minorHAnsi" w:hAnsiTheme="minorHAnsi" w:cstheme="minorHAnsi"/>
          <w:sz w:val="22"/>
          <w:szCs w:val="22"/>
        </w:rPr>
        <w:t>18</w:t>
      </w:r>
      <w:r>
        <w:rPr>
          <w:rFonts w:asciiTheme="minorHAnsi" w:hAnsiTheme="minorHAnsi" w:cstheme="minorHAnsi"/>
          <w:sz w:val="22"/>
          <w:szCs w:val="22"/>
        </w:rPr>
        <w:t xml:space="preserve"> de </w:t>
      </w:r>
      <w:r w:rsidR="00557C48">
        <w:rPr>
          <w:rFonts w:asciiTheme="minorHAnsi" w:hAnsiTheme="minorHAnsi" w:cstheme="minorHAnsi"/>
          <w:sz w:val="22"/>
          <w:szCs w:val="22"/>
        </w:rPr>
        <w:t>marz</w:t>
      </w:r>
      <w:r w:rsidR="00DE7FB0">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5BCCB4F9"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B3115C">
        <w:rPr>
          <w:rFonts w:asciiTheme="minorHAnsi" w:hAnsiTheme="minorHAnsi" w:cstheme="minorHAnsi"/>
          <w:sz w:val="22"/>
          <w:szCs w:val="22"/>
        </w:rPr>
        <w:t>8</w:t>
      </w:r>
      <w:r w:rsidR="001F2602">
        <w:rPr>
          <w:rFonts w:asciiTheme="minorHAnsi" w:hAnsiTheme="minorHAnsi" w:cstheme="minorHAnsi"/>
          <w:sz w:val="22"/>
          <w:szCs w:val="22"/>
        </w:rPr>
        <w:t>,</w:t>
      </w:r>
      <w:r w:rsidR="00F91A25">
        <w:rPr>
          <w:rFonts w:asciiTheme="minorHAnsi" w:hAnsiTheme="minorHAnsi" w:cstheme="minorHAnsi"/>
          <w:sz w:val="22"/>
          <w:szCs w:val="22"/>
        </w:rPr>
        <w:t>6</w:t>
      </w:r>
      <w:r w:rsidR="00B3115C">
        <w:rPr>
          <w:rFonts w:asciiTheme="minorHAnsi" w:hAnsiTheme="minorHAnsi" w:cstheme="minorHAnsi"/>
          <w:sz w:val="22"/>
          <w:szCs w:val="22"/>
        </w:rPr>
        <w:t>0</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60A07672"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B3115C">
        <w:rPr>
          <w:rFonts w:asciiTheme="minorHAnsi" w:hAnsiTheme="minorHAnsi" w:cstheme="minorHAnsi"/>
          <w:sz w:val="22"/>
          <w:szCs w:val="22"/>
          <w:lang w:val="en-US"/>
        </w:rPr>
        <w:t>8</w:t>
      </w:r>
      <w:r w:rsidR="000434BD">
        <w:rPr>
          <w:rFonts w:asciiTheme="minorHAnsi" w:hAnsiTheme="minorHAnsi" w:cstheme="minorHAnsi"/>
          <w:sz w:val="22"/>
          <w:szCs w:val="22"/>
          <w:lang w:val="en-US"/>
        </w:rPr>
        <w:t>,</w:t>
      </w:r>
      <w:r w:rsidR="00F91A25">
        <w:rPr>
          <w:rFonts w:asciiTheme="minorHAnsi" w:hAnsiTheme="minorHAnsi" w:cstheme="minorHAnsi"/>
          <w:sz w:val="22"/>
          <w:szCs w:val="22"/>
          <w:lang w:val="en-US"/>
        </w:rPr>
        <w:t>6</w:t>
      </w:r>
      <w:r w:rsidR="00B3115C">
        <w:rPr>
          <w:rFonts w:asciiTheme="minorHAnsi" w:hAnsiTheme="minorHAnsi" w:cstheme="minorHAnsi"/>
          <w:sz w:val="22"/>
          <w:szCs w:val="22"/>
          <w:lang w:val="en-US"/>
        </w:rPr>
        <w:t>0</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B3115C">
        <w:rPr>
          <w:rFonts w:asciiTheme="minorHAnsi" w:hAnsiTheme="minorHAnsi" w:cstheme="minorHAnsi"/>
          <w:sz w:val="22"/>
          <w:szCs w:val="22"/>
          <w:lang w:val="en-US"/>
        </w:rPr>
        <w:t>6</w:t>
      </w:r>
      <w:r w:rsidR="00397F02">
        <w:rPr>
          <w:rFonts w:asciiTheme="minorHAnsi" w:hAnsiTheme="minorHAnsi" w:cstheme="minorHAnsi"/>
          <w:sz w:val="22"/>
          <w:szCs w:val="22"/>
          <w:lang w:val="en-US"/>
        </w:rPr>
        <w:t>,</w:t>
      </w:r>
      <w:r w:rsidR="00F91A25">
        <w:rPr>
          <w:rFonts w:asciiTheme="minorHAnsi" w:hAnsiTheme="minorHAnsi" w:cstheme="minorHAnsi"/>
          <w:sz w:val="22"/>
          <w:szCs w:val="22"/>
          <w:lang w:val="en-US"/>
        </w:rPr>
        <w:t>15</w:t>
      </w:r>
      <w:r w:rsidRPr="009F7EDF">
        <w:rPr>
          <w:rFonts w:asciiTheme="minorHAnsi" w:hAnsiTheme="minorHAnsi" w:cstheme="minorHAnsi"/>
          <w:sz w:val="22"/>
          <w:szCs w:val="22"/>
          <w:lang w:val="en-US"/>
        </w:rPr>
        <w:t xml:space="preserve"> cent$/Galón</w:t>
      </w:r>
    </w:p>
    <w:p w14:paraId="639B9F61" w14:textId="462C010B"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B3115C">
        <w:rPr>
          <w:rFonts w:asciiTheme="minorHAnsi" w:hAnsiTheme="minorHAnsi" w:cstheme="minorHAnsi"/>
          <w:sz w:val="22"/>
          <w:szCs w:val="22"/>
          <w:lang w:val="en-US"/>
        </w:rPr>
        <w:t>5</w:t>
      </w:r>
      <w:r w:rsidR="00F91A25">
        <w:rPr>
          <w:rFonts w:asciiTheme="minorHAnsi" w:hAnsiTheme="minorHAnsi" w:cstheme="minorHAnsi"/>
          <w:sz w:val="22"/>
          <w:szCs w:val="22"/>
          <w:lang w:val="en-US"/>
        </w:rPr>
        <w:t>8</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A6C913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B3115C">
        <w:rPr>
          <w:rFonts w:asciiTheme="minorHAnsi" w:hAnsiTheme="minorHAnsi" w:cstheme="minorHAnsi"/>
          <w:sz w:val="22"/>
          <w:szCs w:val="22"/>
        </w:rPr>
        <w:t>0</w:t>
      </w:r>
      <w:r w:rsidR="00F91A25">
        <w:rPr>
          <w:rFonts w:asciiTheme="minorHAnsi" w:hAnsiTheme="minorHAnsi" w:cstheme="minorHAnsi"/>
          <w:sz w:val="22"/>
          <w:szCs w:val="22"/>
        </w:rPr>
        <w:t>6</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2FF5CCB1"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3115C">
        <w:rPr>
          <w:rFonts w:asciiTheme="minorHAnsi" w:hAnsiTheme="minorHAnsi" w:cstheme="minorHAnsi"/>
          <w:sz w:val="22"/>
          <w:szCs w:val="22"/>
        </w:rPr>
        <w:t>1</w:t>
      </w:r>
      <w:r w:rsidR="00336251">
        <w:rPr>
          <w:rFonts w:asciiTheme="minorHAnsi" w:hAnsiTheme="minorHAnsi" w:cstheme="minorHAnsi"/>
          <w:sz w:val="22"/>
          <w:szCs w:val="22"/>
        </w:rPr>
        <w:t>,</w:t>
      </w:r>
      <w:r w:rsidR="00F91A25">
        <w:rPr>
          <w:rFonts w:asciiTheme="minorHAnsi" w:hAnsiTheme="minorHAnsi" w:cstheme="minorHAnsi"/>
          <w:sz w:val="22"/>
          <w:szCs w:val="22"/>
        </w:rPr>
        <w:t>27</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57C48">
        <w:rPr>
          <w:rFonts w:asciiTheme="minorHAnsi" w:hAnsiTheme="minorHAnsi" w:cstheme="minorHAnsi"/>
          <w:sz w:val="22"/>
          <w:szCs w:val="22"/>
        </w:rPr>
        <w:t>1</w:t>
      </w:r>
      <w:r w:rsidR="00513E2B">
        <w:rPr>
          <w:rFonts w:asciiTheme="minorHAnsi" w:hAnsiTheme="minorHAnsi" w:cstheme="minorHAnsi"/>
          <w:sz w:val="22"/>
          <w:szCs w:val="22"/>
        </w:rPr>
        <w:t>,</w:t>
      </w:r>
      <w:r w:rsidR="00F91A25">
        <w:rPr>
          <w:rFonts w:asciiTheme="minorHAnsi" w:hAnsiTheme="minorHAnsi" w:cstheme="minorHAnsi"/>
          <w:sz w:val="22"/>
          <w:szCs w:val="22"/>
        </w:rPr>
        <w:t xml:space="preserve">03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3D4A747"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557C48">
        <w:rPr>
          <w:rFonts w:asciiTheme="minorHAnsi" w:hAnsiTheme="minorHAnsi" w:cstheme="minorHAnsi"/>
          <w:sz w:val="22"/>
          <w:szCs w:val="22"/>
        </w:rPr>
        <w:t>8</w:t>
      </w:r>
      <w:r w:rsidR="001E6665">
        <w:rPr>
          <w:rFonts w:asciiTheme="minorHAnsi" w:hAnsiTheme="minorHAnsi" w:cstheme="minorHAnsi"/>
          <w:sz w:val="22"/>
          <w:szCs w:val="22"/>
        </w:rPr>
        <w:t>2</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1E6665">
        <w:rPr>
          <w:rFonts w:asciiTheme="minorHAnsi" w:hAnsiTheme="minorHAnsi" w:cstheme="minorHAnsi"/>
          <w:sz w:val="22"/>
          <w:szCs w:val="22"/>
        </w:rPr>
        <w:t>9</w:t>
      </w:r>
      <w:r w:rsidR="008B7962">
        <w:rPr>
          <w:rFonts w:asciiTheme="minorHAnsi" w:hAnsiTheme="minorHAnsi" w:cstheme="minorHAnsi"/>
          <w:sz w:val="22"/>
          <w:szCs w:val="22"/>
        </w:rPr>
        <w:t>,</w:t>
      </w:r>
      <w:r w:rsidR="00F91A25">
        <w:rPr>
          <w:rFonts w:asciiTheme="minorHAnsi" w:hAnsiTheme="minorHAnsi" w:cstheme="minorHAnsi"/>
          <w:sz w:val="22"/>
          <w:szCs w:val="22"/>
        </w:rPr>
        <w:t>7</w:t>
      </w:r>
      <w:r w:rsidR="00557C48">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280AD135"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B3115C">
        <w:rPr>
          <w:rFonts w:asciiTheme="minorHAnsi" w:hAnsiTheme="minorHAnsi" w:cstheme="minorHAnsi"/>
          <w:sz w:val="22"/>
          <w:szCs w:val="22"/>
        </w:rPr>
        <w:t>0</w:t>
      </w:r>
      <w:r w:rsidR="00F91A25">
        <w:rPr>
          <w:rFonts w:asciiTheme="minorHAnsi" w:hAnsiTheme="minorHAnsi" w:cstheme="minorHAnsi"/>
          <w:sz w:val="22"/>
          <w:szCs w:val="22"/>
        </w:rPr>
        <w:t>6</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2A82C9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35851">
        <w:rPr>
          <w:rFonts w:asciiTheme="minorHAnsi" w:hAnsiTheme="minorHAnsi" w:cstheme="minorHAnsi"/>
          <w:sz w:val="22"/>
          <w:szCs w:val="22"/>
        </w:rPr>
        <w:t>1</w:t>
      </w:r>
      <w:r>
        <w:rPr>
          <w:rFonts w:asciiTheme="minorHAnsi" w:hAnsiTheme="minorHAnsi" w:cstheme="minorHAnsi"/>
          <w:sz w:val="22"/>
          <w:szCs w:val="22"/>
        </w:rPr>
        <w:t>,</w:t>
      </w:r>
      <w:r w:rsidR="00B3115C">
        <w:rPr>
          <w:rFonts w:asciiTheme="minorHAnsi" w:hAnsiTheme="minorHAnsi" w:cstheme="minorHAnsi"/>
          <w:sz w:val="22"/>
          <w:szCs w:val="22"/>
        </w:rPr>
        <w:t>2</w:t>
      </w:r>
      <w:r w:rsidR="00F91A25">
        <w:rPr>
          <w:rFonts w:asciiTheme="minorHAnsi" w:hAnsiTheme="minorHAnsi" w:cstheme="minorHAnsi"/>
          <w:sz w:val="22"/>
          <w:szCs w:val="22"/>
        </w:rPr>
        <w:t>4</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5EC1ADB4" w:rsidR="00CB3778" w:rsidRPr="00AC0139" w:rsidRDefault="00CB3778" w:rsidP="00AC0139">
      <w:pPr>
        <w:jc w:val="both"/>
        <w:rPr>
          <w:rFonts w:asciiTheme="minorHAnsi" w:hAnsiTheme="minorHAnsi" w:cstheme="minorHAnsi"/>
          <w:sz w:val="22"/>
          <w:szCs w:val="22"/>
          <w:lang w:eastAsia="en-US"/>
        </w:rPr>
      </w:pPr>
      <w:r w:rsidRPr="00596532">
        <w:rPr>
          <w:rFonts w:asciiTheme="minorHAnsi" w:hAnsiTheme="minorHAnsi" w:cstheme="minorHAnsi"/>
          <w:sz w:val="22"/>
          <w:szCs w:val="22"/>
          <w:lang w:eastAsia="en-US"/>
        </w:rPr>
        <w:t>Desde la vigencia de la Resolución Osinergmin N°</w:t>
      </w:r>
      <w:r w:rsidR="00B66326" w:rsidRPr="00596532">
        <w:rPr>
          <w:rFonts w:asciiTheme="minorHAnsi" w:hAnsiTheme="minorHAnsi" w:cstheme="minorHAnsi"/>
          <w:sz w:val="22"/>
          <w:szCs w:val="22"/>
          <w:lang w:eastAsia="en-US"/>
        </w:rPr>
        <w:t xml:space="preserve"> </w:t>
      </w:r>
      <w:r w:rsidRPr="00596532">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596532">
        <w:rPr>
          <w:rFonts w:asciiTheme="minorHAnsi" w:hAnsiTheme="minorHAnsi" w:cstheme="minorHAnsi"/>
          <w:sz w:val="22"/>
          <w:szCs w:val="22"/>
          <w:lang w:eastAsia="en-US"/>
        </w:rPr>
        <w:t xml:space="preserve">y que para la presente semana ascienden </w:t>
      </w:r>
      <w:r w:rsidR="002C3713" w:rsidRPr="00E741FE">
        <w:rPr>
          <w:rFonts w:asciiTheme="minorHAnsi" w:hAnsiTheme="minorHAnsi" w:cstheme="minorHAnsi"/>
          <w:sz w:val="22"/>
          <w:szCs w:val="22"/>
          <w:lang w:eastAsia="en-US"/>
        </w:rPr>
        <w:t xml:space="preserve">a </w:t>
      </w:r>
      <w:r w:rsidR="003C1266" w:rsidRPr="00E741FE">
        <w:rPr>
          <w:rFonts w:asciiTheme="minorHAnsi" w:hAnsiTheme="minorHAnsi" w:cstheme="minorHAnsi"/>
          <w:sz w:val="22"/>
          <w:szCs w:val="22"/>
          <w:lang w:eastAsia="en-US"/>
        </w:rPr>
        <w:t>0</w:t>
      </w:r>
      <w:r w:rsidR="007D44FD" w:rsidRPr="00E741FE">
        <w:rPr>
          <w:rFonts w:asciiTheme="minorHAnsi" w:hAnsiTheme="minorHAnsi" w:cstheme="minorHAnsi"/>
          <w:sz w:val="22"/>
          <w:szCs w:val="22"/>
          <w:lang w:eastAsia="en-US"/>
        </w:rPr>
        <w:t>,</w:t>
      </w:r>
      <w:r w:rsidR="00F91A25">
        <w:rPr>
          <w:rFonts w:asciiTheme="minorHAnsi" w:hAnsiTheme="minorHAnsi" w:cstheme="minorHAnsi"/>
          <w:sz w:val="22"/>
          <w:szCs w:val="22"/>
          <w:lang w:eastAsia="en-US"/>
        </w:rPr>
        <w:t>5</w:t>
      </w:r>
      <w:r w:rsidR="00596532" w:rsidRPr="00E741FE">
        <w:rPr>
          <w:rFonts w:asciiTheme="minorHAnsi" w:hAnsiTheme="minorHAnsi" w:cstheme="minorHAnsi"/>
          <w:sz w:val="22"/>
          <w:szCs w:val="22"/>
          <w:lang w:eastAsia="en-US"/>
        </w:rPr>
        <w:t>4</w:t>
      </w:r>
      <w:r w:rsidR="002C3713" w:rsidRPr="00E741FE">
        <w:rPr>
          <w:rFonts w:asciiTheme="minorHAnsi" w:hAnsiTheme="minorHAnsi" w:cstheme="minorHAnsi"/>
          <w:sz w:val="22"/>
          <w:szCs w:val="22"/>
          <w:lang w:eastAsia="en-US"/>
        </w:rPr>
        <w:t xml:space="preserve"> US$/Bl</w:t>
      </w:r>
      <w:r w:rsidRPr="00E741FE">
        <w:rPr>
          <w:rFonts w:asciiTheme="minorHAnsi" w:hAnsiTheme="minorHAnsi" w:cstheme="minorHAnsi"/>
          <w:sz w:val="22"/>
          <w:szCs w:val="22"/>
          <w:lang w:eastAsia="en-US"/>
        </w:rPr>
        <w:t xml:space="preserve"> </w:t>
      </w:r>
      <w:r w:rsidR="002C3713" w:rsidRPr="00E741FE">
        <w:rPr>
          <w:rFonts w:asciiTheme="minorHAnsi" w:hAnsiTheme="minorHAnsi" w:cstheme="minorHAnsi"/>
          <w:sz w:val="22"/>
          <w:szCs w:val="22"/>
          <w:lang w:eastAsia="en-US"/>
        </w:rPr>
        <w:t xml:space="preserve">para el </w:t>
      </w:r>
      <w:r w:rsidRPr="00E741FE">
        <w:rPr>
          <w:rFonts w:asciiTheme="minorHAnsi" w:hAnsiTheme="minorHAnsi" w:cstheme="minorHAnsi"/>
          <w:sz w:val="22"/>
          <w:szCs w:val="22"/>
          <w:lang w:eastAsia="en-US"/>
        </w:rPr>
        <w:t>GLP</w:t>
      </w:r>
      <w:r w:rsidR="00996628" w:rsidRPr="00E741FE">
        <w:rPr>
          <w:rFonts w:asciiTheme="minorHAnsi" w:hAnsiTheme="minorHAnsi" w:cstheme="minorHAnsi"/>
          <w:sz w:val="22"/>
          <w:szCs w:val="22"/>
          <w:lang w:eastAsia="en-US"/>
        </w:rPr>
        <w:t>;</w:t>
      </w:r>
      <w:r w:rsidRPr="00E741FE">
        <w:rPr>
          <w:rFonts w:asciiTheme="minorHAnsi" w:hAnsiTheme="minorHAnsi" w:cstheme="minorHAnsi"/>
          <w:sz w:val="22"/>
          <w:szCs w:val="22"/>
          <w:lang w:eastAsia="en-US"/>
        </w:rPr>
        <w:t xml:space="preserve"> </w:t>
      </w:r>
      <w:r w:rsidR="006863BF" w:rsidRPr="00E741FE">
        <w:rPr>
          <w:rFonts w:asciiTheme="minorHAnsi" w:hAnsiTheme="minorHAnsi" w:cstheme="minorHAnsi"/>
          <w:sz w:val="22"/>
          <w:szCs w:val="22"/>
          <w:lang w:eastAsia="en-US"/>
        </w:rPr>
        <w:t>0</w:t>
      </w:r>
      <w:r w:rsidR="007D44FD" w:rsidRPr="00E741FE">
        <w:rPr>
          <w:rFonts w:asciiTheme="minorHAnsi" w:hAnsiTheme="minorHAnsi" w:cstheme="minorHAnsi"/>
          <w:sz w:val="22"/>
          <w:szCs w:val="22"/>
          <w:lang w:eastAsia="en-US"/>
        </w:rPr>
        <w:t>,</w:t>
      </w:r>
      <w:r w:rsidR="00A70D19">
        <w:rPr>
          <w:rFonts w:asciiTheme="minorHAnsi" w:hAnsiTheme="minorHAnsi" w:cstheme="minorHAnsi"/>
          <w:sz w:val="22"/>
          <w:szCs w:val="22"/>
          <w:lang w:eastAsia="en-US"/>
        </w:rPr>
        <w:t>61</w:t>
      </w:r>
      <w:r w:rsidR="002C3713" w:rsidRPr="00E741FE">
        <w:rPr>
          <w:rFonts w:asciiTheme="minorHAnsi" w:hAnsiTheme="minorHAnsi" w:cstheme="minorHAnsi"/>
          <w:sz w:val="22"/>
          <w:szCs w:val="22"/>
          <w:lang w:eastAsia="en-US"/>
        </w:rPr>
        <w:t xml:space="preserve"> US$/Bl para las gasolinas</w:t>
      </w:r>
      <w:r w:rsidR="00996628" w:rsidRPr="00E741FE">
        <w:rPr>
          <w:rFonts w:asciiTheme="minorHAnsi" w:hAnsiTheme="minorHAnsi" w:cstheme="minorHAnsi"/>
          <w:sz w:val="22"/>
          <w:szCs w:val="22"/>
          <w:lang w:eastAsia="en-US"/>
        </w:rPr>
        <w:t xml:space="preserve"> y</w:t>
      </w:r>
      <w:r w:rsidR="002C3713" w:rsidRPr="00E741FE">
        <w:rPr>
          <w:rFonts w:asciiTheme="minorHAnsi" w:hAnsiTheme="minorHAnsi" w:cstheme="minorHAnsi"/>
          <w:sz w:val="22"/>
          <w:szCs w:val="22"/>
          <w:lang w:eastAsia="en-US"/>
        </w:rPr>
        <w:t xml:space="preserve"> </w:t>
      </w:r>
      <w:r w:rsidR="006863BF" w:rsidRPr="00E741FE">
        <w:rPr>
          <w:rFonts w:asciiTheme="minorHAnsi" w:hAnsiTheme="minorHAnsi" w:cstheme="minorHAnsi"/>
          <w:sz w:val="22"/>
          <w:szCs w:val="22"/>
          <w:lang w:eastAsia="en-US"/>
        </w:rPr>
        <w:t>0</w:t>
      </w:r>
      <w:r w:rsidR="007D44FD" w:rsidRPr="00E741FE">
        <w:rPr>
          <w:rFonts w:asciiTheme="minorHAnsi" w:hAnsiTheme="minorHAnsi" w:cstheme="minorHAnsi"/>
          <w:sz w:val="22"/>
          <w:szCs w:val="22"/>
          <w:lang w:eastAsia="en-US"/>
        </w:rPr>
        <w:t>,</w:t>
      </w:r>
      <w:r w:rsidR="00A70D19">
        <w:rPr>
          <w:rFonts w:asciiTheme="minorHAnsi" w:hAnsiTheme="minorHAnsi" w:cstheme="minorHAnsi"/>
          <w:sz w:val="22"/>
          <w:szCs w:val="22"/>
          <w:lang w:eastAsia="en-US"/>
        </w:rPr>
        <w:t>51</w:t>
      </w:r>
      <w:r w:rsidR="002C3713" w:rsidRPr="00E741FE">
        <w:rPr>
          <w:rFonts w:asciiTheme="minorHAnsi" w:hAnsiTheme="minorHAnsi" w:cstheme="minorHAnsi"/>
          <w:sz w:val="22"/>
          <w:szCs w:val="22"/>
          <w:lang w:eastAsia="en-US"/>
        </w:rPr>
        <w:t xml:space="preserve"> US$/Bl para el </w:t>
      </w:r>
      <w:r w:rsidRPr="00E741FE">
        <w:rPr>
          <w:rFonts w:asciiTheme="minorHAnsi" w:hAnsiTheme="minorHAnsi" w:cstheme="minorHAnsi"/>
          <w:sz w:val="22"/>
          <w:szCs w:val="22"/>
          <w:lang w:eastAsia="en-US"/>
        </w:rPr>
        <w:t>Diésel</w:t>
      </w:r>
      <w:r w:rsidR="002C3713" w:rsidRPr="00E741FE">
        <w:rPr>
          <w:rFonts w:asciiTheme="minorHAnsi" w:hAnsiTheme="minorHAnsi" w:cstheme="minorHAnsi"/>
          <w:sz w:val="22"/>
          <w:szCs w:val="22"/>
          <w:lang w:eastAsia="en-US"/>
        </w:rPr>
        <w:t xml:space="preserve"> </w:t>
      </w:r>
      <w:r w:rsidRPr="00E741FE">
        <w:rPr>
          <w:rFonts w:asciiTheme="minorHAnsi" w:hAnsiTheme="minorHAnsi" w:cstheme="minorHAnsi"/>
          <w:sz w:val="22"/>
          <w:szCs w:val="22"/>
          <w:lang w:eastAsia="en-US"/>
        </w:rPr>
        <w:t xml:space="preserve">y </w:t>
      </w:r>
      <w:r w:rsidR="00996628" w:rsidRPr="00E741FE">
        <w:rPr>
          <w:rFonts w:asciiTheme="minorHAnsi" w:hAnsiTheme="minorHAnsi" w:cstheme="minorHAnsi"/>
          <w:sz w:val="22"/>
          <w:szCs w:val="22"/>
          <w:lang w:eastAsia="en-US"/>
        </w:rPr>
        <w:t xml:space="preserve">el </w:t>
      </w:r>
      <w:r w:rsidRPr="00E741FE">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US$/Bl),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20CC02A7" w:rsidR="00C549C3" w:rsidRDefault="000D4A23" w:rsidP="004F74EE">
      <w:pPr>
        <w:pBdr>
          <w:top w:val="single" w:sz="4" w:space="1" w:color="auto"/>
          <w:bottom w:val="single" w:sz="4" w:space="1" w:color="auto"/>
        </w:pBdr>
        <w:jc w:val="center"/>
        <w:rPr>
          <w:rFonts w:ascii="Calibri" w:hAnsi="Calibri" w:cs="Calibri"/>
          <w:sz w:val="22"/>
          <w:szCs w:val="22"/>
          <w:lang w:val="es-PE" w:eastAsia="en-US"/>
        </w:rPr>
      </w:pPr>
      <w:r w:rsidRPr="000D4A23">
        <w:rPr>
          <w:noProof/>
        </w:rPr>
        <w:drawing>
          <wp:inline distT="0" distB="0" distL="0" distR="0" wp14:anchorId="2BC63205" wp14:editId="28F88974">
            <wp:extent cx="8141689" cy="28194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01573" cy="2840137"/>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F7442">
        <w:trPr>
          <w:trHeight w:val="4509"/>
        </w:trPr>
        <w:tc>
          <w:tcPr>
            <w:tcW w:w="5758" w:type="dxa"/>
            <w:tcBorders>
              <w:top w:val="single" w:sz="4" w:space="0" w:color="auto"/>
              <w:bottom w:val="single" w:sz="4" w:space="0" w:color="auto"/>
            </w:tcBorders>
            <w:shd w:val="clear" w:color="auto" w:fill="auto"/>
          </w:tcPr>
          <w:p w14:paraId="5E53DA41" w14:textId="7C1CF5FD" w:rsidR="0089632A" w:rsidRDefault="00FC05C1" w:rsidP="00957F6B">
            <w:pPr>
              <w:ind w:left="-618" w:right="-654"/>
              <w:jc w:val="center"/>
              <w:rPr>
                <w:rFonts w:asciiTheme="minorHAnsi" w:hAnsiTheme="minorHAnsi" w:cstheme="minorHAnsi"/>
              </w:rPr>
            </w:pPr>
            <w:r w:rsidRPr="00FC05C1">
              <w:rPr>
                <w:rFonts w:asciiTheme="minorHAnsi" w:hAnsiTheme="minorHAnsi" w:cstheme="minorHAnsi"/>
                <w:noProof/>
              </w:rPr>
              <w:drawing>
                <wp:inline distT="0" distB="0" distL="0" distR="0" wp14:anchorId="106922FB" wp14:editId="77BD7E6D">
                  <wp:extent cx="3563620" cy="2610338"/>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6523" cy="2612464"/>
                          </a:xfrm>
                          <a:prstGeom prst="rect">
                            <a:avLst/>
                          </a:prstGeom>
                          <a:noFill/>
                          <a:ln>
                            <a:noFill/>
                          </a:ln>
                        </pic:spPr>
                      </pic:pic>
                    </a:graphicData>
                  </a:graphic>
                </wp:inline>
              </w:drawing>
            </w:r>
          </w:p>
          <w:p w14:paraId="23DA5767" w14:textId="77777777" w:rsidR="00670C8F" w:rsidRDefault="00670C8F" w:rsidP="00957F6B">
            <w:pPr>
              <w:ind w:left="-618" w:right="-654"/>
              <w:jc w:val="center"/>
              <w:rPr>
                <w:rFonts w:asciiTheme="minorHAnsi" w:hAnsiTheme="minorHAnsi" w:cstheme="minorHAnsi"/>
                <w:sz w:val="12"/>
              </w:rPr>
            </w:pPr>
          </w:p>
          <w:p w14:paraId="179DABCE" w14:textId="77777777" w:rsidR="000F7442" w:rsidRDefault="000F7442" w:rsidP="000F7442">
            <w:pPr>
              <w:rPr>
                <w:rFonts w:asciiTheme="minorHAnsi" w:hAnsiTheme="minorHAnsi" w:cstheme="minorHAnsi"/>
                <w:sz w:val="12"/>
              </w:rPr>
            </w:pP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3AB5085" w:rsidR="00EF3BE9" w:rsidRPr="00977837" w:rsidRDefault="00FC05C1"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513041D0" wp14:editId="1F478D6C">
                  <wp:extent cx="5239755" cy="2547815"/>
                  <wp:effectExtent l="0" t="0" r="0"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80312" cy="2567536"/>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C9399E" w14:textId="5C77B8E2" w:rsidR="00731819" w:rsidRPr="002B3648" w:rsidRDefault="00731819"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5789A163" w14:textId="32B796B9" w:rsidR="00731819" w:rsidRPr="00737F8F" w:rsidRDefault="00FC05C1"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FC05C1">
        <w:rPr>
          <w:noProof/>
        </w:rPr>
        <w:drawing>
          <wp:inline distT="0" distB="0" distL="0" distR="0" wp14:anchorId="212747CB" wp14:editId="42FB8B6E">
            <wp:extent cx="5697415" cy="215773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99693" cy="2158593"/>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572250D9" w:rsidR="007F3FCB" w:rsidRDefault="000D4A23" w:rsidP="00604758">
      <w:pPr>
        <w:spacing w:line="0" w:lineRule="atLeast"/>
        <w:ind w:right="-567"/>
        <w:jc w:val="both"/>
        <w:rPr>
          <w:noProof/>
        </w:rPr>
      </w:pPr>
      <w:r w:rsidRPr="000D4A23">
        <w:rPr>
          <w:noProof/>
        </w:rPr>
        <w:drawing>
          <wp:inline distT="0" distB="0" distL="0" distR="0" wp14:anchorId="2188422E" wp14:editId="271EE935">
            <wp:extent cx="5850255" cy="2407139"/>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0185" cy="2411225"/>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60D36F7B" w:rsidR="00127A54" w:rsidRDefault="000D4A23" w:rsidP="006220EA">
      <w:pPr>
        <w:rPr>
          <w:rFonts w:asciiTheme="minorHAnsi" w:hAnsiTheme="minorHAnsi" w:cstheme="minorHAnsi"/>
          <w:i/>
          <w:sz w:val="18"/>
          <w:szCs w:val="18"/>
        </w:rPr>
      </w:pPr>
      <w:r w:rsidRPr="000D4A23">
        <w:rPr>
          <w:noProof/>
        </w:rPr>
        <w:drawing>
          <wp:inline distT="0" distB="0" distL="0" distR="0" wp14:anchorId="5023B5B2" wp14:editId="45241096">
            <wp:extent cx="5634892" cy="7486650"/>
            <wp:effectExtent l="0" t="0" r="444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37423" cy="7490013"/>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641E5E38" w:rsidR="00BF4B4A" w:rsidRPr="00C2751F" w:rsidRDefault="000D4A23" w:rsidP="005048C1">
      <w:pPr>
        <w:spacing w:line="0" w:lineRule="atLeast"/>
        <w:ind w:right="-567"/>
        <w:jc w:val="both"/>
        <w:rPr>
          <w:noProof/>
          <w:lang w:val="es-PE" w:eastAsia="es-PE"/>
        </w:rPr>
      </w:pPr>
      <w:r w:rsidRPr="000D4A23">
        <w:rPr>
          <w:noProof/>
        </w:rPr>
        <w:drawing>
          <wp:inline distT="0" distB="0" distL="0" distR="0" wp14:anchorId="00549B45" wp14:editId="6B955DF5">
            <wp:extent cx="5850255" cy="6643077"/>
            <wp:effectExtent l="0" t="0" r="0"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4113" cy="6647458"/>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27441323" w14:textId="77777777" w:rsidR="00476413" w:rsidRDefault="00476413" w:rsidP="00476413">
      <w:pPr>
        <w:jc w:val="center"/>
        <w:rPr>
          <w:rFonts w:asciiTheme="minorHAnsi" w:hAnsiTheme="minorHAnsi" w:cstheme="minorHAnsi"/>
          <w:sz w:val="22"/>
          <w:szCs w:val="22"/>
        </w:rPr>
      </w:pPr>
      <w:r>
        <w:rPr>
          <w:noProof/>
        </w:rPr>
        <w:drawing>
          <wp:inline distT="0" distB="0" distL="0" distR="0" wp14:anchorId="14ED6675" wp14:editId="19A42B56">
            <wp:extent cx="5586355" cy="2982057"/>
            <wp:effectExtent l="19050" t="19050" r="14605" b="27940"/>
            <wp:docPr id="315777793"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5143" cy="2992086"/>
                    </a:xfrm>
                    <a:prstGeom prst="rect">
                      <a:avLst/>
                    </a:prstGeom>
                    <a:noFill/>
                    <a:ln>
                      <a:solidFill>
                        <a:schemeClr val="accent1"/>
                      </a:solidFill>
                    </a:ln>
                  </pic:spPr>
                </pic:pic>
              </a:graphicData>
            </a:graphic>
          </wp:inline>
        </w:drawing>
      </w:r>
    </w:p>
    <w:p w14:paraId="799EEA1F" w14:textId="7331E148" w:rsidR="00476413" w:rsidRDefault="00476413" w:rsidP="00476413">
      <w:pPr>
        <w:jc w:val="center"/>
        <w:rPr>
          <w:rFonts w:asciiTheme="minorHAnsi" w:hAnsiTheme="minorHAnsi" w:cstheme="minorHAnsi"/>
          <w:sz w:val="22"/>
          <w:szCs w:val="22"/>
        </w:rPr>
      </w:pPr>
    </w:p>
    <w:p w14:paraId="5B9C6C15" w14:textId="77777777" w:rsidR="00476413" w:rsidRDefault="00476413" w:rsidP="00476413">
      <w:pPr>
        <w:jc w:val="center"/>
        <w:rPr>
          <w:rFonts w:asciiTheme="minorHAnsi" w:hAnsiTheme="minorHAnsi" w:cstheme="minorHAnsi"/>
          <w:sz w:val="22"/>
          <w:szCs w:val="22"/>
        </w:rPr>
      </w:pPr>
    </w:p>
    <w:p w14:paraId="6088A13E" w14:textId="77777777" w:rsidR="00476413" w:rsidRDefault="00476413" w:rsidP="00476413">
      <w:pPr>
        <w:jc w:val="center"/>
        <w:rPr>
          <w:rFonts w:asciiTheme="minorHAnsi" w:hAnsiTheme="minorHAnsi" w:cstheme="minorHAnsi"/>
          <w:sz w:val="22"/>
          <w:szCs w:val="22"/>
        </w:rPr>
      </w:pPr>
      <w:r>
        <w:rPr>
          <w:noProof/>
        </w:rPr>
        <w:drawing>
          <wp:inline distT="0" distB="0" distL="0" distR="0" wp14:anchorId="3D5582DC" wp14:editId="4D488C0E">
            <wp:extent cx="5542435" cy="2958612"/>
            <wp:effectExtent l="19050" t="19050" r="20320" b="13335"/>
            <wp:docPr id="969439407"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71909" cy="2974346"/>
                    </a:xfrm>
                    <a:prstGeom prst="rect">
                      <a:avLst/>
                    </a:prstGeom>
                    <a:noFill/>
                    <a:ln>
                      <a:solidFill>
                        <a:schemeClr val="accent1"/>
                      </a:solidFill>
                    </a:ln>
                  </pic:spPr>
                </pic:pic>
              </a:graphicData>
            </a:graphic>
          </wp:inline>
        </w:drawing>
      </w:r>
    </w:p>
    <w:p w14:paraId="749EBCA2" w14:textId="77777777" w:rsidR="00476413" w:rsidRDefault="00476413" w:rsidP="00476413">
      <w:pPr>
        <w:jc w:val="center"/>
        <w:rPr>
          <w:rFonts w:asciiTheme="minorHAnsi" w:hAnsiTheme="minorHAnsi" w:cstheme="minorHAnsi"/>
          <w:b/>
          <w:iCs/>
          <w:u w:val="single"/>
        </w:rPr>
      </w:pPr>
    </w:p>
    <w:p w14:paraId="08B78F63" w14:textId="77777777" w:rsidR="00476413" w:rsidRDefault="00476413" w:rsidP="00476413">
      <w:pPr>
        <w:jc w:val="center"/>
        <w:rPr>
          <w:rFonts w:asciiTheme="minorHAnsi" w:hAnsiTheme="minorHAnsi" w:cstheme="minorHAnsi"/>
          <w:b/>
          <w:iCs/>
          <w:u w:val="single"/>
        </w:rPr>
      </w:pPr>
      <w:r>
        <w:rPr>
          <w:noProof/>
        </w:rPr>
        <w:lastRenderedPageBreak/>
        <w:drawing>
          <wp:inline distT="0" distB="0" distL="0" distR="0" wp14:anchorId="0BCD2DBA" wp14:editId="44897728">
            <wp:extent cx="5571717" cy="2974242"/>
            <wp:effectExtent l="19050" t="19050" r="10160" b="17145"/>
            <wp:docPr id="622133604"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98175" cy="2988366"/>
                    </a:xfrm>
                    <a:prstGeom prst="rect">
                      <a:avLst/>
                    </a:prstGeom>
                    <a:noFill/>
                    <a:ln>
                      <a:solidFill>
                        <a:schemeClr val="accent1"/>
                      </a:solidFill>
                    </a:ln>
                  </pic:spPr>
                </pic:pic>
              </a:graphicData>
            </a:graphic>
          </wp:inline>
        </w:drawing>
      </w:r>
    </w:p>
    <w:p w14:paraId="05047840" w14:textId="6835090F" w:rsidR="00476413" w:rsidRDefault="00476413" w:rsidP="00476413">
      <w:pPr>
        <w:jc w:val="center"/>
        <w:rPr>
          <w:rFonts w:asciiTheme="minorHAnsi" w:hAnsiTheme="minorHAnsi" w:cstheme="minorHAnsi"/>
          <w:b/>
          <w:iCs/>
          <w:u w:val="single"/>
        </w:rPr>
      </w:pPr>
    </w:p>
    <w:p w14:paraId="55A96255" w14:textId="77777777" w:rsidR="00476413" w:rsidRDefault="00476413" w:rsidP="00476413">
      <w:pPr>
        <w:jc w:val="center"/>
        <w:rPr>
          <w:rFonts w:asciiTheme="minorHAnsi" w:hAnsiTheme="minorHAnsi" w:cstheme="minorHAnsi"/>
          <w:b/>
          <w:iCs/>
          <w:u w:val="single"/>
        </w:rPr>
      </w:pPr>
    </w:p>
    <w:p w14:paraId="1785D3F8" w14:textId="77777777" w:rsidR="00476413" w:rsidRDefault="00476413" w:rsidP="00476413">
      <w:pPr>
        <w:jc w:val="center"/>
        <w:rPr>
          <w:rFonts w:asciiTheme="minorHAnsi" w:hAnsiTheme="minorHAnsi" w:cstheme="minorHAnsi"/>
          <w:b/>
          <w:iCs/>
          <w:u w:val="single"/>
        </w:rPr>
      </w:pPr>
      <w:r>
        <w:rPr>
          <w:noProof/>
        </w:rPr>
        <w:drawing>
          <wp:inline distT="0" distB="0" distL="0" distR="0" wp14:anchorId="505115A2" wp14:editId="70FAFFD2">
            <wp:extent cx="5586357" cy="2982058"/>
            <wp:effectExtent l="19050" t="19050" r="14605" b="27940"/>
            <wp:docPr id="177411658"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9257" cy="2994282"/>
                    </a:xfrm>
                    <a:prstGeom prst="rect">
                      <a:avLst/>
                    </a:prstGeom>
                    <a:noFill/>
                    <a:ln>
                      <a:solidFill>
                        <a:schemeClr val="accent1"/>
                      </a:solidFill>
                    </a:ln>
                  </pic:spPr>
                </pic:pic>
              </a:graphicData>
            </a:graphic>
          </wp:inline>
        </w:drawing>
      </w:r>
    </w:p>
    <w:p w14:paraId="042184B9" w14:textId="77777777" w:rsidR="00476413" w:rsidRDefault="00476413" w:rsidP="00476413">
      <w:pPr>
        <w:rPr>
          <w:rFonts w:asciiTheme="minorHAnsi" w:hAnsiTheme="minorHAnsi" w:cstheme="minorHAnsi"/>
          <w:b/>
          <w:iCs/>
          <w:u w:val="single"/>
        </w:rPr>
      </w:pPr>
    </w:p>
    <w:p w14:paraId="55C53D66" w14:textId="0D1CDC82" w:rsidR="00E41204" w:rsidRDefault="00E41204" w:rsidP="00E41204">
      <w:pPr>
        <w:jc w:val="center"/>
        <w:rPr>
          <w:rFonts w:asciiTheme="minorHAnsi" w:hAnsiTheme="minorHAnsi" w:cstheme="minorHAnsi"/>
          <w:sz w:val="22"/>
          <w:szCs w:val="22"/>
        </w:rPr>
      </w:pPr>
    </w:p>
    <w:p w14:paraId="0AD15D95" w14:textId="122C1427" w:rsidR="00E41204" w:rsidRDefault="00E41204" w:rsidP="00E41204">
      <w:pPr>
        <w:jc w:val="center"/>
        <w:rPr>
          <w:rFonts w:asciiTheme="minorHAnsi" w:hAnsiTheme="minorHAnsi" w:cstheme="minorHAnsi"/>
          <w:sz w:val="22"/>
          <w:szCs w:val="22"/>
        </w:rPr>
      </w:pPr>
    </w:p>
    <w:p w14:paraId="400DC4DB" w14:textId="66BD14B3" w:rsidR="00E41204" w:rsidRDefault="00E41204" w:rsidP="00E41204">
      <w:pPr>
        <w:jc w:val="center"/>
        <w:rPr>
          <w:rFonts w:asciiTheme="minorHAnsi" w:hAnsiTheme="minorHAnsi" w:cstheme="minorHAnsi"/>
          <w:sz w:val="22"/>
          <w:szCs w:val="22"/>
        </w:rPr>
      </w:pPr>
    </w:p>
    <w:p w14:paraId="7ECFF236" w14:textId="77777777" w:rsidR="00E41204" w:rsidRDefault="00E41204" w:rsidP="00E41204">
      <w:pPr>
        <w:jc w:val="center"/>
        <w:rPr>
          <w:rFonts w:asciiTheme="minorHAnsi" w:hAnsiTheme="minorHAnsi" w:cstheme="minorHAnsi"/>
          <w:sz w:val="22"/>
          <w:szCs w:val="22"/>
        </w:rPr>
      </w:pPr>
    </w:p>
    <w:p w14:paraId="583019B8" w14:textId="485779ED" w:rsidR="00E41204" w:rsidRDefault="00E41204" w:rsidP="00E41204">
      <w:pPr>
        <w:jc w:val="center"/>
        <w:rPr>
          <w:rFonts w:asciiTheme="minorHAnsi" w:hAnsiTheme="minorHAnsi" w:cstheme="minorHAnsi"/>
          <w:b/>
          <w:iCs/>
          <w:u w:val="single"/>
        </w:rPr>
      </w:pPr>
    </w:p>
    <w:p w14:paraId="5EED6598" w14:textId="77777777" w:rsidR="00E41204" w:rsidRDefault="00E41204" w:rsidP="00E41204">
      <w:pPr>
        <w:jc w:val="center"/>
        <w:rPr>
          <w:rFonts w:asciiTheme="minorHAnsi" w:hAnsiTheme="minorHAnsi" w:cstheme="minorHAnsi"/>
          <w:b/>
          <w:iCs/>
          <w:u w:val="single"/>
        </w:rPr>
      </w:pPr>
    </w:p>
    <w:p w14:paraId="63A78EEC" w14:textId="307C8D13" w:rsidR="00E41204" w:rsidRDefault="00E41204" w:rsidP="00E41204">
      <w:pPr>
        <w:jc w:val="center"/>
        <w:rPr>
          <w:rFonts w:asciiTheme="minorHAnsi" w:hAnsiTheme="minorHAnsi" w:cstheme="minorHAnsi"/>
          <w:b/>
          <w:iCs/>
          <w:u w:val="single"/>
        </w:rPr>
      </w:pPr>
    </w:p>
    <w:p w14:paraId="2E22F2BD" w14:textId="1B2F3319" w:rsidR="00E41204" w:rsidRDefault="00E41204" w:rsidP="00E41204">
      <w:pPr>
        <w:jc w:val="center"/>
        <w:rPr>
          <w:rFonts w:asciiTheme="minorHAnsi" w:hAnsiTheme="minorHAnsi" w:cstheme="minorHAnsi"/>
          <w:b/>
          <w:iCs/>
          <w:u w:val="single"/>
        </w:rPr>
      </w:pPr>
    </w:p>
    <w:p w14:paraId="7CC817C0" w14:textId="77777777" w:rsidR="00E41204" w:rsidRDefault="00E41204" w:rsidP="00E41204">
      <w:pPr>
        <w:jc w:val="center"/>
        <w:rPr>
          <w:rFonts w:asciiTheme="minorHAnsi" w:hAnsiTheme="minorHAnsi" w:cstheme="minorHAnsi"/>
          <w:b/>
          <w:iCs/>
          <w:u w:val="single"/>
        </w:rPr>
      </w:pPr>
    </w:p>
    <w:p w14:paraId="0DC711EF" w14:textId="353CCDFF" w:rsidR="00E41204" w:rsidRDefault="00E41204" w:rsidP="00E41204">
      <w:pPr>
        <w:jc w:val="center"/>
        <w:rPr>
          <w:rFonts w:asciiTheme="minorHAnsi" w:hAnsiTheme="minorHAnsi" w:cstheme="minorHAnsi"/>
          <w:b/>
          <w:iCs/>
          <w:u w:val="single"/>
        </w:rPr>
      </w:pPr>
    </w:p>
    <w:p w14:paraId="47A58984" w14:textId="77777777" w:rsidR="00596532" w:rsidRDefault="00596532" w:rsidP="00596532">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4B2B55"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393A749D"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A74D6">
            <w:rPr>
              <w:rFonts w:ascii="Calibri" w:hAnsi="Calibri" w:cs="Calibri"/>
              <w:b/>
              <w:sz w:val="26"/>
              <w:szCs w:val="26"/>
              <w:lang w:val="it-IT"/>
            </w:rPr>
            <w:t>1</w:t>
          </w:r>
          <w:r w:rsidR="00360ED2">
            <w:rPr>
              <w:rFonts w:ascii="Calibri" w:hAnsi="Calibri" w:cs="Calibri"/>
              <w:b/>
              <w:sz w:val="26"/>
              <w:szCs w:val="26"/>
              <w:lang w:val="it-IT"/>
            </w:rPr>
            <w:t>2</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701DE6B"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A74D6">
            <w:rPr>
              <w:rFonts w:ascii="Calibri" w:hAnsi="Calibri" w:cs="Calibri"/>
              <w:b/>
              <w:sz w:val="26"/>
              <w:szCs w:val="26"/>
              <w:lang w:val="it-IT"/>
            </w:rPr>
            <w:t>1</w:t>
          </w:r>
          <w:r w:rsidR="00360ED2">
            <w:rPr>
              <w:rFonts w:ascii="Calibri" w:hAnsi="Calibri" w:cs="Calibri"/>
              <w:b/>
              <w:sz w:val="26"/>
              <w:szCs w:val="26"/>
              <w:lang w:val="it-IT"/>
            </w:rPr>
            <w:t>2</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43AC6F0F"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360ED2">
            <w:rPr>
              <w:rFonts w:ascii="Calibri" w:hAnsi="Calibri" w:cs="Calibri"/>
              <w:b/>
              <w:sz w:val="26"/>
              <w:szCs w:val="26"/>
              <w:lang w:val="it-IT"/>
            </w:rPr>
            <w:t>2</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103FC4BC"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360ED2">
            <w:rPr>
              <w:rFonts w:ascii="Calibri" w:hAnsi="Calibri" w:cs="Calibri"/>
              <w:b/>
              <w:sz w:val="26"/>
              <w:szCs w:val="26"/>
              <w:lang w:val="it-IT"/>
            </w:rPr>
            <w:t>2</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73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7305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4152</Words>
  <Characters>22842</Characters>
  <Application>Microsoft Office Word</Application>
  <DocSecurity>0</DocSecurity>
  <Lines>190</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2024-03-21T15:41:00Z</cp:lastPrinted>
  <dcterms:created xsi:type="dcterms:W3CDTF">2024-03-21T15:41:00Z</dcterms:created>
  <dcterms:modified xsi:type="dcterms:W3CDTF">2024-03-21T15:53:00Z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