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7494887"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8E318F">
        <w:rPr>
          <w:rFonts w:ascii="Poppins" w:hAnsi="Poppins" w:cs="Poppins"/>
          <w:sz w:val="24"/>
          <w:szCs w:val="22"/>
          <w:u w:val="single"/>
          <w:lang w:val="it-IT"/>
        </w:rPr>
        <w:t>5</w:t>
      </w:r>
      <w:r w:rsidR="00D23803">
        <w:rPr>
          <w:rFonts w:ascii="Poppins" w:hAnsi="Poppins" w:cs="Poppins"/>
          <w:sz w:val="24"/>
          <w:szCs w:val="22"/>
          <w:u w:val="single"/>
          <w:lang w:val="it-IT"/>
        </w:rPr>
        <w:t>1</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169027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D23803">
        <w:rPr>
          <w:rFonts w:ascii="Poppins" w:hAnsi="Poppins" w:cs="Poppins"/>
          <w:b/>
          <w:bCs/>
          <w:sz w:val="22"/>
          <w:szCs w:val="22"/>
        </w:rPr>
        <w:t>16</w:t>
      </w:r>
      <w:r w:rsidR="00D13504" w:rsidRPr="0096213B">
        <w:rPr>
          <w:rFonts w:ascii="Poppins" w:hAnsi="Poppins" w:cs="Poppins"/>
          <w:b/>
          <w:bCs/>
          <w:sz w:val="22"/>
          <w:szCs w:val="22"/>
        </w:rPr>
        <w:t>/</w:t>
      </w:r>
      <w:r w:rsidR="00E2684B">
        <w:rPr>
          <w:rFonts w:ascii="Poppins" w:hAnsi="Poppins" w:cs="Poppins"/>
          <w:b/>
          <w:bCs/>
          <w:sz w:val="22"/>
          <w:szCs w:val="22"/>
        </w:rPr>
        <w:t>1</w:t>
      </w:r>
      <w:r w:rsidR="00003701">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7AFF330C" w:rsidR="00AB06BA" w:rsidRPr="001C2FD3" w:rsidRDefault="00D2380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7FBD77E" wp14:editId="436D70F1">
            <wp:extent cx="5321263" cy="354883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7738" cy="355982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744ED911"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211B88">
        <w:rPr>
          <w:rFonts w:ascii="Poppins" w:hAnsi="Poppins" w:cs="Poppins"/>
          <w:sz w:val="18"/>
          <w:szCs w:val="18"/>
        </w:rPr>
        <w:t>9</w:t>
      </w:r>
      <w:r w:rsidR="00073C34" w:rsidRPr="0096213B">
        <w:rPr>
          <w:rFonts w:ascii="Poppins" w:hAnsi="Poppins" w:cs="Poppins"/>
          <w:sz w:val="18"/>
          <w:szCs w:val="18"/>
        </w:rPr>
        <w:t>,</w:t>
      </w:r>
      <w:r w:rsidR="00211B88">
        <w:rPr>
          <w:rFonts w:ascii="Poppins" w:hAnsi="Poppins" w:cs="Poppins"/>
          <w:sz w:val="18"/>
          <w:szCs w:val="18"/>
        </w:rPr>
        <w:t>87</w:t>
      </w:r>
      <w:r w:rsidRPr="0096213B">
        <w:rPr>
          <w:rFonts w:ascii="Poppins" w:hAnsi="Poppins" w:cs="Poppins"/>
          <w:sz w:val="18"/>
          <w:szCs w:val="18"/>
        </w:rPr>
        <w:t xml:space="preserve"> US$/Bl, las gasolinas registraron un precio superior a </w:t>
      </w:r>
      <w:r w:rsidR="00EA6FFB">
        <w:rPr>
          <w:rFonts w:ascii="Poppins" w:hAnsi="Poppins" w:cs="Poppins"/>
          <w:sz w:val="18"/>
          <w:szCs w:val="18"/>
        </w:rPr>
        <w:t>80</w:t>
      </w:r>
      <w:r w:rsidRPr="0096213B">
        <w:rPr>
          <w:rFonts w:ascii="Poppins" w:hAnsi="Poppins" w:cs="Poppins"/>
          <w:sz w:val="18"/>
          <w:szCs w:val="18"/>
        </w:rPr>
        <w:t xml:space="preserve"> US$/Bl y los destilados medios registraron niveles </w:t>
      </w:r>
      <w:r w:rsidR="005B64C4">
        <w:rPr>
          <w:rFonts w:ascii="Poppins" w:hAnsi="Poppins" w:cs="Poppins"/>
          <w:sz w:val="18"/>
          <w:szCs w:val="18"/>
        </w:rPr>
        <w:t>por encima de</w:t>
      </w:r>
      <w:r w:rsidRPr="0096213B">
        <w:rPr>
          <w:rFonts w:ascii="Poppins" w:hAnsi="Poppins" w:cs="Poppins"/>
          <w:sz w:val="18"/>
          <w:szCs w:val="18"/>
        </w:rPr>
        <w:t xml:space="preserve"> los </w:t>
      </w:r>
      <w:r w:rsidR="00EA6FFB">
        <w:rPr>
          <w:rFonts w:ascii="Poppins" w:hAnsi="Poppins" w:cs="Poppins"/>
          <w:sz w:val="18"/>
          <w:szCs w:val="18"/>
        </w:rPr>
        <w:t>9</w:t>
      </w:r>
      <w:r w:rsidR="00D72CEB">
        <w:rPr>
          <w:rFonts w:ascii="Poppins" w:hAnsi="Poppins" w:cs="Poppins"/>
          <w:sz w:val="18"/>
          <w:szCs w:val="18"/>
        </w:rPr>
        <w:t>0</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EA6FFB">
        <w:rPr>
          <w:rFonts w:ascii="Poppins" w:hAnsi="Poppins" w:cs="Poppins"/>
          <w:sz w:val="18"/>
          <w:szCs w:val="18"/>
        </w:rPr>
        <w:t>6</w:t>
      </w:r>
      <w:r w:rsidR="00941CD2" w:rsidRPr="0096213B">
        <w:rPr>
          <w:rFonts w:ascii="Poppins" w:hAnsi="Poppins" w:cs="Poppins"/>
          <w:sz w:val="18"/>
          <w:szCs w:val="18"/>
        </w:rPr>
        <w:t>,</w:t>
      </w:r>
      <w:r w:rsidR="00D72CEB">
        <w:rPr>
          <w:rFonts w:ascii="Poppins" w:hAnsi="Poppins" w:cs="Poppins"/>
          <w:sz w:val="18"/>
          <w:szCs w:val="18"/>
        </w:rPr>
        <w:t>3</w:t>
      </w:r>
      <w:r w:rsidR="00EA6FFB">
        <w:rPr>
          <w:rFonts w:ascii="Poppins" w:hAnsi="Poppins" w:cs="Poppins"/>
          <w:sz w:val="18"/>
          <w:szCs w:val="18"/>
        </w:rPr>
        <w:t>2</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34BB5DF9"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EA6FFB">
        <w:rPr>
          <w:rFonts w:ascii="Poppins" w:hAnsi="Poppins" w:cs="Poppins"/>
          <w:bCs/>
          <w:sz w:val="18"/>
          <w:szCs w:val="18"/>
        </w:rPr>
        <w:t>0</w:t>
      </w:r>
      <w:r w:rsidR="00D72CEB">
        <w:rPr>
          <w:rFonts w:ascii="Poppins" w:hAnsi="Poppins" w:cs="Poppins"/>
          <w:bCs/>
          <w:sz w:val="18"/>
          <w:szCs w:val="18"/>
        </w:rPr>
        <w:t>2</w:t>
      </w:r>
      <w:r w:rsidRPr="0096213B">
        <w:rPr>
          <w:rFonts w:ascii="Poppins" w:hAnsi="Poppins" w:cs="Poppins"/>
          <w:bCs/>
          <w:sz w:val="18"/>
          <w:szCs w:val="18"/>
        </w:rPr>
        <w:t>.</w:t>
      </w:r>
      <w:r w:rsidR="00B2646F">
        <w:rPr>
          <w:rFonts w:ascii="Poppins" w:hAnsi="Poppins" w:cs="Poppins"/>
          <w:bCs/>
          <w:sz w:val="18"/>
          <w:szCs w:val="18"/>
        </w:rPr>
        <w:t>1</w:t>
      </w:r>
      <w:r w:rsidR="00EA6FFB">
        <w:rPr>
          <w:rFonts w:ascii="Poppins" w:hAnsi="Poppins" w:cs="Poppins"/>
          <w:bCs/>
          <w:sz w:val="18"/>
          <w:szCs w:val="18"/>
        </w:rPr>
        <w:t>2</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EA6FFB">
        <w:rPr>
          <w:rFonts w:ascii="Poppins" w:hAnsi="Poppins" w:cs="Poppins"/>
          <w:bCs/>
          <w:sz w:val="18"/>
          <w:szCs w:val="18"/>
        </w:rPr>
        <w:t>13</w:t>
      </w:r>
      <w:r w:rsidRPr="0096213B">
        <w:rPr>
          <w:rFonts w:ascii="Poppins" w:hAnsi="Poppins" w:cs="Poppins"/>
          <w:bCs/>
          <w:sz w:val="18"/>
          <w:szCs w:val="18"/>
        </w:rPr>
        <w:t>.</w:t>
      </w:r>
      <w:r w:rsidR="00397809">
        <w:rPr>
          <w:rFonts w:ascii="Poppins" w:hAnsi="Poppins" w:cs="Poppins"/>
          <w:bCs/>
          <w:sz w:val="18"/>
          <w:szCs w:val="18"/>
        </w:rPr>
        <w:t>1</w:t>
      </w:r>
      <w:r w:rsidR="00D72CEB">
        <w:rPr>
          <w:rFonts w:ascii="Poppins" w:hAnsi="Poppins" w:cs="Poppins"/>
          <w:bCs/>
          <w:sz w:val="18"/>
          <w:szCs w:val="18"/>
        </w:rPr>
        <w:t>2</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04EF8364" w14:textId="77777777" w:rsidR="00EA6FFB" w:rsidRPr="00530EF2" w:rsidRDefault="00EA6FFB" w:rsidP="00EA6FFB">
      <w:pPr>
        <w:pStyle w:val="Prrafodelista"/>
        <w:numPr>
          <w:ilvl w:val="0"/>
          <w:numId w:val="30"/>
        </w:numPr>
        <w:ind w:left="425"/>
        <w:contextualSpacing/>
        <w:jc w:val="both"/>
        <w:rPr>
          <w:rFonts w:asciiTheme="minorHAnsi" w:hAnsiTheme="minorHAnsi" w:cstheme="minorHAnsi"/>
          <w:b/>
          <w:sz w:val="22"/>
          <w:szCs w:val="22"/>
        </w:rPr>
      </w:pPr>
      <w:r w:rsidRPr="00530EF2">
        <w:rPr>
          <w:rFonts w:asciiTheme="minorHAnsi" w:hAnsiTheme="minorHAnsi" w:cstheme="minorHAnsi"/>
          <w:b/>
          <w:sz w:val="22"/>
          <w:szCs w:val="22"/>
        </w:rPr>
        <w:t>La disminución de los inventarios de crudo y propano, así como el aumento de las existencias de gasolinas y destilados al 06 de diciembre del 2024</w:t>
      </w:r>
    </w:p>
    <w:p w14:paraId="73903558" w14:textId="77777777" w:rsidR="00EA6FFB" w:rsidRPr="00530EF2" w:rsidRDefault="00EA6FFB" w:rsidP="00EA6FFB">
      <w:pPr>
        <w:pStyle w:val="Prrafodelista"/>
        <w:ind w:left="426"/>
        <w:jc w:val="both"/>
        <w:rPr>
          <w:rFonts w:asciiTheme="minorHAnsi" w:hAnsiTheme="minorHAnsi" w:cstheme="minorHAnsi"/>
          <w:sz w:val="22"/>
          <w:szCs w:val="22"/>
        </w:rPr>
      </w:pPr>
    </w:p>
    <w:p w14:paraId="7E5B5CA3" w14:textId="77777777" w:rsidR="00EA6FFB" w:rsidRPr="00530EF2" w:rsidRDefault="00EA6FFB" w:rsidP="00EA6FFB">
      <w:pPr>
        <w:shd w:val="clear" w:color="auto" w:fill="FFFFFF"/>
        <w:ind w:left="425"/>
        <w:jc w:val="both"/>
        <w:rPr>
          <w:rFonts w:asciiTheme="minorHAnsi" w:hAnsiTheme="minorHAnsi" w:cstheme="minorHAnsi"/>
          <w:sz w:val="22"/>
          <w:szCs w:val="22"/>
        </w:rPr>
      </w:pPr>
      <w:r w:rsidRPr="00530EF2">
        <w:rPr>
          <w:rFonts w:asciiTheme="minorHAnsi" w:hAnsiTheme="minorHAnsi" w:cstheme="minorHAnsi"/>
          <w:sz w:val="22"/>
          <w:szCs w:val="22"/>
        </w:rPr>
        <w:t>Los inventarios de petróleo de Estados Unidos cayeron en 1,4 millones de barriles, ubicándose en -6% por debajo de la media de los últimos 5 años, para esta época del año, lo que representa 422,0 millones de barriles.</w:t>
      </w:r>
    </w:p>
    <w:p w14:paraId="11FDDA2B" w14:textId="77777777" w:rsidR="00EA6FFB" w:rsidRPr="00530EF2" w:rsidRDefault="00EA6FFB" w:rsidP="00EA6FFB">
      <w:pPr>
        <w:shd w:val="clear" w:color="auto" w:fill="FFFFFF"/>
        <w:ind w:left="425"/>
        <w:jc w:val="both"/>
        <w:rPr>
          <w:rFonts w:asciiTheme="minorHAnsi" w:hAnsiTheme="minorHAnsi" w:cstheme="minorHAnsi"/>
          <w:sz w:val="22"/>
          <w:szCs w:val="22"/>
        </w:rPr>
      </w:pPr>
    </w:p>
    <w:p w14:paraId="52A76E53" w14:textId="554D2DE9" w:rsidR="00EA6FFB" w:rsidRDefault="00EA6FFB" w:rsidP="00EA6FFB">
      <w:pPr>
        <w:shd w:val="clear" w:color="auto" w:fill="FFFFFF"/>
        <w:ind w:left="425"/>
        <w:jc w:val="both"/>
        <w:rPr>
          <w:rFonts w:asciiTheme="minorHAnsi" w:hAnsiTheme="minorHAnsi" w:cstheme="minorHAnsi"/>
          <w:sz w:val="22"/>
          <w:szCs w:val="22"/>
        </w:rPr>
      </w:pPr>
      <w:r w:rsidRPr="00530EF2">
        <w:rPr>
          <w:rFonts w:asciiTheme="minorHAnsi" w:hAnsiTheme="minorHAnsi" w:cstheme="minorHAnsi"/>
          <w:sz w:val="22"/>
          <w:szCs w:val="22"/>
        </w:rPr>
        <w:t>Por su parte, las existencias de gasolina se incrementaron en 5,1 millones de barriles, reportando un total de 219,7 millones de barriles; mientras los inventarios de destilados, que incluyen al diésel y al combustible para calefacción aumentaron 3,2 millones de barriles, ubicándose en 121,3 millones de barriles. Finalmente, las existencias de propano bajaron 2,9 millones de barriles, registrando un nivel de 93, 05 millones de barriles.</w:t>
      </w:r>
    </w:p>
    <w:p w14:paraId="0CE722F6" w14:textId="1A34DD49" w:rsidR="00EA6FFB" w:rsidRDefault="00EA6FFB" w:rsidP="00EA6FFB">
      <w:pPr>
        <w:shd w:val="clear" w:color="auto" w:fill="FFFFFF"/>
        <w:ind w:left="425"/>
        <w:jc w:val="both"/>
        <w:rPr>
          <w:rFonts w:asciiTheme="minorHAnsi" w:hAnsiTheme="minorHAnsi" w:cstheme="minorHAnsi"/>
          <w:sz w:val="22"/>
          <w:szCs w:val="22"/>
        </w:rPr>
      </w:pPr>
    </w:p>
    <w:p w14:paraId="7919E98C" w14:textId="72218A41" w:rsidR="00EA6FFB" w:rsidRDefault="00EA6FFB" w:rsidP="00EA6FFB">
      <w:pPr>
        <w:shd w:val="clear" w:color="auto" w:fill="FFFFFF"/>
        <w:ind w:left="425"/>
        <w:jc w:val="both"/>
        <w:rPr>
          <w:rFonts w:asciiTheme="minorHAnsi" w:hAnsiTheme="minorHAnsi" w:cstheme="minorHAnsi"/>
          <w:sz w:val="22"/>
          <w:szCs w:val="22"/>
        </w:rPr>
      </w:pPr>
    </w:p>
    <w:p w14:paraId="0BC1DD1F" w14:textId="77777777" w:rsidR="00EA6FFB" w:rsidRPr="00530EF2" w:rsidRDefault="00EA6FFB" w:rsidP="00EA6FFB">
      <w:pPr>
        <w:shd w:val="clear" w:color="auto" w:fill="FFFFFF"/>
        <w:ind w:left="425"/>
        <w:jc w:val="both"/>
        <w:rPr>
          <w:rFonts w:asciiTheme="minorHAnsi" w:hAnsiTheme="minorHAnsi" w:cstheme="minorHAnsi"/>
          <w:sz w:val="22"/>
          <w:szCs w:val="22"/>
        </w:rPr>
      </w:pPr>
    </w:p>
    <w:p w14:paraId="7C4043A9" w14:textId="77777777" w:rsidR="00EA6FFB" w:rsidRPr="00530EF2" w:rsidRDefault="00EA6FFB" w:rsidP="00EA6FFB">
      <w:pPr>
        <w:pStyle w:val="Prrafodelista"/>
        <w:ind w:left="426"/>
        <w:jc w:val="both"/>
        <w:rPr>
          <w:rFonts w:asciiTheme="minorHAnsi" w:hAnsiTheme="minorHAnsi" w:cstheme="minorHAnsi"/>
          <w:sz w:val="22"/>
          <w:szCs w:val="22"/>
        </w:rPr>
      </w:pPr>
    </w:p>
    <w:p w14:paraId="48709E9C" w14:textId="77777777" w:rsidR="00EA6FFB" w:rsidRPr="00530EF2" w:rsidRDefault="00EA6FFB" w:rsidP="00EA6FFB">
      <w:pPr>
        <w:pStyle w:val="Prrafodelista"/>
        <w:numPr>
          <w:ilvl w:val="0"/>
          <w:numId w:val="30"/>
        </w:numPr>
        <w:ind w:left="425"/>
        <w:contextualSpacing/>
        <w:jc w:val="both"/>
        <w:rPr>
          <w:rFonts w:asciiTheme="minorHAnsi" w:hAnsiTheme="minorHAnsi" w:cstheme="minorHAnsi"/>
          <w:b/>
          <w:sz w:val="22"/>
          <w:szCs w:val="22"/>
        </w:rPr>
      </w:pPr>
      <w:r w:rsidRPr="00530EF2">
        <w:rPr>
          <w:rFonts w:asciiTheme="minorHAnsi" w:hAnsiTheme="minorHAnsi" w:cstheme="minorHAnsi"/>
          <w:b/>
          <w:sz w:val="22"/>
          <w:szCs w:val="22"/>
        </w:rPr>
        <w:lastRenderedPageBreak/>
        <w:t>La incertidumbre política en el Medio Oriente, agudizada por el derrocamiento en Siria y las expectativas del mercado ante la nueva política monetaria en China</w:t>
      </w:r>
    </w:p>
    <w:p w14:paraId="23819606" w14:textId="77777777" w:rsidR="00EA6FFB" w:rsidRPr="00530EF2" w:rsidRDefault="00EA6FFB" w:rsidP="00EA6FFB">
      <w:pPr>
        <w:pStyle w:val="Prrafodelista"/>
        <w:ind w:left="425"/>
        <w:jc w:val="both"/>
        <w:rPr>
          <w:rFonts w:asciiTheme="minorHAnsi" w:hAnsiTheme="minorHAnsi" w:cstheme="minorHAnsi"/>
          <w:b/>
          <w:sz w:val="22"/>
          <w:szCs w:val="22"/>
        </w:rPr>
      </w:pPr>
    </w:p>
    <w:p w14:paraId="3D65255E" w14:textId="77777777" w:rsidR="00EA6FFB" w:rsidRPr="00530EF2" w:rsidRDefault="00EA6FFB" w:rsidP="00EA6FFB">
      <w:pPr>
        <w:pStyle w:val="Prrafodelista"/>
        <w:ind w:left="425"/>
        <w:jc w:val="both"/>
        <w:rPr>
          <w:rFonts w:asciiTheme="minorHAnsi" w:hAnsiTheme="minorHAnsi" w:cstheme="minorHAnsi"/>
          <w:sz w:val="22"/>
          <w:szCs w:val="22"/>
        </w:rPr>
      </w:pPr>
      <w:r w:rsidRPr="00530EF2">
        <w:rPr>
          <w:rFonts w:asciiTheme="minorHAnsi" w:hAnsiTheme="minorHAnsi" w:cstheme="minorHAnsi"/>
          <w:sz w:val="22"/>
          <w:szCs w:val="22"/>
        </w:rPr>
        <w:t>Los precios del petróleo y combustibles fueron impulsados al alza debido al derrocamiento del presidente, Bashar al-Asad, en Siria, quien terminó un régimen de 50 años, abriendo una nueva etapa de inestabilidad en la región perjudicada por la guerra.</w:t>
      </w:r>
    </w:p>
    <w:p w14:paraId="6C576209" w14:textId="77777777" w:rsidR="00EA6FFB" w:rsidRPr="00530EF2" w:rsidRDefault="00EA6FFB" w:rsidP="00EA6FFB">
      <w:pPr>
        <w:pStyle w:val="Prrafodelista"/>
        <w:ind w:left="425"/>
        <w:jc w:val="both"/>
        <w:rPr>
          <w:rFonts w:asciiTheme="minorHAnsi" w:hAnsiTheme="minorHAnsi" w:cstheme="minorHAnsi"/>
          <w:sz w:val="22"/>
          <w:szCs w:val="22"/>
        </w:rPr>
      </w:pPr>
    </w:p>
    <w:p w14:paraId="6F58D9C5" w14:textId="77777777" w:rsidR="00EA6FFB" w:rsidRPr="00530EF2" w:rsidRDefault="00EA6FFB" w:rsidP="00EA6FFB">
      <w:pPr>
        <w:pStyle w:val="Prrafodelista"/>
        <w:ind w:left="425"/>
        <w:jc w:val="both"/>
        <w:rPr>
          <w:rFonts w:asciiTheme="minorHAnsi" w:hAnsiTheme="minorHAnsi" w:cstheme="minorHAnsi"/>
          <w:sz w:val="22"/>
          <w:szCs w:val="22"/>
        </w:rPr>
      </w:pPr>
      <w:r w:rsidRPr="00530EF2">
        <w:rPr>
          <w:rFonts w:asciiTheme="minorHAnsi" w:hAnsiTheme="minorHAnsi" w:cstheme="minorHAnsi"/>
          <w:sz w:val="22"/>
          <w:szCs w:val="22"/>
        </w:rPr>
        <w:t>Los participantes del mercado se encuentran valorando los riesgos potencialmente bajos de que se produzca un desbordamiento regional más amplio que provoque una interrupción significativa del suministro de petróleo.</w:t>
      </w:r>
    </w:p>
    <w:p w14:paraId="3EA746FD" w14:textId="77777777" w:rsidR="00EA6FFB" w:rsidRPr="00530EF2" w:rsidRDefault="00EA6FFB" w:rsidP="00EA6FFB">
      <w:pPr>
        <w:pStyle w:val="Prrafodelista"/>
        <w:ind w:left="425"/>
        <w:jc w:val="both"/>
        <w:rPr>
          <w:rFonts w:asciiTheme="minorHAnsi" w:hAnsiTheme="minorHAnsi" w:cstheme="minorHAnsi"/>
          <w:b/>
          <w:sz w:val="22"/>
          <w:szCs w:val="22"/>
        </w:rPr>
      </w:pPr>
    </w:p>
    <w:p w14:paraId="325B2B75" w14:textId="77777777" w:rsidR="00EA6FFB" w:rsidRPr="00530EF2" w:rsidRDefault="00EA6FFB" w:rsidP="00EA6FFB">
      <w:pPr>
        <w:pStyle w:val="Prrafodelista"/>
        <w:ind w:left="425"/>
        <w:jc w:val="both"/>
        <w:rPr>
          <w:rFonts w:asciiTheme="minorHAnsi" w:hAnsiTheme="minorHAnsi" w:cstheme="minorHAnsi"/>
          <w:sz w:val="22"/>
          <w:szCs w:val="22"/>
        </w:rPr>
      </w:pPr>
      <w:r w:rsidRPr="00530EF2">
        <w:rPr>
          <w:rFonts w:asciiTheme="minorHAnsi" w:hAnsiTheme="minorHAnsi" w:cstheme="minorHAnsi"/>
          <w:sz w:val="22"/>
          <w:szCs w:val="22"/>
        </w:rPr>
        <w:t>Por otra parte, China cambiará su política monetaria, hacia una “moderadamente flexible” (la más relajada desde 2010) con la meta de aportar un mayor impulso al crecimiento económico. Cabe recalcar que, en noviembre, los datos económicos chinos fueron mejores de lo esperado, tal es así que la actividad en dicho país se expandió al ritmo más rápido en 5 meses.</w:t>
      </w:r>
    </w:p>
    <w:p w14:paraId="6E9EEF48" w14:textId="77777777" w:rsidR="00EA6FFB" w:rsidRPr="00530EF2" w:rsidRDefault="00EA6FFB" w:rsidP="00EA6FFB">
      <w:pPr>
        <w:pStyle w:val="Prrafodelista"/>
        <w:ind w:left="425"/>
        <w:jc w:val="both"/>
        <w:rPr>
          <w:rFonts w:asciiTheme="minorHAnsi" w:hAnsiTheme="minorHAnsi" w:cstheme="minorHAnsi"/>
          <w:b/>
          <w:sz w:val="22"/>
          <w:szCs w:val="22"/>
        </w:rPr>
      </w:pPr>
    </w:p>
    <w:p w14:paraId="624E9DCE" w14:textId="77777777" w:rsidR="00EA6FFB" w:rsidRPr="00530EF2" w:rsidRDefault="00EA6FFB" w:rsidP="00EA6FFB">
      <w:pPr>
        <w:pStyle w:val="Prrafodelista"/>
        <w:numPr>
          <w:ilvl w:val="0"/>
          <w:numId w:val="30"/>
        </w:numPr>
        <w:ind w:left="425"/>
        <w:contextualSpacing/>
        <w:jc w:val="both"/>
        <w:rPr>
          <w:rFonts w:asciiTheme="minorHAnsi" w:hAnsiTheme="minorHAnsi" w:cstheme="minorHAnsi"/>
          <w:b/>
          <w:sz w:val="22"/>
          <w:szCs w:val="22"/>
        </w:rPr>
      </w:pPr>
      <w:r w:rsidRPr="00530EF2">
        <w:rPr>
          <w:rFonts w:asciiTheme="minorHAnsi" w:hAnsiTheme="minorHAnsi" w:cstheme="minorHAnsi"/>
          <w:b/>
          <w:sz w:val="22"/>
          <w:szCs w:val="22"/>
        </w:rPr>
        <w:t>Las últimas proyecciones de la demanda y la decisión de la OPEP de aplazar su plan de aumentar la oferta de petróleo hasta abril del 2025</w:t>
      </w:r>
    </w:p>
    <w:p w14:paraId="7D08E364" w14:textId="77777777" w:rsidR="00EA6FFB" w:rsidRPr="00530EF2" w:rsidRDefault="00EA6FFB" w:rsidP="00EA6FFB">
      <w:pPr>
        <w:jc w:val="both"/>
        <w:rPr>
          <w:rFonts w:asciiTheme="minorHAnsi" w:hAnsiTheme="minorHAnsi" w:cstheme="minorHAnsi"/>
          <w:b/>
          <w:sz w:val="22"/>
          <w:szCs w:val="22"/>
        </w:rPr>
      </w:pPr>
    </w:p>
    <w:p w14:paraId="59086152" w14:textId="77777777" w:rsidR="00EA6FFB" w:rsidRPr="00530EF2" w:rsidRDefault="00EA6FFB" w:rsidP="00EA6FFB">
      <w:pPr>
        <w:ind w:left="426"/>
        <w:jc w:val="both"/>
        <w:rPr>
          <w:rFonts w:asciiTheme="minorHAnsi" w:hAnsiTheme="minorHAnsi" w:cstheme="minorHAnsi"/>
          <w:bCs/>
          <w:sz w:val="22"/>
          <w:szCs w:val="22"/>
        </w:rPr>
      </w:pPr>
      <w:r w:rsidRPr="00530EF2">
        <w:rPr>
          <w:rFonts w:asciiTheme="minorHAnsi" w:hAnsiTheme="minorHAnsi" w:cstheme="minorHAnsi"/>
          <w:bCs/>
          <w:sz w:val="22"/>
          <w:szCs w:val="22"/>
        </w:rPr>
        <w:t>La AIE señaló que el mercado estará bien abastecido el 2025, no obstante, revisó ligeramente al alza su previsión de demanda para el 2025. Asimismo, la OPEP recortó sus previsiones de crecimiento de la demanda para 2025 por quinto mes consecutivo.</w:t>
      </w:r>
    </w:p>
    <w:p w14:paraId="318A7981" w14:textId="77777777" w:rsidR="00EA6FFB" w:rsidRPr="00530EF2" w:rsidRDefault="00EA6FFB" w:rsidP="00EA6FFB">
      <w:pPr>
        <w:ind w:left="426"/>
        <w:jc w:val="both"/>
        <w:rPr>
          <w:rFonts w:asciiTheme="minorHAnsi" w:hAnsiTheme="minorHAnsi" w:cstheme="minorHAnsi"/>
          <w:bCs/>
          <w:sz w:val="22"/>
          <w:szCs w:val="22"/>
        </w:rPr>
      </w:pPr>
    </w:p>
    <w:p w14:paraId="2864273A" w14:textId="77777777" w:rsidR="00EA6FFB" w:rsidRPr="00530EF2" w:rsidRDefault="00EA6FFB" w:rsidP="00EA6FFB">
      <w:pPr>
        <w:ind w:left="426"/>
        <w:jc w:val="both"/>
        <w:rPr>
          <w:rFonts w:asciiTheme="minorHAnsi" w:hAnsiTheme="minorHAnsi" w:cstheme="minorHAnsi"/>
          <w:bCs/>
          <w:sz w:val="22"/>
          <w:szCs w:val="22"/>
        </w:rPr>
      </w:pPr>
      <w:r w:rsidRPr="00530EF2">
        <w:rPr>
          <w:rFonts w:asciiTheme="minorHAnsi" w:hAnsiTheme="minorHAnsi" w:cstheme="minorHAnsi"/>
          <w:bCs/>
          <w:sz w:val="22"/>
          <w:szCs w:val="22"/>
        </w:rPr>
        <w:t>Por otro lado, el resultado de la última reunión de los miembros de la OPEP sorprendió a los agentes del mercado positivamente. Los analistas sostienen que la prórroga de los recortes de producción demuestra que el grupo permanece unido y sigue teniendo como objetivo mantener el equilibrio del mercado del petróleo. Asimismo, señalan que los participantes del mercado están muy atentos para ver si la OPEP se centrará en reforzar los precios ampliando los recortes de producción u optará por defender su cuota del mercado mundial de crudo reduciendo dichos recortes. Si bien la decisión de la OPEP puede provocar una reacción a corto plazo, es probable que el mercado del petróleo suba a finales de año por las expectativas de una recuperación económica de Estados Unidos bajo la administración Trump y las continuas tensiones en Oriente Medio.</w:t>
      </w:r>
    </w:p>
    <w:p w14:paraId="25419BFC" w14:textId="77777777" w:rsidR="00EA6FFB" w:rsidRPr="00530EF2" w:rsidRDefault="00EA6FFB" w:rsidP="00EA6FFB">
      <w:pPr>
        <w:ind w:left="426"/>
        <w:jc w:val="both"/>
        <w:rPr>
          <w:rFonts w:asciiTheme="minorHAnsi" w:hAnsiTheme="minorHAnsi" w:cstheme="minorHAnsi"/>
          <w:bCs/>
          <w:sz w:val="22"/>
          <w:szCs w:val="22"/>
        </w:rPr>
      </w:pPr>
    </w:p>
    <w:p w14:paraId="6109EA10" w14:textId="77777777" w:rsidR="00EA6FFB" w:rsidRPr="00530EF2" w:rsidRDefault="00EA6FFB" w:rsidP="00EA6FFB">
      <w:pPr>
        <w:pStyle w:val="Prrafodelista"/>
        <w:numPr>
          <w:ilvl w:val="0"/>
          <w:numId w:val="30"/>
        </w:numPr>
        <w:ind w:left="426"/>
        <w:contextualSpacing/>
        <w:jc w:val="both"/>
        <w:rPr>
          <w:rFonts w:asciiTheme="minorHAnsi" w:hAnsiTheme="minorHAnsi" w:cstheme="minorHAnsi"/>
          <w:sz w:val="22"/>
          <w:szCs w:val="22"/>
        </w:rPr>
      </w:pPr>
      <w:r w:rsidRPr="00530EF2">
        <w:rPr>
          <w:rFonts w:asciiTheme="minorHAnsi" w:hAnsiTheme="minorHAnsi" w:cstheme="minorHAnsi"/>
          <w:b/>
          <w:sz w:val="22"/>
          <w:szCs w:val="22"/>
        </w:rPr>
        <w:t xml:space="preserve">Las expectativas de los agentes del mercado sobre las medidas que adoptará la FED en su próximo encuentro, los días 17 y 18 de diciembre </w:t>
      </w:r>
    </w:p>
    <w:p w14:paraId="546547A5" w14:textId="77777777" w:rsidR="00EA6FFB" w:rsidRPr="00530EF2" w:rsidRDefault="00EA6FFB" w:rsidP="00EA6FFB">
      <w:pPr>
        <w:jc w:val="both"/>
        <w:rPr>
          <w:rFonts w:asciiTheme="minorHAnsi" w:hAnsiTheme="minorHAnsi" w:cstheme="minorHAnsi"/>
          <w:sz w:val="22"/>
          <w:szCs w:val="22"/>
        </w:rPr>
      </w:pPr>
    </w:p>
    <w:p w14:paraId="4C7A6AFE" w14:textId="77777777" w:rsidR="00EA6FFB" w:rsidRPr="00530EF2" w:rsidRDefault="00EA6FFB" w:rsidP="00EA6FFB">
      <w:pPr>
        <w:ind w:left="426"/>
        <w:jc w:val="both"/>
        <w:rPr>
          <w:rFonts w:asciiTheme="minorHAnsi" w:hAnsiTheme="minorHAnsi" w:cstheme="minorHAnsi"/>
          <w:sz w:val="22"/>
          <w:szCs w:val="22"/>
        </w:rPr>
      </w:pPr>
      <w:r w:rsidRPr="00530EF2">
        <w:rPr>
          <w:rFonts w:asciiTheme="minorHAnsi" w:hAnsiTheme="minorHAnsi" w:cstheme="minorHAnsi"/>
          <w:sz w:val="22"/>
          <w:szCs w:val="22"/>
        </w:rPr>
        <w:t>Los precios del petróleo y combustibles podrían verse estimulados si la FED de Estados Unidos recorta los tipos de interés en unos 25 puntos básicos en el encuentro de los días 17 y 18 de diciembre.</w:t>
      </w:r>
    </w:p>
    <w:p w14:paraId="0F677B40" w14:textId="77777777" w:rsidR="00EA6FFB" w:rsidRPr="00530EF2" w:rsidRDefault="00EA6FFB" w:rsidP="00EA6FFB">
      <w:pPr>
        <w:pStyle w:val="Prrafodelista"/>
        <w:ind w:left="426"/>
        <w:jc w:val="both"/>
        <w:rPr>
          <w:rFonts w:asciiTheme="minorHAnsi" w:hAnsiTheme="minorHAnsi" w:cstheme="minorHAnsi"/>
          <w:sz w:val="22"/>
          <w:szCs w:val="22"/>
        </w:rPr>
      </w:pPr>
    </w:p>
    <w:p w14:paraId="0FF00C16" w14:textId="77777777" w:rsidR="00EA6FFB" w:rsidRDefault="00EA6FFB" w:rsidP="00EA6FFB">
      <w:pPr>
        <w:pStyle w:val="Prrafodelista"/>
        <w:ind w:left="426"/>
        <w:jc w:val="both"/>
        <w:rPr>
          <w:rFonts w:asciiTheme="minorHAnsi" w:hAnsiTheme="minorHAnsi" w:cstheme="minorHAnsi"/>
          <w:b/>
          <w:bCs/>
          <w:sz w:val="22"/>
          <w:szCs w:val="22"/>
          <w:u w:val="single"/>
        </w:rPr>
      </w:pPr>
      <w:r w:rsidRPr="00530EF2">
        <w:rPr>
          <w:rFonts w:asciiTheme="minorHAnsi" w:hAnsiTheme="minorHAnsi" w:cstheme="minorHAnsi"/>
          <w:sz w:val="22"/>
          <w:szCs w:val="22"/>
        </w:rPr>
        <w:t>En su reunión de política monetaria, a inicios del mes de noviembre, la Reserva Federal de Estados Unidos (FED) aplicó la medida de recorte de las tasas de interés de un cuarto de punto porcentual, ubicándolas en el rango de 4,50%-4,75%. Asimismo, indicó que los riesgos para lograr sus objetivos de inflación se encontraban equilibrados.</w:t>
      </w:r>
      <w:r w:rsidRPr="00440CFA">
        <w:rPr>
          <w:rFonts w:ascii="Poppins" w:hAnsi="Poppins" w:cs="Poppins"/>
          <w:sz w:val="18"/>
          <w:szCs w:val="18"/>
        </w:rPr>
        <w:t xml:space="preserve"> </w:t>
      </w:r>
      <w:r>
        <w:rPr>
          <w:rFonts w:asciiTheme="minorHAnsi" w:hAnsiTheme="minorHAnsi" w:cstheme="minorHAnsi"/>
          <w:b/>
          <w:bCs/>
          <w:sz w:val="22"/>
          <w:szCs w:val="22"/>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CE66BCF">
            <wp:extent cx="5171355" cy="342923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79078" cy="343435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77E445C2" w14:textId="77777777" w:rsidR="005B64C4"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Mediante Resolución N°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w:t>
      </w:r>
    </w:p>
    <w:p w14:paraId="0B5515F8" w14:textId="77777777" w:rsidR="005B64C4" w:rsidRDefault="005B64C4" w:rsidP="005B64C4">
      <w:pPr>
        <w:pStyle w:val="Prrafodelista"/>
        <w:rPr>
          <w:rFonts w:ascii="Poppins" w:hAnsi="Poppins" w:cs="Poppins"/>
          <w:sz w:val="18"/>
          <w:szCs w:val="18"/>
        </w:rPr>
      </w:pPr>
    </w:p>
    <w:p w14:paraId="0C6A5C1F" w14:textId="02CAD991" w:rsidR="00EE54A8" w:rsidRPr="00593ACE" w:rsidRDefault="005B64C4"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Mediante Resolución N° 04</w:t>
      </w:r>
      <w:r>
        <w:rPr>
          <w:rFonts w:ascii="Poppins" w:hAnsi="Poppins" w:cs="Poppins"/>
          <w:sz w:val="18"/>
          <w:szCs w:val="18"/>
        </w:rPr>
        <w:t>4</w:t>
      </w:r>
      <w:r w:rsidRPr="00593ACE">
        <w:rPr>
          <w:rFonts w:ascii="Poppins" w:hAnsi="Poppins" w:cs="Poppins"/>
          <w:sz w:val="18"/>
          <w:szCs w:val="18"/>
        </w:rPr>
        <w:t xml:space="preserve">-2024-OS/GRT, se fijó la Banda de Precios y el Margen Comercial para el </w:t>
      </w:r>
      <w:r w:rsidR="00EE54A8" w:rsidRPr="00593ACE">
        <w:rPr>
          <w:rFonts w:ascii="Poppins" w:hAnsi="Poppins" w:cs="Poppins"/>
          <w:sz w:val="18"/>
          <w:szCs w:val="18"/>
        </w:rPr>
        <w:t xml:space="preserve">Diesel BX destinado al uso vehicular, con vigencia a partir del viernes </w:t>
      </w:r>
      <w:r>
        <w:rPr>
          <w:rFonts w:ascii="Poppins" w:hAnsi="Poppins" w:cs="Poppins"/>
          <w:sz w:val="18"/>
          <w:szCs w:val="18"/>
        </w:rPr>
        <w:t>29</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w:t>
      </w:r>
      <w:r>
        <w:rPr>
          <w:rFonts w:ascii="Poppins" w:hAnsi="Poppins" w:cs="Poppins"/>
          <w:sz w:val="18"/>
          <w:szCs w:val="18"/>
        </w:rPr>
        <w:t>6</w:t>
      </w:r>
      <w:r w:rsidR="00EE54A8" w:rsidRPr="00593ACE">
        <w:rPr>
          <w:rFonts w:ascii="Poppins" w:hAnsi="Poppins" w:cs="Poppins"/>
          <w:sz w:val="18"/>
          <w:szCs w:val="18"/>
        </w:rPr>
        <w:t xml:space="preserve"> de </w:t>
      </w:r>
      <w:r>
        <w:rPr>
          <w:rFonts w:ascii="Poppins" w:hAnsi="Poppins" w:cs="Poppins"/>
          <w:sz w:val="18"/>
          <w:szCs w:val="18"/>
        </w:rPr>
        <w:t>diciem</w:t>
      </w:r>
      <w:r w:rsidR="00593ACE">
        <w:rPr>
          <w:rFonts w:ascii="Poppins" w:hAnsi="Poppins" w:cs="Poppins"/>
          <w:sz w:val="18"/>
          <w:szCs w:val="18"/>
        </w:rPr>
        <w:t>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390D32F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7304B">
        <w:rPr>
          <w:rFonts w:ascii="Poppins" w:hAnsi="Poppins" w:cs="Poppins"/>
          <w:sz w:val="18"/>
          <w:szCs w:val="18"/>
        </w:rPr>
        <w:t xml:space="preserve"> y </w:t>
      </w:r>
      <w:r w:rsidR="0047304B" w:rsidRPr="0096213B">
        <w:rPr>
          <w:rFonts w:ascii="Poppins" w:hAnsi="Poppins" w:cs="Poppins"/>
          <w:sz w:val="18"/>
          <w:szCs w:val="18"/>
        </w:rPr>
        <w:t xml:space="preserve">Osinergmin N° </w:t>
      </w:r>
      <w:r w:rsidR="0047304B">
        <w:rPr>
          <w:rFonts w:ascii="Poppins" w:hAnsi="Poppins" w:cs="Poppins"/>
          <w:sz w:val="18"/>
          <w:szCs w:val="18"/>
        </w:rPr>
        <w:t>044</w:t>
      </w:r>
      <w:r w:rsidR="0047304B"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D72CEB">
        <w:rPr>
          <w:rFonts w:ascii="Poppins" w:hAnsi="Poppins" w:cs="Poppins"/>
          <w:sz w:val="18"/>
          <w:szCs w:val="18"/>
        </w:rPr>
        <w:t>1</w:t>
      </w:r>
      <w:r w:rsidR="00EA6FFB">
        <w:rPr>
          <w:rFonts w:ascii="Poppins" w:hAnsi="Poppins" w:cs="Poppins"/>
          <w:sz w:val="18"/>
          <w:szCs w:val="18"/>
        </w:rPr>
        <w:t>7</w:t>
      </w:r>
      <w:r w:rsidR="00077956">
        <w:rPr>
          <w:rFonts w:ascii="Poppins" w:hAnsi="Poppins" w:cs="Poppins"/>
          <w:sz w:val="18"/>
          <w:szCs w:val="18"/>
        </w:rPr>
        <w:t xml:space="preserve"> de </w:t>
      </w:r>
      <w:r w:rsidR="0047304B">
        <w:rPr>
          <w:rFonts w:ascii="Poppins" w:hAnsi="Poppins" w:cs="Poppins"/>
          <w:sz w:val="18"/>
          <w:szCs w:val="18"/>
        </w:rPr>
        <w:t>dici</w:t>
      </w:r>
      <w:r w:rsidR="00593ACE">
        <w:rPr>
          <w:rFonts w:ascii="Poppins" w:hAnsi="Poppins" w:cs="Poppins"/>
          <w:sz w:val="18"/>
          <w:szCs w:val="18"/>
        </w:rPr>
        <w:t>embre</w:t>
      </w:r>
      <w:r w:rsidRPr="0096213B">
        <w:rPr>
          <w:rFonts w:ascii="Poppins" w:hAnsi="Poppins" w:cs="Poppins"/>
          <w:sz w:val="18"/>
          <w:szCs w:val="18"/>
        </w:rPr>
        <w:t xml:space="preserve"> al </w:t>
      </w:r>
      <w:r w:rsidR="0047304B">
        <w:rPr>
          <w:rFonts w:ascii="Poppins" w:hAnsi="Poppins" w:cs="Poppins"/>
          <w:sz w:val="18"/>
          <w:szCs w:val="18"/>
        </w:rPr>
        <w:t>lunes</w:t>
      </w:r>
      <w:r w:rsidR="008C34F8">
        <w:rPr>
          <w:rFonts w:ascii="Poppins" w:hAnsi="Poppins" w:cs="Poppins"/>
          <w:sz w:val="18"/>
          <w:szCs w:val="18"/>
        </w:rPr>
        <w:t xml:space="preserve"> </w:t>
      </w:r>
      <w:r w:rsidR="00EA6FFB">
        <w:rPr>
          <w:rFonts w:ascii="Poppins" w:hAnsi="Poppins" w:cs="Poppins"/>
          <w:sz w:val="18"/>
          <w:szCs w:val="18"/>
        </w:rPr>
        <w:t>23</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7304B">
        <w:rPr>
          <w:rFonts w:ascii="Poppins" w:hAnsi="Poppins" w:cs="Poppins"/>
          <w:sz w:val="18"/>
          <w:szCs w:val="18"/>
        </w:rPr>
        <w:t>dic</w:t>
      </w:r>
      <w:r w:rsidR="00593ACE">
        <w:rPr>
          <w:rFonts w:ascii="Poppins" w:hAnsi="Poppins" w:cs="Poppins"/>
          <w:sz w:val="18"/>
          <w:szCs w:val="18"/>
        </w:rPr>
        <w:t>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54FC67B" w:rsidR="00E804F9" w:rsidRPr="00564143"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EA6FFB">
        <w:rPr>
          <w:rFonts w:ascii="Poppins" w:hAnsi="Poppins" w:cs="Poppins"/>
          <w:sz w:val="18"/>
          <w:szCs w:val="18"/>
        </w:rPr>
        <w:t>1</w:t>
      </w:r>
      <w:r w:rsidR="00D72CEB" w:rsidRPr="00564143">
        <w:rPr>
          <w:rFonts w:ascii="Poppins" w:hAnsi="Poppins" w:cs="Poppins"/>
          <w:sz w:val="18"/>
          <w:szCs w:val="18"/>
        </w:rPr>
        <w:t>0</w:t>
      </w:r>
      <w:r w:rsidRPr="00564143">
        <w:rPr>
          <w:rFonts w:ascii="Poppins" w:hAnsi="Poppins" w:cs="Poppins"/>
          <w:sz w:val="18"/>
          <w:szCs w:val="18"/>
        </w:rPr>
        <w:t>.1</w:t>
      </w:r>
      <w:r w:rsidR="00D72CEB" w:rsidRPr="00564143">
        <w:rPr>
          <w:rFonts w:ascii="Poppins" w:hAnsi="Poppins" w:cs="Poppins"/>
          <w:sz w:val="18"/>
          <w:szCs w:val="18"/>
        </w:rPr>
        <w:t>2</w:t>
      </w:r>
      <w:r w:rsidRPr="00564143">
        <w:rPr>
          <w:rFonts w:ascii="Poppins" w:hAnsi="Poppins" w:cs="Poppins"/>
          <w:sz w:val="18"/>
          <w:szCs w:val="18"/>
        </w:rPr>
        <w:t>.2024,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EA6FFB">
        <w:rPr>
          <w:rFonts w:ascii="Poppins" w:hAnsi="Poppins" w:cs="Poppins"/>
          <w:sz w:val="18"/>
          <w:szCs w:val="18"/>
        </w:rPr>
        <w:t>-</w:t>
      </w:r>
      <w:r w:rsidR="00335BF6" w:rsidRPr="00564143">
        <w:rPr>
          <w:rFonts w:ascii="Poppins" w:hAnsi="Poppins" w:cs="Poppins"/>
          <w:sz w:val="18"/>
          <w:szCs w:val="18"/>
        </w:rPr>
        <w:t>0,0</w:t>
      </w:r>
      <w:r w:rsidR="00EA6FFB">
        <w:rPr>
          <w:rFonts w:ascii="Poppins" w:hAnsi="Poppins" w:cs="Poppins"/>
          <w:sz w:val="18"/>
          <w:szCs w:val="18"/>
        </w:rPr>
        <w:t>8</w:t>
      </w:r>
      <w:r w:rsidR="00335BF6" w:rsidRPr="00564143">
        <w:rPr>
          <w:rFonts w:ascii="Poppins" w:hAnsi="Poppins" w:cs="Poppins"/>
          <w:sz w:val="18"/>
          <w:szCs w:val="18"/>
        </w:rPr>
        <w:t xml:space="preserve"> S/Gln) y Gasolina Regular </w:t>
      </w:r>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0,</w:t>
      </w:r>
      <w:r w:rsidR="00D72CEB" w:rsidRPr="00564143">
        <w:rPr>
          <w:rFonts w:ascii="Poppins" w:hAnsi="Poppins" w:cs="Poppins"/>
          <w:sz w:val="18"/>
          <w:szCs w:val="18"/>
          <w:lang w:val="es-PE"/>
        </w:rPr>
        <w:t>0</w:t>
      </w:r>
      <w:r w:rsidR="00EA6FFB">
        <w:rPr>
          <w:rFonts w:ascii="Poppins" w:hAnsi="Poppins" w:cs="Poppins"/>
          <w:sz w:val="18"/>
          <w:szCs w:val="18"/>
          <w:lang w:val="es-PE"/>
        </w:rPr>
        <w:t>8</w:t>
      </w:r>
      <w:r w:rsidR="00335BF6" w:rsidRPr="00564143">
        <w:rPr>
          <w:rFonts w:ascii="Poppins" w:hAnsi="Poppins" w:cs="Poppins"/>
          <w:sz w:val="18"/>
          <w:szCs w:val="18"/>
          <w:lang w:val="es-PE"/>
        </w:rPr>
        <w:t xml:space="preserve"> S/Gln), así como en el Gasohol Premium (</w:t>
      </w:r>
      <w:r w:rsidR="00EA6FFB">
        <w:rPr>
          <w:rFonts w:ascii="Poppins" w:hAnsi="Poppins" w:cs="Poppins"/>
          <w:sz w:val="18"/>
          <w:szCs w:val="18"/>
          <w:lang w:val="es-PE"/>
        </w:rPr>
        <w:t>-</w:t>
      </w:r>
      <w:r w:rsidR="00335BF6" w:rsidRPr="00564143">
        <w:rPr>
          <w:rFonts w:ascii="Poppins" w:hAnsi="Poppins" w:cs="Poppins"/>
          <w:sz w:val="18"/>
          <w:szCs w:val="18"/>
          <w:lang w:val="es-PE"/>
        </w:rPr>
        <w:t>0,0</w:t>
      </w:r>
      <w:r w:rsidR="00EA6FFB">
        <w:rPr>
          <w:rFonts w:ascii="Poppins" w:hAnsi="Poppins" w:cs="Poppins"/>
          <w:sz w:val="18"/>
          <w:szCs w:val="18"/>
          <w:lang w:val="es-PE"/>
        </w:rPr>
        <w:t>8</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proofErr w:type="gramStart"/>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proofErr w:type="gramEnd"/>
      <w:r w:rsidR="00EA6FFB">
        <w:rPr>
          <w:rFonts w:ascii="Poppins" w:hAnsi="Poppins" w:cs="Poppins"/>
          <w:sz w:val="18"/>
          <w:szCs w:val="18"/>
          <w:lang w:val="es-PE"/>
        </w:rPr>
        <w:t>-</w:t>
      </w:r>
      <w:r w:rsidR="00335BF6" w:rsidRPr="00564143">
        <w:rPr>
          <w:rFonts w:ascii="Poppins" w:hAnsi="Poppins" w:cs="Poppins"/>
          <w:sz w:val="18"/>
          <w:szCs w:val="18"/>
          <w:lang w:val="es-PE"/>
        </w:rPr>
        <w:t>0,0</w:t>
      </w:r>
      <w:r w:rsidR="00EA6FFB">
        <w:rPr>
          <w:rFonts w:ascii="Poppins" w:hAnsi="Poppins" w:cs="Poppins"/>
          <w:sz w:val="18"/>
          <w:szCs w:val="18"/>
          <w:lang w:val="es-PE"/>
        </w:rPr>
        <w:t>8</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EA6FFB">
        <w:rPr>
          <w:rFonts w:ascii="Poppins" w:hAnsi="Poppins" w:cs="Poppins"/>
          <w:sz w:val="18"/>
          <w:szCs w:val="18"/>
          <w:lang w:val="es-PE"/>
        </w:rPr>
        <w:t>-</w:t>
      </w:r>
      <w:r w:rsidR="00EA6FFB" w:rsidRPr="00564143">
        <w:rPr>
          <w:rFonts w:ascii="Poppins" w:hAnsi="Poppins" w:cs="Poppins"/>
          <w:sz w:val="18"/>
          <w:szCs w:val="18"/>
          <w:lang w:val="es-PE"/>
        </w:rPr>
        <w:t>0,</w:t>
      </w:r>
      <w:r w:rsidR="00EA6FFB">
        <w:rPr>
          <w:rFonts w:ascii="Poppins" w:hAnsi="Poppins" w:cs="Poppins"/>
          <w:sz w:val="18"/>
          <w:szCs w:val="18"/>
          <w:lang w:val="es-PE"/>
        </w:rPr>
        <w:t>12</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EA6FFB">
        <w:rPr>
          <w:rFonts w:ascii="Poppins" w:hAnsi="Poppins" w:cs="Poppins"/>
          <w:sz w:val="18"/>
          <w:szCs w:val="18"/>
          <w:lang w:val="es-PE"/>
        </w:rPr>
        <w:t>-</w:t>
      </w:r>
      <w:r w:rsidR="00EA6FFB" w:rsidRPr="00564143">
        <w:rPr>
          <w:rFonts w:ascii="Poppins" w:hAnsi="Poppins" w:cs="Poppins"/>
          <w:sz w:val="18"/>
          <w:szCs w:val="18"/>
          <w:lang w:val="es-PE"/>
        </w:rPr>
        <w:t>0,0</w:t>
      </w:r>
      <w:r w:rsidR="00EA6FFB">
        <w:rPr>
          <w:rFonts w:ascii="Poppins" w:hAnsi="Poppins" w:cs="Poppins"/>
          <w:sz w:val="18"/>
          <w:szCs w:val="18"/>
          <w:lang w:val="es-PE"/>
        </w:rPr>
        <w:t>8</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y </w:t>
      </w:r>
      <w:r w:rsidR="00EA6FFB">
        <w:rPr>
          <w:rFonts w:ascii="Poppins" w:hAnsi="Poppins" w:cs="Poppins"/>
          <w:sz w:val="18"/>
          <w:szCs w:val="18"/>
          <w:lang w:val="es-PE"/>
        </w:rPr>
        <w:t xml:space="preserve">Residual </w:t>
      </w:r>
      <w:r w:rsidR="00EA6FFB">
        <w:rPr>
          <w:rFonts w:ascii="Poppins" w:hAnsi="Poppins" w:cs="Poppins"/>
          <w:sz w:val="18"/>
          <w:szCs w:val="18"/>
          <w:lang w:val="es-PE"/>
        </w:rPr>
        <w:t>500</w:t>
      </w:r>
      <w:r w:rsidR="00EA6FFB">
        <w:rPr>
          <w:rFonts w:ascii="Poppins" w:hAnsi="Poppins" w:cs="Poppins"/>
          <w:sz w:val="18"/>
          <w:szCs w:val="18"/>
          <w:lang w:val="es-PE"/>
        </w:rPr>
        <w:t xml:space="preserve"> </w:t>
      </w:r>
      <w:r w:rsidR="00EA6FFB" w:rsidRPr="00564143">
        <w:rPr>
          <w:rFonts w:ascii="Poppins" w:hAnsi="Poppins" w:cs="Poppins"/>
          <w:sz w:val="18"/>
          <w:szCs w:val="18"/>
          <w:lang w:val="es-PE"/>
        </w:rPr>
        <w:t>(</w:t>
      </w:r>
      <w:r w:rsidR="00EA6FFB">
        <w:rPr>
          <w:rFonts w:ascii="Poppins" w:hAnsi="Poppins" w:cs="Poppins"/>
          <w:sz w:val="18"/>
          <w:szCs w:val="18"/>
          <w:lang w:val="es-PE"/>
        </w:rPr>
        <w:t>-</w:t>
      </w:r>
      <w:r w:rsidR="00EA6FFB" w:rsidRPr="00564143">
        <w:rPr>
          <w:rFonts w:ascii="Poppins" w:hAnsi="Poppins" w:cs="Poppins"/>
          <w:sz w:val="18"/>
          <w:szCs w:val="18"/>
          <w:lang w:val="es-PE"/>
        </w:rPr>
        <w:t>0,0</w:t>
      </w:r>
      <w:r w:rsidR="00EA6FFB">
        <w:rPr>
          <w:rFonts w:ascii="Poppins" w:hAnsi="Poppins" w:cs="Poppins"/>
          <w:sz w:val="18"/>
          <w:szCs w:val="18"/>
          <w:lang w:val="es-PE"/>
        </w:rPr>
        <w:t>8</w:t>
      </w:r>
      <w:r w:rsidR="00EA6FFB" w:rsidRPr="00564143">
        <w:rPr>
          <w:rFonts w:ascii="Poppins" w:hAnsi="Poppins" w:cs="Poppins"/>
          <w:sz w:val="18"/>
          <w:szCs w:val="18"/>
          <w:lang w:val="es-PE"/>
        </w:rPr>
        <w:t xml:space="preserve"> S/Gln)</w:t>
      </w:r>
      <w:r w:rsidR="00BE0173">
        <w:rPr>
          <w:rFonts w:ascii="Poppins" w:hAnsi="Poppins" w:cs="Poppins"/>
          <w:sz w:val="18"/>
          <w:szCs w:val="18"/>
          <w:lang w:val="es-PE"/>
        </w:rPr>
        <w:t xml:space="preserve">. El 13.12.2024 se publicó una nueva lista de precios en la que se registró una variación en el precio del GLP </w:t>
      </w:r>
      <w:r w:rsidR="00BE0173" w:rsidRPr="00564143">
        <w:rPr>
          <w:rFonts w:ascii="Poppins" w:hAnsi="Poppins" w:cs="Poppins"/>
          <w:sz w:val="18"/>
          <w:szCs w:val="18"/>
          <w:lang w:val="es-PE"/>
        </w:rPr>
        <w:t>(</w:t>
      </w:r>
      <w:r w:rsidR="00BE0173">
        <w:rPr>
          <w:rFonts w:ascii="Poppins" w:hAnsi="Poppins" w:cs="Poppins"/>
          <w:sz w:val="18"/>
          <w:szCs w:val="18"/>
          <w:lang w:val="es-PE"/>
        </w:rPr>
        <w:t>-</w:t>
      </w:r>
      <w:r w:rsidR="00BE0173" w:rsidRPr="00564143">
        <w:rPr>
          <w:rFonts w:ascii="Poppins" w:hAnsi="Poppins" w:cs="Poppins"/>
          <w:sz w:val="18"/>
          <w:szCs w:val="18"/>
          <w:lang w:val="es-PE"/>
        </w:rPr>
        <w:t>0,</w:t>
      </w:r>
      <w:r w:rsidR="00BE0173">
        <w:rPr>
          <w:rFonts w:ascii="Poppins" w:hAnsi="Poppins" w:cs="Poppins"/>
          <w:sz w:val="18"/>
          <w:szCs w:val="18"/>
          <w:lang w:val="es-PE"/>
        </w:rPr>
        <w:t>0</w:t>
      </w:r>
      <w:r w:rsidR="00BE0173">
        <w:rPr>
          <w:rFonts w:ascii="Poppins" w:hAnsi="Poppins" w:cs="Poppins"/>
          <w:sz w:val="18"/>
          <w:szCs w:val="18"/>
          <w:lang w:val="es-PE"/>
        </w:rPr>
        <w:t>2</w:t>
      </w:r>
      <w:r w:rsidR="00BE0173" w:rsidRPr="00564143">
        <w:rPr>
          <w:rFonts w:ascii="Poppins" w:hAnsi="Poppins" w:cs="Poppins"/>
          <w:sz w:val="18"/>
          <w:szCs w:val="18"/>
          <w:lang w:val="es-PE"/>
        </w:rPr>
        <w:t xml:space="preserve"> S/</w:t>
      </w:r>
      <w:r w:rsidR="00BE0173">
        <w:rPr>
          <w:rFonts w:ascii="Poppins" w:hAnsi="Poppins" w:cs="Poppins"/>
          <w:sz w:val="18"/>
          <w:szCs w:val="18"/>
          <w:lang w:val="es-PE"/>
        </w:rPr>
        <w:t>Kg</w:t>
      </w:r>
      <w:r w:rsidR="00BE0173" w:rsidRPr="00564143">
        <w:rPr>
          <w:rFonts w:ascii="Poppins" w:hAnsi="Poppins" w:cs="Poppins"/>
          <w:sz w:val="18"/>
          <w:szCs w:val="18"/>
          <w:lang w:val="es-PE"/>
        </w:rPr>
        <w:t>)</w:t>
      </w:r>
      <w:r w:rsidR="00335BF6" w:rsidRPr="00564143">
        <w:rPr>
          <w:rFonts w:ascii="Poppins" w:hAnsi="Poppins" w:cs="Poppins"/>
          <w:sz w:val="18"/>
          <w:szCs w:val="18"/>
          <w:lang w:val="es-PE"/>
        </w:rPr>
        <w:t xml:space="preserve">. </w:t>
      </w: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5413C8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9B2F24">
        <w:rPr>
          <w:rFonts w:ascii="Poppins" w:hAnsi="Poppins" w:cs="Poppins"/>
          <w:sz w:val="18"/>
          <w:szCs w:val="18"/>
        </w:rPr>
        <w:t>0</w:t>
      </w:r>
      <w:r w:rsidR="00EA50BB">
        <w:rPr>
          <w:rFonts w:ascii="Poppins" w:hAnsi="Poppins" w:cs="Poppins"/>
          <w:sz w:val="18"/>
          <w:szCs w:val="18"/>
        </w:rPr>
        <w:t>2</w:t>
      </w:r>
      <w:r w:rsidR="00336251" w:rsidRPr="0096213B">
        <w:rPr>
          <w:rFonts w:ascii="Poppins" w:hAnsi="Poppins" w:cs="Poppins"/>
          <w:sz w:val="18"/>
          <w:szCs w:val="18"/>
        </w:rPr>
        <w:t>/</w:t>
      </w:r>
      <w:r w:rsidR="00195B73">
        <w:rPr>
          <w:rFonts w:ascii="Poppins" w:hAnsi="Poppins" w:cs="Poppins"/>
          <w:sz w:val="18"/>
          <w:szCs w:val="18"/>
        </w:rPr>
        <w:t>1</w:t>
      </w:r>
      <w:r w:rsidR="009B2F24">
        <w:rPr>
          <w:rFonts w:ascii="Poppins" w:hAnsi="Poppins" w:cs="Poppins"/>
          <w:sz w:val="18"/>
          <w:szCs w:val="18"/>
        </w:rPr>
        <w:t>2</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211B88">
        <w:rPr>
          <w:rFonts w:ascii="Poppins" w:hAnsi="Poppins" w:cs="Poppins"/>
          <w:sz w:val="18"/>
          <w:szCs w:val="18"/>
        </w:rPr>
        <w:t>13</w:t>
      </w:r>
      <w:r w:rsidR="00336251" w:rsidRPr="0096213B">
        <w:rPr>
          <w:rFonts w:ascii="Poppins" w:hAnsi="Poppins" w:cs="Poppins"/>
          <w:sz w:val="18"/>
          <w:szCs w:val="18"/>
        </w:rPr>
        <w:t>/</w:t>
      </w:r>
      <w:r w:rsidR="00E2684B">
        <w:rPr>
          <w:rFonts w:ascii="Poppins" w:hAnsi="Poppins" w:cs="Poppins"/>
          <w:sz w:val="18"/>
          <w:szCs w:val="18"/>
        </w:rPr>
        <w:t>1</w:t>
      </w:r>
      <w:r w:rsidR="00EA50BB">
        <w:rPr>
          <w:rFonts w:ascii="Poppins" w:hAnsi="Poppins" w:cs="Poppins"/>
          <w:sz w:val="18"/>
          <w:szCs w:val="18"/>
        </w:rPr>
        <w:t>2</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059D4C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11B88">
        <w:rPr>
          <w:rFonts w:ascii="Poppins" w:hAnsi="Poppins" w:cs="Poppins"/>
          <w:b/>
          <w:bCs/>
          <w:i/>
          <w:sz w:val="18"/>
          <w:szCs w:val="18"/>
          <w:lang w:eastAsia="es-PE"/>
        </w:rPr>
        <w:t>16</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DF6166">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6F543033" w14:textId="532AAE85" w:rsidR="00A86191" w:rsidRPr="0096213B" w:rsidRDefault="009B2F24" w:rsidP="00A86191">
      <w:pPr>
        <w:spacing w:line="360" w:lineRule="auto"/>
        <w:ind w:right="49"/>
        <w:jc w:val="both"/>
        <w:rPr>
          <w:rFonts w:ascii="Poppins" w:eastAsia="Calibri" w:hAnsi="Poppins" w:cs="Poppins"/>
          <w:i/>
          <w:sz w:val="12"/>
          <w:szCs w:val="12"/>
        </w:rPr>
      </w:pPr>
      <w:r w:rsidRPr="007E5824">
        <w:rPr>
          <w:noProof/>
        </w:rPr>
        <w:drawing>
          <wp:inline distT="0" distB="0" distL="0" distR="0" wp14:anchorId="27760427" wp14:editId="4969B6C9">
            <wp:extent cx="5490845" cy="2913380"/>
            <wp:effectExtent l="0" t="0" r="0" b="1270"/>
            <wp:docPr id="1762003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2913380"/>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120AA1B"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3265C">
        <w:rPr>
          <w:rFonts w:ascii="Poppins" w:hAnsi="Poppins" w:cs="Poppins"/>
          <w:sz w:val="18"/>
          <w:szCs w:val="18"/>
        </w:rPr>
        <w:t>7</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7CF20F8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211B88">
        <w:rPr>
          <w:rFonts w:ascii="Poppins" w:hAnsi="Poppins" w:cs="Poppins"/>
          <w:sz w:val="18"/>
          <w:szCs w:val="18"/>
        </w:rPr>
        <w:t>16</w:t>
      </w:r>
      <w:r w:rsidR="00F07057">
        <w:rPr>
          <w:rFonts w:ascii="Poppins" w:hAnsi="Poppins" w:cs="Poppins"/>
          <w:sz w:val="18"/>
          <w:szCs w:val="18"/>
        </w:rPr>
        <w:t xml:space="preserve"> </w:t>
      </w:r>
      <w:r w:rsidRPr="0096213B">
        <w:rPr>
          <w:rFonts w:ascii="Poppins" w:hAnsi="Poppins" w:cs="Poppins"/>
          <w:sz w:val="18"/>
          <w:szCs w:val="18"/>
        </w:rPr>
        <w:t xml:space="preserve">de </w:t>
      </w:r>
      <w:r w:rsidR="00C342F7">
        <w:rPr>
          <w:rFonts w:ascii="Poppins" w:hAnsi="Poppins" w:cs="Poppins"/>
          <w:sz w:val="18"/>
          <w:szCs w:val="18"/>
        </w:rPr>
        <w:t>dici</w:t>
      </w:r>
      <w:r w:rsidR="00B00FD0">
        <w:rPr>
          <w:rFonts w:ascii="Poppins" w:hAnsi="Poppins" w:cs="Poppins"/>
          <w:sz w:val="18"/>
          <w:szCs w:val="18"/>
        </w:rPr>
        <w:t>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CF75C0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93265C">
        <w:rPr>
          <w:rFonts w:ascii="Poppins" w:hAnsi="Poppins" w:cs="Poppins"/>
          <w:sz w:val="18"/>
          <w:szCs w:val="18"/>
        </w:rPr>
        <w:t>10</w:t>
      </w:r>
      <w:r w:rsidR="00A33C99" w:rsidRPr="0096213B">
        <w:rPr>
          <w:rFonts w:ascii="Poppins" w:hAnsi="Poppins" w:cs="Poppins"/>
          <w:sz w:val="18"/>
          <w:szCs w:val="18"/>
        </w:rPr>
        <w:t>,</w:t>
      </w:r>
      <w:r w:rsidR="0093265C">
        <w:rPr>
          <w:rFonts w:ascii="Poppins" w:hAnsi="Poppins" w:cs="Poppins"/>
          <w:sz w:val="18"/>
          <w:szCs w:val="18"/>
        </w:rPr>
        <w:t>29</w:t>
      </w:r>
      <w:r w:rsidR="00A33C99" w:rsidRPr="0096213B">
        <w:rPr>
          <w:rFonts w:ascii="Poppins" w:hAnsi="Poppins" w:cs="Poppins"/>
          <w:sz w:val="18"/>
          <w:szCs w:val="18"/>
        </w:rPr>
        <w:t xml:space="preserve"> cent$/galón equivalente a </w:t>
      </w:r>
      <w:r w:rsidR="00C342F7">
        <w:rPr>
          <w:rFonts w:ascii="Poppins" w:hAnsi="Poppins" w:cs="Poppins"/>
          <w:sz w:val="18"/>
          <w:szCs w:val="18"/>
        </w:rPr>
        <w:t>4</w:t>
      </w:r>
      <w:r w:rsidR="00A33C99" w:rsidRPr="0096213B">
        <w:rPr>
          <w:rFonts w:ascii="Poppins" w:hAnsi="Poppins" w:cs="Poppins"/>
          <w:sz w:val="18"/>
          <w:szCs w:val="18"/>
        </w:rPr>
        <w:t>,</w:t>
      </w:r>
      <w:r w:rsidR="0093265C">
        <w:rPr>
          <w:rFonts w:ascii="Poppins" w:hAnsi="Poppins" w:cs="Poppins"/>
          <w:sz w:val="18"/>
          <w:szCs w:val="18"/>
        </w:rPr>
        <w:t>32</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3D33C8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93265C">
        <w:rPr>
          <w:rFonts w:ascii="Poppins" w:hAnsi="Poppins" w:cs="Poppins"/>
          <w:sz w:val="18"/>
          <w:szCs w:val="18"/>
        </w:rPr>
        <w:t>7</w:t>
      </w:r>
      <w:r w:rsidR="00EA50BB">
        <w:rPr>
          <w:rFonts w:ascii="Poppins" w:hAnsi="Poppins" w:cs="Poppins"/>
          <w:sz w:val="18"/>
          <w:szCs w:val="18"/>
        </w:rPr>
        <w:t>6</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3701A49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93265C">
        <w:rPr>
          <w:rFonts w:ascii="Poppins" w:hAnsi="Poppins" w:cs="Poppins"/>
          <w:sz w:val="18"/>
          <w:szCs w:val="18"/>
        </w:rPr>
        <w:t>70</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93265C">
        <w:rPr>
          <w:rFonts w:ascii="Poppins" w:hAnsi="Poppins" w:cs="Poppins"/>
          <w:sz w:val="18"/>
          <w:szCs w:val="18"/>
        </w:rPr>
        <w:t>40</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25AB443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93265C">
        <w:rPr>
          <w:rFonts w:ascii="Poppins" w:hAnsi="Poppins" w:cs="Poppins"/>
          <w:sz w:val="18"/>
          <w:szCs w:val="18"/>
        </w:rPr>
        <w:t>0</w:t>
      </w:r>
      <w:r w:rsidRPr="0096213B">
        <w:rPr>
          <w:rFonts w:ascii="Poppins" w:hAnsi="Poppins" w:cs="Poppins"/>
          <w:sz w:val="18"/>
          <w:szCs w:val="18"/>
        </w:rPr>
        <w:t>,</w:t>
      </w:r>
      <w:r w:rsidR="0093265C">
        <w:rPr>
          <w:rFonts w:ascii="Poppins" w:hAnsi="Poppins" w:cs="Poppins"/>
          <w:sz w:val="18"/>
          <w:szCs w:val="18"/>
        </w:rPr>
        <w:t>97</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EA50BB">
        <w:rPr>
          <w:rFonts w:ascii="Poppins" w:hAnsi="Poppins" w:cs="Poppins"/>
          <w:sz w:val="18"/>
          <w:szCs w:val="18"/>
        </w:rPr>
        <w:t>5</w:t>
      </w:r>
      <w:r w:rsidR="00A33C99" w:rsidRPr="0096213B">
        <w:rPr>
          <w:rFonts w:ascii="Poppins" w:hAnsi="Poppins" w:cs="Poppins"/>
          <w:sz w:val="18"/>
          <w:szCs w:val="18"/>
        </w:rPr>
        <w:t>,</w:t>
      </w:r>
      <w:r w:rsidR="0093265C">
        <w:rPr>
          <w:rFonts w:ascii="Poppins" w:hAnsi="Poppins" w:cs="Poppins"/>
          <w:sz w:val="18"/>
          <w:szCs w:val="18"/>
        </w:rPr>
        <w:t>2</w:t>
      </w:r>
      <w:r w:rsidR="00EA50BB">
        <w:rPr>
          <w:rFonts w:ascii="Poppins" w:hAnsi="Poppins" w:cs="Poppins"/>
          <w:sz w:val="18"/>
          <w:szCs w:val="18"/>
        </w:rPr>
        <w:t>4</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AFC179D"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93265C">
        <w:rPr>
          <w:rFonts w:ascii="Poppins" w:hAnsi="Poppins" w:cs="Poppins"/>
          <w:sz w:val="18"/>
          <w:szCs w:val="18"/>
        </w:rPr>
        <w:t>7</w:t>
      </w:r>
      <w:r w:rsidR="00EA50BB">
        <w:rPr>
          <w:rFonts w:ascii="Poppins" w:hAnsi="Poppins" w:cs="Poppins"/>
          <w:sz w:val="18"/>
          <w:szCs w:val="18"/>
        </w:rPr>
        <w:t>6</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4FC2389"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de </w:t>
      </w:r>
      <w:r w:rsidRPr="005C0177">
        <w:rPr>
          <w:rFonts w:ascii="Poppins" w:hAnsi="Poppins" w:cs="Poppins"/>
          <w:bCs/>
          <w:sz w:val="18"/>
          <w:szCs w:val="18"/>
        </w:rPr>
        <w:t>-</w:t>
      </w:r>
      <w:r w:rsidR="00B2646F" w:rsidRPr="005C0177">
        <w:rPr>
          <w:rFonts w:ascii="Poppins" w:hAnsi="Poppins" w:cs="Poppins"/>
          <w:bCs/>
          <w:sz w:val="18"/>
          <w:szCs w:val="18"/>
        </w:rPr>
        <w:t>1</w:t>
      </w:r>
      <w:r w:rsidRPr="005C0177">
        <w:rPr>
          <w:rFonts w:ascii="Poppins" w:hAnsi="Poppins" w:cs="Poppins"/>
          <w:bCs/>
          <w:sz w:val="18"/>
          <w:szCs w:val="18"/>
        </w:rPr>
        <w:t>,</w:t>
      </w:r>
      <w:r w:rsidR="005C0177" w:rsidRPr="005C0177">
        <w:rPr>
          <w:rFonts w:ascii="Poppins" w:hAnsi="Poppins" w:cs="Poppins"/>
          <w:bCs/>
          <w:sz w:val="18"/>
          <w:szCs w:val="18"/>
        </w:rPr>
        <w:t>04</w:t>
      </w:r>
      <w:r w:rsidRPr="00044536">
        <w:rPr>
          <w:rFonts w:ascii="Poppins" w:hAnsi="Poppins" w:cs="Poppins"/>
          <w:bCs/>
          <w:sz w:val="18"/>
          <w:szCs w:val="18"/>
        </w:rPr>
        <w:t xml:space="preserve"> </w:t>
      </w:r>
      <w:r w:rsidR="00B42047" w:rsidRPr="00044536">
        <w:rPr>
          <w:rFonts w:ascii="Poppins" w:hAnsi="Poppins" w:cs="Poppins"/>
          <w:bCs/>
          <w:sz w:val="18"/>
          <w:szCs w:val="18"/>
        </w:rPr>
        <w:t>US$/</w:t>
      </w:r>
      <w:r w:rsidR="00B42047" w:rsidRPr="00B47109">
        <w:rPr>
          <w:rFonts w:ascii="Poppins" w:hAnsi="Poppins" w:cs="Poppins"/>
          <w:bCs/>
          <w:sz w:val="18"/>
          <w:szCs w:val="18"/>
        </w:rPr>
        <w:t>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C594291"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A50BB">
        <w:rPr>
          <w:rFonts w:ascii="Poppins" w:hAnsi="Poppins" w:cs="Poppins"/>
          <w:sz w:val="18"/>
          <w:szCs w:val="18"/>
        </w:rPr>
        <w:t>0</w:t>
      </w:r>
      <w:r w:rsidR="00F66E81" w:rsidRPr="0096213B">
        <w:rPr>
          <w:rFonts w:ascii="Poppins" w:hAnsi="Poppins" w:cs="Poppins"/>
          <w:sz w:val="18"/>
          <w:szCs w:val="18"/>
        </w:rPr>
        <w:t>,</w:t>
      </w:r>
      <w:r w:rsidR="0093265C">
        <w:rPr>
          <w:rFonts w:ascii="Poppins" w:hAnsi="Poppins" w:cs="Poppins"/>
          <w:sz w:val="18"/>
          <w:szCs w:val="18"/>
        </w:rPr>
        <w:t>86</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6BA9BD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A3027B" w:rsidRPr="00A3027B">
        <w:rPr>
          <w:rFonts w:ascii="Poppins" w:hAnsi="Poppins" w:cs="Poppins"/>
          <w:sz w:val="18"/>
          <w:szCs w:val="18"/>
          <w:lang w:eastAsia="en-US"/>
        </w:rPr>
        <w:t>1</w:t>
      </w:r>
      <w:r w:rsidR="002C3713" w:rsidRPr="00A3027B">
        <w:rPr>
          <w:rFonts w:ascii="Poppins" w:hAnsi="Poppins" w:cs="Poppins"/>
          <w:sz w:val="18"/>
          <w:szCs w:val="18"/>
          <w:lang w:eastAsia="en-US"/>
        </w:rPr>
        <w:t xml:space="preserve"> US$/Bl</w:t>
      </w:r>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A3027B" w:rsidRPr="00A3027B">
        <w:rPr>
          <w:rFonts w:ascii="Poppins" w:hAnsi="Poppins" w:cs="Poppins"/>
          <w:sz w:val="18"/>
          <w:szCs w:val="18"/>
          <w:lang w:eastAsia="en-US"/>
        </w:rPr>
        <w:t>30</w:t>
      </w:r>
      <w:r w:rsidR="002C3713" w:rsidRPr="00A3027B">
        <w:rPr>
          <w:rFonts w:ascii="Poppins" w:hAnsi="Poppins" w:cs="Poppins"/>
          <w:sz w:val="18"/>
          <w:szCs w:val="18"/>
          <w:lang w:eastAsia="en-US"/>
        </w:rPr>
        <w:t xml:space="preserve"> US$/Bl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EA50BB" w:rsidRPr="00A3027B">
        <w:rPr>
          <w:rFonts w:ascii="Poppins" w:hAnsi="Poppins" w:cs="Poppins"/>
          <w:sz w:val="18"/>
          <w:szCs w:val="18"/>
          <w:lang w:eastAsia="en-US"/>
        </w:rPr>
        <w:t>2</w:t>
      </w:r>
      <w:r w:rsidR="00A3027B" w:rsidRPr="00A3027B">
        <w:rPr>
          <w:rFonts w:ascii="Poppins" w:hAnsi="Poppins" w:cs="Poppins"/>
          <w:sz w:val="18"/>
          <w:szCs w:val="18"/>
          <w:lang w:eastAsia="en-US"/>
        </w:rPr>
        <w:t>5</w:t>
      </w:r>
      <w:r w:rsidR="002C3713" w:rsidRPr="00A3027B">
        <w:rPr>
          <w:rFonts w:ascii="Poppins" w:hAnsi="Poppins" w:cs="Poppins"/>
          <w:sz w:val="18"/>
          <w:szCs w:val="18"/>
          <w:lang w:eastAsia="en-US"/>
        </w:rPr>
        <w:t xml:space="preserve"> US$/Bl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E7E7AF5" w:rsidR="004A1495" w:rsidRPr="0096213B" w:rsidRDefault="00A3027B" w:rsidP="004F74EE">
      <w:pPr>
        <w:pBdr>
          <w:top w:val="single" w:sz="4" w:space="1" w:color="auto"/>
          <w:bottom w:val="single" w:sz="4" w:space="1" w:color="auto"/>
        </w:pBdr>
        <w:jc w:val="center"/>
        <w:rPr>
          <w:rFonts w:ascii="Poppins" w:hAnsi="Poppins" w:cs="Poppins"/>
          <w:sz w:val="18"/>
          <w:szCs w:val="18"/>
          <w:lang w:val="es-PE" w:eastAsia="en-US"/>
        </w:rPr>
      </w:pPr>
      <w:r w:rsidRPr="00A3027B">
        <w:drawing>
          <wp:inline distT="0" distB="0" distL="0" distR="0" wp14:anchorId="0A3511B8" wp14:editId="3983E38D">
            <wp:extent cx="7867977" cy="2989089"/>
            <wp:effectExtent l="0" t="0" r="0"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77896" cy="2992857"/>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70C9E7F6" w:rsidR="000F7442" w:rsidRPr="0096213B" w:rsidRDefault="00D23803" w:rsidP="000F7442">
            <w:pPr>
              <w:jc w:val="center"/>
              <w:rPr>
                <w:rFonts w:ascii="Poppins" w:hAnsi="Poppins" w:cs="Poppins"/>
                <w:sz w:val="8"/>
                <w:szCs w:val="20"/>
              </w:rPr>
            </w:pPr>
            <w:r w:rsidRPr="00D23803">
              <w:rPr>
                <w:rFonts w:ascii="Poppins" w:hAnsi="Poppins" w:cs="Poppins"/>
                <w:noProof/>
                <w:sz w:val="8"/>
                <w:szCs w:val="20"/>
              </w:rPr>
              <w:drawing>
                <wp:inline distT="0" distB="0" distL="0" distR="0" wp14:anchorId="531BDACC" wp14:editId="51D87D68">
                  <wp:extent cx="3565525" cy="2812357"/>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8231" cy="2814491"/>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71B34AB" w:rsidR="00EF3BE9" w:rsidRPr="0096213B" w:rsidRDefault="00D23803"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C7BBA5F" wp14:editId="5C8A9759">
                  <wp:extent cx="5272138" cy="2727325"/>
                  <wp:effectExtent l="0" t="0" r="508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0989" cy="273707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6EC55A9B" w:rsidR="00551F16" w:rsidRPr="0096213B" w:rsidRDefault="00D2380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23803">
        <w:rPr>
          <w:noProof/>
        </w:rPr>
        <w:drawing>
          <wp:inline distT="0" distB="0" distL="0" distR="0" wp14:anchorId="0B57B5A2" wp14:editId="5D0507A0">
            <wp:extent cx="5640070" cy="2220686"/>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3024" cy="2221849"/>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32BF50E9" w:rsidR="00F70B88" w:rsidRPr="0096213B" w:rsidRDefault="00F14984" w:rsidP="00604758">
      <w:pPr>
        <w:spacing w:line="0" w:lineRule="atLeast"/>
        <w:ind w:right="-567"/>
        <w:jc w:val="both"/>
        <w:rPr>
          <w:rFonts w:ascii="Poppins" w:hAnsi="Poppins" w:cs="Poppins"/>
          <w:noProof/>
          <w:sz w:val="20"/>
          <w:szCs w:val="20"/>
        </w:rPr>
      </w:pPr>
      <w:r w:rsidRPr="00F14984">
        <w:drawing>
          <wp:inline distT="0" distB="0" distL="0" distR="0" wp14:anchorId="420DAEE6" wp14:editId="60DE411F">
            <wp:extent cx="5850255" cy="235131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4374" cy="235297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EFE5273" w:rsidR="00127A54" w:rsidRPr="0096213B" w:rsidRDefault="00F14984" w:rsidP="006220EA">
      <w:pPr>
        <w:rPr>
          <w:rFonts w:ascii="Poppins" w:hAnsi="Poppins" w:cs="Poppins"/>
          <w:i/>
          <w:sz w:val="14"/>
          <w:szCs w:val="14"/>
        </w:rPr>
      </w:pPr>
      <w:r w:rsidRPr="00F14984">
        <w:drawing>
          <wp:inline distT="0" distB="0" distL="0" distR="0" wp14:anchorId="08DE0882" wp14:editId="538DDDA3">
            <wp:extent cx="5850255" cy="7061835"/>
            <wp:effectExtent l="0" t="0" r="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18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AF7F052" w:rsidR="005048C1" w:rsidRPr="0096213B" w:rsidRDefault="00F14984" w:rsidP="005048C1">
      <w:pPr>
        <w:jc w:val="both"/>
        <w:rPr>
          <w:rFonts w:ascii="Poppins" w:hAnsi="Poppins" w:cs="Poppins"/>
          <w:i/>
          <w:iCs/>
          <w:sz w:val="12"/>
          <w:szCs w:val="12"/>
        </w:rPr>
      </w:pPr>
      <w:r w:rsidRPr="00F14984">
        <w:drawing>
          <wp:inline distT="0" distB="0" distL="0" distR="0" wp14:anchorId="5F215869" wp14:editId="659D9BD9">
            <wp:extent cx="5850255" cy="663132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989" cy="663328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FAB12C3" w14:textId="6A37CCC1"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B24D734" w14:textId="77777777" w:rsidR="0093265C" w:rsidRDefault="0093265C" w:rsidP="0093265C">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3C7168AB" wp14:editId="1F621384">
            <wp:extent cx="5714689" cy="3050562"/>
            <wp:effectExtent l="19050" t="19050" r="19685" b="16510"/>
            <wp:docPr id="667210431"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1339" cy="3064788"/>
                    </a:xfrm>
                    <a:prstGeom prst="rect">
                      <a:avLst/>
                    </a:prstGeom>
                    <a:noFill/>
                    <a:ln>
                      <a:solidFill>
                        <a:schemeClr val="accent1"/>
                      </a:solidFill>
                    </a:ln>
                  </pic:spPr>
                </pic:pic>
              </a:graphicData>
            </a:graphic>
          </wp:inline>
        </w:drawing>
      </w:r>
    </w:p>
    <w:p w14:paraId="5F60C2A6" w14:textId="1093770A" w:rsidR="0093265C" w:rsidRDefault="0093265C" w:rsidP="0093265C">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44A6412" w14:textId="77777777" w:rsidR="0093265C" w:rsidRDefault="0093265C" w:rsidP="0093265C">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E185590" w14:textId="77777777" w:rsidR="0093265C" w:rsidRPr="0093265C" w:rsidRDefault="0093265C" w:rsidP="0093265C">
      <w:pPr>
        <w:pStyle w:val="xl37"/>
        <w:tabs>
          <w:tab w:val="left" w:pos="180"/>
        </w:tabs>
        <w:spacing w:before="0" w:beforeAutospacing="0" w:after="0" w:afterAutospacing="0"/>
        <w:jc w:val="center"/>
        <w:rPr>
          <w:noProof/>
        </w:rPr>
      </w:pPr>
      <w:r>
        <w:rPr>
          <w:noProof/>
        </w:rPr>
        <w:drawing>
          <wp:inline distT="0" distB="0" distL="0" distR="0" wp14:anchorId="71F4CE91" wp14:editId="65F5BE42">
            <wp:extent cx="5707786" cy="3046879"/>
            <wp:effectExtent l="19050" t="19050" r="26670" b="20320"/>
            <wp:docPr id="1962202512"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4553" cy="3066505"/>
                    </a:xfrm>
                    <a:prstGeom prst="rect">
                      <a:avLst/>
                    </a:prstGeom>
                    <a:noFill/>
                    <a:ln>
                      <a:solidFill>
                        <a:schemeClr val="accent1"/>
                      </a:solidFill>
                    </a:ln>
                  </pic:spPr>
                </pic:pic>
              </a:graphicData>
            </a:graphic>
          </wp:inline>
        </w:drawing>
      </w:r>
    </w:p>
    <w:p w14:paraId="26974770" w14:textId="77777777" w:rsidR="0093265C" w:rsidRDefault="0093265C" w:rsidP="0093265C">
      <w:pPr>
        <w:jc w:val="both"/>
        <w:rPr>
          <w:rFonts w:asciiTheme="minorHAnsi" w:hAnsiTheme="minorHAnsi" w:cstheme="minorHAnsi"/>
          <w:sz w:val="22"/>
          <w:szCs w:val="22"/>
        </w:rPr>
      </w:pPr>
    </w:p>
    <w:p w14:paraId="149C4A2A" w14:textId="77777777" w:rsidR="0093265C" w:rsidRDefault="0093265C" w:rsidP="0093265C">
      <w:pPr>
        <w:jc w:val="center"/>
        <w:rPr>
          <w:rFonts w:asciiTheme="minorHAnsi" w:hAnsiTheme="minorHAnsi" w:cstheme="minorHAnsi"/>
          <w:sz w:val="22"/>
          <w:szCs w:val="22"/>
        </w:rPr>
      </w:pPr>
    </w:p>
    <w:p w14:paraId="4AD5E2C2" w14:textId="77777777" w:rsidR="0093265C" w:rsidRDefault="0093265C" w:rsidP="0093265C">
      <w:pPr>
        <w:jc w:val="center"/>
        <w:rPr>
          <w:rFonts w:asciiTheme="minorHAnsi" w:hAnsiTheme="minorHAnsi" w:cstheme="minorHAnsi"/>
          <w:b/>
          <w:iCs/>
          <w:u w:val="single"/>
        </w:rPr>
      </w:pPr>
    </w:p>
    <w:p w14:paraId="0A68FA7B" w14:textId="77777777" w:rsidR="0093265C" w:rsidRDefault="0093265C" w:rsidP="0093265C">
      <w:pPr>
        <w:jc w:val="center"/>
        <w:rPr>
          <w:rFonts w:asciiTheme="minorHAnsi" w:hAnsiTheme="minorHAnsi" w:cstheme="minorHAnsi"/>
          <w:b/>
          <w:iCs/>
          <w:u w:val="single"/>
        </w:rPr>
      </w:pPr>
    </w:p>
    <w:p w14:paraId="785DF787" w14:textId="77777777" w:rsidR="0093265C" w:rsidRDefault="0093265C" w:rsidP="0093265C">
      <w:pPr>
        <w:jc w:val="center"/>
        <w:rPr>
          <w:rFonts w:asciiTheme="minorHAnsi" w:hAnsiTheme="minorHAnsi" w:cstheme="minorHAnsi"/>
          <w:b/>
          <w:iCs/>
          <w:u w:val="single"/>
        </w:rPr>
      </w:pPr>
      <w:r>
        <w:rPr>
          <w:noProof/>
        </w:rPr>
        <w:lastRenderedPageBreak/>
        <w:drawing>
          <wp:inline distT="0" distB="0" distL="0" distR="0" wp14:anchorId="03CE0F6C" wp14:editId="5572718B">
            <wp:extent cx="5866129" cy="3131404"/>
            <wp:effectExtent l="19050" t="19050" r="20955" b="12065"/>
            <wp:docPr id="326537088"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4143" cy="3146358"/>
                    </a:xfrm>
                    <a:prstGeom prst="rect">
                      <a:avLst/>
                    </a:prstGeom>
                    <a:noFill/>
                    <a:ln>
                      <a:solidFill>
                        <a:schemeClr val="accent1"/>
                      </a:solidFill>
                    </a:ln>
                  </pic:spPr>
                </pic:pic>
              </a:graphicData>
            </a:graphic>
          </wp:inline>
        </w:drawing>
      </w:r>
    </w:p>
    <w:p w14:paraId="47EDF4BF" w14:textId="77777777" w:rsidR="0093265C" w:rsidRDefault="0093265C" w:rsidP="0093265C">
      <w:pPr>
        <w:jc w:val="center"/>
        <w:rPr>
          <w:rFonts w:asciiTheme="minorHAnsi" w:hAnsiTheme="minorHAnsi" w:cstheme="minorHAnsi"/>
          <w:b/>
          <w:iCs/>
          <w:u w:val="single"/>
        </w:rPr>
      </w:pPr>
    </w:p>
    <w:p w14:paraId="0ED32339" w14:textId="77777777" w:rsidR="0093265C" w:rsidRDefault="0093265C" w:rsidP="0093265C">
      <w:pPr>
        <w:jc w:val="center"/>
        <w:rPr>
          <w:rFonts w:asciiTheme="minorHAnsi" w:hAnsiTheme="minorHAnsi" w:cstheme="minorHAnsi"/>
          <w:b/>
          <w:iCs/>
          <w:u w:val="single"/>
        </w:rPr>
      </w:pPr>
    </w:p>
    <w:p w14:paraId="54FB0165" w14:textId="77777777" w:rsidR="0093265C" w:rsidRDefault="0093265C" w:rsidP="0093265C">
      <w:pPr>
        <w:jc w:val="center"/>
        <w:rPr>
          <w:rFonts w:asciiTheme="minorHAnsi" w:hAnsiTheme="minorHAnsi" w:cstheme="minorHAnsi"/>
          <w:b/>
          <w:iCs/>
          <w:u w:val="single"/>
        </w:rPr>
      </w:pPr>
      <w:r>
        <w:rPr>
          <w:noProof/>
        </w:rPr>
        <w:drawing>
          <wp:inline distT="0" distB="0" distL="0" distR="0" wp14:anchorId="0A37B983" wp14:editId="3776049F">
            <wp:extent cx="5859236" cy="3127724"/>
            <wp:effectExtent l="19050" t="19050" r="27305" b="15875"/>
            <wp:docPr id="1098983247"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96394" cy="3147559"/>
                    </a:xfrm>
                    <a:prstGeom prst="rect">
                      <a:avLst/>
                    </a:prstGeom>
                    <a:noFill/>
                    <a:ln>
                      <a:solidFill>
                        <a:schemeClr val="accent1">
                          <a:lumMod val="75000"/>
                        </a:schemeClr>
                      </a:solidFill>
                    </a:ln>
                  </pic:spPr>
                </pic:pic>
              </a:graphicData>
            </a:graphic>
          </wp:inline>
        </w:drawing>
      </w:r>
    </w:p>
    <w:p w14:paraId="2CBBFEBD" w14:textId="66AB0D29"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32860AB" w14:textId="7236C1CE"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9B5EC61"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E87503D" w14:textId="77777777" w:rsidR="008B1EE7" w:rsidRDefault="008B1EE7" w:rsidP="008B1EE7">
      <w:pPr>
        <w:jc w:val="center"/>
        <w:rPr>
          <w:rFonts w:asciiTheme="minorHAnsi" w:hAnsiTheme="minorHAnsi" w:cstheme="minorHAnsi"/>
          <w:b/>
          <w:iCs/>
          <w:u w:val="single"/>
        </w:rPr>
      </w:pPr>
    </w:p>
    <w:p w14:paraId="681E0F0C" w14:textId="49585643" w:rsidR="008B1EE7" w:rsidRDefault="008B1EE7" w:rsidP="008B1EE7">
      <w:pPr>
        <w:jc w:val="center"/>
        <w:rPr>
          <w:rFonts w:asciiTheme="minorHAnsi" w:hAnsiTheme="minorHAnsi" w:cstheme="minorHAnsi"/>
          <w:b/>
          <w:iCs/>
          <w:u w:val="single"/>
        </w:rPr>
      </w:pP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5CF22D91" w:rsidR="008B1EE7" w:rsidRDefault="008B1EE7" w:rsidP="008B1EE7">
      <w:pPr>
        <w:jc w:val="center"/>
        <w:rPr>
          <w:rFonts w:asciiTheme="minorHAnsi" w:hAnsiTheme="minorHAnsi" w:cstheme="minorHAnsi"/>
          <w:b/>
          <w:iCs/>
          <w:u w:val="single"/>
        </w:rPr>
      </w:pP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A3027B"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4FDAB9F"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8E318F">
            <w:rPr>
              <w:rFonts w:ascii="Poppins" w:hAnsi="Poppins" w:cs="Poppins"/>
              <w:b/>
              <w:sz w:val="22"/>
              <w:szCs w:val="22"/>
              <w:lang w:val="it-IT"/>
            </w:rPr>
            <w:t>5</w:t>
          </w:r>
          <w:r w:rsidR="00D23803">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C7FC02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318F">
            <w:rPr>
              <w:rFonts w:ascii="Poppins" w:hAnsi="Poppins" w:cs="Poppins"/>
              <w:b/>
              <w:sz w:val="22"/>
              <w:szCs w:val="22"/>
              <w:lang w:val="it-IT"/>
            </w:rPr>
            <w:t>5</w:t>
          </w:r>
          <w:r w:rsidR="00D23803">
            <w:rPr>
              <w:rFonts w:ascii="Poppins" w:hAnsi="Poppins" w:cs="Poppins"/>
              <w:b/>
              <w:sz w:val="22"/>
              <w:szCs w:val="22"/>
              <w:lang w:val="it-IT"/>
            </w:rPr>
            <w:t>1</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9331837"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D23803">
            <w:rPr>
              <w:rFonts w:ascii="Poppins" w:hAnsi="Poppins" w:cs="Poppins"/>
              <w:b/>
              <w:sz w:val="22"/>
              <w:szCs w:val="22"/>
              <w:lang w:val="it-IT"/>
            </w:rPr>
            <w:t>1</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E6D830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D23803">
            <w:rPr>
              <w:rFonts w:ascii="Poppins" w:hAnsi="Poppins" w:cs="Poppins"/>
              <w:b/>
              <w:sz w:val="22"/>
              <w:szCs w:val="22"/>
              <w:lang w:val="it-IT"/>
            </w:rPr>
            <w:t>1</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18</Pages>
  <Words>3963</Words>
  <Characters>21800</Characters>
  <Application>Microsoft Office Word</Application>
  <DocSecurity>0</DocSecurity>
  <Lines>181</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2024-09-17T21:54:00Z</cp:lastPrinted>
  <dcterms:created xsi:type="dcterms:W3CDTF">2024-12-17T20:53:00Z</dcterms:created>
  <dcterms:modified xsi:type="dcterms:W3CDTF">2024-12-18T17:03:00Z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