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62255AC7"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w:t>
      </w:r>
      <w:r w:rsidR="00A55594">
        <w:rPr>
          <w:rFonts w:asciiTheme="minorHAnsi" w:hAnsiTheme="minorHAnsi" w:cstheme="minorHAnsi"/>
          <w:sz w:val="32"/>
          <w:szCs w:val="28"/>
          <w:u w:val="single"/>
          <w:lang w:val="it-IT"/>
        </w:rPr>
        <w:t>3</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26B8EDDE"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A55594">
        <w:rPr>
          <w:rFonts w:asciiTheme="minorHAnsi" w:hAnsiTheme="minorHAnsi" w:cstheme="minorHAnsi"/>
          <w:b/>
          <w:bCs/>
          <w:sz w:val="28"/>
          <w:szCs w:val="28"/>
        </w:rPr>
        <w:t>16</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04C5C9E5" w:rsidR="00E53D92" w:rsidRPr="002B3648" w:rsidRDefault="00A55594"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8E7D58">
        <w:rPr>
          <w:noProof/>
          <w:lang w:val="es-PE" w:eastAsia="es-PE"/>
        </w:rPr>
        <w:drawing>
          <wp:inline distT="0" distB="0" distL="0" distR="0" wp14:anchorId="32DF0061" wp14:editId="301E46D5">
            <wp:extent cx="5349240" cy="34366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9240" cy="343662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03600B0B" w14:textId="77777777" w:rsidR="00A55594" w:rsidRDefault="00A55594" w:rsidP="00A55594">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w:t>
      </w:r>
      <w:r w:rsidRPr="00CC0F16">
        <w:rPr>
          <w:rFonts w:asciiTheme="minorHAnsi" w:hAnsiTheme="minorHAnsi" w:cstheme="minorHAnsi"/>
          <w:sz w:val="22"/>
          <w:szCs w:val="22"/>
        </w:rPr>
        <w:t xml:space="preserve"> </w:t>
      </w:r>
      <w:r>
        <w:rPr>
          <w:rFonts w:asciiTheme="minorHAnsi" w:hAnsiTheme="minorHAnsi" w:cstheme="minorHAnsi"/>
          <w:sz w:val="22"/>
          <w:szCs w:val="22"/>
        </w:rPr>
        <w:t xml:space="preserve">79.01 </w:t>
      </w:r>
      <w:r w:rsidRPr="00CC0F16">
        <w:rPr>
          <w:rFonts w:asciiTheme="minorHAnsi" w:hAnsiTheme="minorHAnsi" w:cstheme="minorHAnsi"/>
          <w:sz w:val="22"/>
          <w:szCs w:val="22"/>
        </w:rPr>
        <w:t>US$/</w:t>
      </w:r>
      <w:proofErr w:type="spellStart"/>
      <w:r w:rsidRPr="00CC0F16">
        <w:rPr>
          <w:rFonts w:asciiTheme="minorHAnsi" w:hAnsiTheme="minorHAnsi" w:cstheme="minorHAnsi"/>
          <w:sz w:val="22"/>
          <w:szCs w:val="22"/>
        </w:rPr>
        <w:t>Bl</w:t>
      </w:r>
      <w:proofErr w:type="spellEnd"/>
      <w:r w:rsidRPr="00CC0F16">
        <w:rPr>
          <w:rFonts w:asciiTheme="minorHAnsi" w:hAnsiTheme="minorHAnsi" w:cstheme="minorHAnsi"/>
          <w:sz w:val="22"/>
          <w:szCs w:val="22"/>
        </w:rPr>
        <w:t>, las gasolinas</w:t>
      </w:r>
      <w:r>
        <w:rPr>
          <w:rFonts w:asciiTheme="minorHAnsi" w:hAnsiTheme="minorHAnsi" w:cstheme="minorHAnsi"/>
          <w:sz w:val="22"/>
          <w:szCs w:val="22"/>
        </w:rPr>
        <w:t xml:space="preserve"> registraron un precio superior a 100 US$/</w:t>
      </w:r>
      <w:proofErr w:type="spellStart"/>
      <w:r>
        <w:rPr>
          <w:rFonts w:asciiTheme="minorHAnsi" w:hAnsiTheme="minorHAnsi" w:cstheme="minorHAnsi"/>
          <w:sz w:val="22"/>
          <w:szCs w:val="22"/>
        </w:rPr>
        <w:t>Bl</w:t>
      </w:r>
      <w:proofErr w:type="spellEnd"/>
      <w:r w:rsidRPr="00CC0F16">
        <w:rPr>
          <w:rFonts w:asciiTheme="minorHAnsi" w:hAnsiTheme="minorHAnsi" w:cstheme="minorHAnsi"/>
          <w:sz w:val="22"/>
          <w:szCs w:val="22"/>
        </w:rPr>
        <w:t xml:space="preserve"> </w:t>
      </w:r>
      <w:r>
        <w:rPr>
          <w:rFonts w:asciiTheme="minorHAnsi" w:hAnsiTheme="minorHAnsi" w:cstheme="minorHAnsi"/>
          <w:sz w:val="22"/>
          <w:szCs w:val="22"/>
        </w:rPr>
        <w:t>y los destilados medios registraron</w:t>
      </w:r>
      <w:r w:rsidRPr="00CC0F16">
        <w:rPr>
          <w:rFonts w:asciiTheme="minorHAnsi" w:hAnsiTheme="minorHAnsi" w:cstheme="minorHAnsi"/>
          <w:sz w:val="22"/>
          <w:szCs w:val="22"/>
        </w:rPr>
        <w:t xml:space="preserve"> niveles </w:t>
      </w:r>
      <w:r>
        <w:rPr>
          <w:rFonts w:asciiTheme="minorHAnsi" w:hAnsiTheme="minorHAnsi" w:cstheme="minorHAnsi"/>
          <w:sz w:val="22"/>
          <w:szCs w:val="22"/>
        </w:rPr>
        <w:t>por encima de</w:t>
      </w:r>
      <w:r w:rsidRPr="00CC0F16">
        <w:rPr>
          <w:rFonts w:asciiTheme="minorHAnsi" w:hAnsiTheme="minorHAnsi" w:cstheme="minorHAnsi"/>
          <w:sz w:val="22"/>
          <w:szCs w:val="22"/>
        </w:rPr>
        <w:t xml:space="preserve"> los </w:t>
      </w:r>
      <w:r>
        <w:rPr>
          <w:rFonts w:asciiTheme="minorHAnsi" w:hAnsiTheme="minorHAnsi" w:cstheme="minorHAnsi"/>
          <w:sz w:val="22"/>
          <w:szCs w:val="22"/>
        </w:rPr>
        <w:t>135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37.75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169450C2" w14:textId="77777777" w:rsidR="00A55594" w:rsidRDefault="00A55594" w:rsidP="00A55594">
      <w:pPr>
        <w:ind w:left="284"/>
        <w:jc w:val="both"/>
        <w:rPr>
          <w:rFonts w:asciiTheme="minorHAnsi" w:hAnsiTheme="minorHAnsi" w:cstheme="minorHAnsi"/>
          <w:sz w:val="22"/>
          <w:szCs w:val="22"/>
        </w:rPr>
      </w:pPr>
    </w:p>
    <w:p w14:paraId="52EAD8F3" w14:textId="77777777" w:rsidR="00A55594" w:rsidRDefault="00A55594" w:rsidP="00A55594">
      <w:pPr>
        <w:jc w:val="both"/>
        <w:rPr>
          <w:rFonts w:asciiTheme="minorHAnsi" w:hAnsiTheme="minorHAnsi" w:cstheme="minorHAnsi"/>
          <w:bCs/>
          <w:sz w:val="22"/>
          <w:szCs w:val="22"/>
        </w:rPr>
      </w:pPr>
      <w:r w:rsidRPr="008C61D2">
        <w:rPr>
          <w:rFonts w:asciiTheme="minorHAnsi" w:hAnsiTheme="minorHAnsi" w:cstheme="minorHAnsi"/>
          <w:sz w:val="22"/>
          <w:szCs w:val="22"/>
        </w:rPr>
        <w:t xml:space="preserve">En las semanas del </w:t>
      </w:r>
      <w:r>
        <w:rPr>
          <w:rFonts w:asciiTheme="minorHAnsi" w:hAnsiTheme="minorHAnsi" w:cstheme="minorHAnsi"/>
          <w:sz w:val="22"/>
          <w:szCs w:val="22"/>
        </w:rPr>
        <w:t>16</w:t>
      </w:r>
      <w:r w:rsidRPr="008C61D2">
        <w:rPr>
          <w:rFonts w:asciiTheme="minorHAnsi" w:hAnsiTheme="minorHAnsi" w:cstheme="minorHAnsi"/>
          <w:sz w:val="22"/>
          <w:szCs w:val="22"/>
        </w:rPr>
        <w:t>.</w:t>
      </w:r>
      <w:r>
        <w:rPr>
          <w:rFonts w:asciiTheme="minorHAnsi" w:hAnsiTheme="minorHAnsi" w:cstheme="minorHAnsi"/>
          <w:sz w:val="22"/>
          <w:szCs w:val="22"/>
        </w:rPr>
        <w:t>12</w:t>
      </w:r>
      <w:r w:rsidRPr="008C61D2">
        <w:rPr>
          <w:rFonts w:asciiTheme="minorHAnsi" w:hAnsiTheme="minorHAnsi" w:cstheme="minorHAnsi"/>
          <w:sz w:val="22"/>
          <w:szCs w:val="22"/>
        </w:rPr>
        <w:t xml:space="preserve">.2022 al </w:t>
      </w:r>
      <w:r>
        <w:rPr>
          <w:rFonts w:asciiTheme="minorHAnsi" w:hAnsiTheme="minorHAnsi" w:cstheme="minorHAnsi"/>
          <w:sz w:val="22"/>
          <w:szCs w:val="22"/>
        </w:rPr>
        <w:t>06</w:t>
      </w:r>
      <w:r w:rsidRPr="008C61D2">
        <w:rPr>
          <w:rFonts w:asciiTheme="minorHAnsi" w:hAnsiTheme="minorHAnsi" w:cstheme="minorHAnsi"/>
          <w:sz w:val="22"/>
          <w:szCs w:val="22"/>
        </w:rPr>
        <w:t>.</w:t>
      </w:r>
      <w:r>
        <w:rPr>
          <w:rFonts w:asciiTheme="minorHAnsi" w:hAnsiTheme="minorHAnsi" w:cstheme="minorHAnsi"/>
          <w:sz w:val="22"/>
          <w:szCs w:val="22"/>
        </w:rPr>
        <w:t>01</w:t>
      </w:r>
      <w:r w:rsidRPr="008C61D2">
        <w:rPr>
          <w:rFonts w:asciiTheme="minorHAnsi" w:hAnsiTheme="minorHAnsi" w:cstheme="minorHAnsi"/>
          <w:sz w:val="22"/>
          <w:szCs w:val="22"/>
        </w:rPr>
        <w:t>.2022</w:t>
      </w:r>
      <w:r>
        <w:rPr>
          <w:rFonts w:asciiTheme="minorHAnsi" w:hAnsiTheme="minorHAnsi" w:cstheme="minorHAnsi"/>
          <w:sz w:val="22"/>
          <w:szCs w:val="22"/>
        </w:rPr>
        <w:t xml:space="preserve">, </w:t>
      </w:r>
      <w:r>
        <w:rPr>
          <w:rFonts w:asciiTheme="minorHAnsi" w:hAnsiTheme="minorHAnsi" w:cstheme="minorHAnsi"/>
          <w:bCs/>
          <w:sz w:val="22"/>
          <w:szCs w:val="22"/>
        </w:rPr>
        <w:t>l</w:t>
      </w:r>
      <w:r w:rsidRPr="002B3648">
        <w:rPr>
          <w:rFonts w:asciiTheme="minorHAnsi" w:hAnsiTheme="minorHAnsi" w:cstheme="minorHAnsi"/>
          <w:bCs/>
          <w:sz w:val="22"/>
          <w:szCs w:val="22"/>
        </w:rPr>
        <w:t xml:space="preserve">os principales factores que incidieron </w:t>
      </w:r>
      <w:r>
        <w:rPr>
          <w:rFonts w:asciiTheme="minorHAnsi" w:hAnsiTheme="minorHAnsi" w:cstheme="minorHAnsi"/>
          <w:bCs/>
          <w:sz w:val="22"/>
          <w:szCs w:val="22"/>
        </w:rPr>
        <w:t xml:space="preserve">en la variación </w:t>
      </w:r>
      <w:r w:rsidRPr="002B3648">
        <w:rPr>
          <w:rFonts w:asciiTheme="minorHAnsi" w:hAnsiTheme="minorHAnsi" w:cstheme="minorHAnsi"/>
          <w:bCs/>
          <w:sz w:val="22"/>
          <w:szCs w:val="22"/>
        </w:rPr>
        <w:t>de los precios de</w:t>
      </w:r>
      <w:r>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691BE24" w14:textId="77777777" w:rsidR="00A55594" w:rsidRPr="004A4F55" w:rsidRDefault="00A55594" w:rsidP="00A55594">
      <w:pPr>
        <w:ind w:left="709"/>
        <w:rPr>
          <w:rFonts w:asciiTheme="minorHAnsi" w:hAnsiTheme="minorHAnsi" w:cstheme="minorHAnsi"/>
          <w:bCs/>
          <w:sz w:val="22"/>
          <w:szCs w:val="22"/>
        </w:rPr>
      </w:pPr>
    </w:p>
    <w:p w14:paraId="70383913" w14:textId="77777777" w:rsidR="00A55594" w:rsidRPr="003908FE" w:rsidRDefault="00A55594" w:rsidP="00A55594">
      <w:pPr>
        <w:pStyle w:val="Prrafodelista"/>
        <w:numPr>
          <w:ilvl w:val="0"/>
          <w:numId w:val="13"/>
        </w:numPr>
        <w:ind w:left="426"/>
        <w:contextualSpacing/>
        <w:jc w:val="both"/>
        <w:rPr>
          <w:rFonts w:asciiTheme="minorHAnsi" w:hAnsiTheme="minorHAnsi" w:cstheme="minorHAnsi"/>
          <w:b/>
          <w:sz w:val="22"/>
          <w:szCs w:val="22"/>
        </w:rPr>
      </w:pPr>
      <w:r w:rsidRPr="003908FE">
        <w:rPr>
          <w:rFonts w:asciiTheme="minorHAnsi" w:hAnsiTheme="minorHAnsi" w:cstheme="minorHAnsi"/>
          <w:b/>
          <w:sz w:val="22"/>
          <w:szCs w:val="22"/>
        </w:rPr>
        <w:t>El aumento de los inventarios de crudo y gasolinas; así como la reducción de las existencias de propano y destilados, al 06 de enero del 2023.</w:t>
      </w:r>
    </w:p>
    <w:p w14:paraId="37F2917A" w14:textId="77777777" w:rsidR="00A55594" w:rsidRPr="003908FE" w:rsidRDefault="00A55594" w:rsidP="00A55594">
      <w:pPr>
        <w:pStyle w:val="Prrafodelista"/>
        <w:ind w:left="426"/>
        <w:jc w:val="both"/>
        <w:rPr>
          <w:rFonts w:asciiTheme="minorHAnsi" w:hAnsiTheme="minorHAnsi" w:cstheme="minorHAnsi"/>
          <w:sz w:val="22"/>
          <w:szCs w:val="22"/>
        </w:rPr>
      </w:pPr>
    </w:p>
    <w:p w14:paraId="6FC3CDA8"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Los inventarios de petróleo subieron 19,0 millones de barriles, registrando un total de 439,6 millones de barriles, un 1% por encima de la media de los últimos 5 años en esta época del año.</w:t>
      </w:r>
    </w:p>
    <w:p w14:paraId="45B5AC27" w14:textId="77777777" w:rsidR="00A55594" w:rsidRPr="003908FE" w:rsidRDefault="00A55594" w:rsidP="00A55594">
      <w:pPr>
        <w:pStyle w:val="Prrafodelista"/>
        <w:ind w:left="426"/>
        <w:jc w:val="both"/>
        <w:rPr>
          <w:rFonts w:asciiTheme="minorHAnsi" w:hAnsiTheme="minorHAnsi" w:cstheme="minorHAnsi"/>
          <w:sz w:val="22"/>
          <w:szCs w:val="22"/>
        </w:rPr>
      </w:pPr>
    </w:p>
    <w:p w14:paraId="659A3366"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Las existencias de gasolina se incrementaron en 4,1 millones de barriles, reportando un total de 226,8 millones de barriles; mientras los inventarios de destilados, que incluyen al diésel y al combustible para calefacción, disminuyeron 1,1 millones de barriles, con un total de 117,7 millones de barriles. Finalmente, las existencias de propano se redujeron 2,09 millones de barriles, ubicándose en los 78,59 millones de barriles.</w:t>
      </w:r>
    </w:p>
    <w:p w14:paraId="67B2CB16" w14:textId="77777777" w:rsidR="00A55594" w:rsidRPr="003908FE" w:rsidRDefault="00A55594" w:rsidP="00A55594">
      <w:pPr>
        <w:pStyle w:val="Prrafodelista"/>
        <w:ind w:left="426"/>
        <w:jc w:val="both"/>
        <w:rPr>
          <w:rFonts w:asciiTheme="minorHAnsi" w:hAnsiTheme="minorHAnsi" w:cstheme="minorHAnsi"/>
          <w:sz w:val="22"/>
          <w:szCs w:val="22"/>
        </w:rPr>
      </w:pPr>
    </w:p>
    <w:p w14:paraId="5125EE92" w14:textId="77777777" w:rsidR="00A55594" w:rsidRPr="003908FE" w:rsidRDefault="00A55594" w:rsidP="00A55594">
      <w:pPr>
        <w:pStyle w:val="Prrafodelista"/>
        <w:numPr>
          <w:ilvl w:val="0"/>
          <w:numId w:val="13"/>
        </w:numPr>
        <w:ind w:left="426"/>
        <w:contextualSpacing/>
        <w:jc w:val="both"/>
        <w:rPr>
          <w:rFonts w:asciiTheme="minorHAnsi" w:hAnsiTheme="minorHAnsi" w:cstheme="minorHAnsi"/>
          <w:b/>
          <w:bCs/>
          <w:sz w:val="22"/>
          <w:szCs w:val="22"/>
        </w:rPr>
      </w:pPr>
      <w:r w:rsidRPr="003908FE">
        <w:rPr>
          <w:rFonts w:asciiTheme="minorHAnsi" w:hAnsiTheme="minorHAnsi" w:cstheme="minorHAnsi"/>
          <w:b/>
          <w:bCs/>
          <w:sz w:val="22"/>
          <w:szCs w:val="22"/>
        </w:rPr>
        <w:t xml:space="preserve">Las señales de crecimiento de la demanda en China, a raíz de la reapertura de sus fronteras y la relajación de las restricciones de COVID </w:t>
      </w:r>
    </w:p>
    <w:p w14:paraId="373E403D" w14:textId="77777777" w:rsidR="00A55594" w:rsidRPr="003908FE" w:rsidRDefault="00A55594" w:rsidP="00A55594">
      <w:pPr>
        <w:pStyle w:val="Prrafodelista"/>
        <w:ind w:left="426"/>
        <w:jc w:val="both"/>
        <w:rPr>
          <w:rFonts w:asciiTheme="minorHAnsi" w:hAnsiTheme="minorHAnsi" w:cstheme="minorHAnsi"/>
          <w:b/>
          <w:bCs/>
          <w:sz w:val="22"/>
          <w:szCs w:val="22"/>
        </w:rPr>
      </w:pPr>
    </w:p>
    <w:p w14:paraId="6A333EE5"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Las recientes compras de crudo de parte de China</w:t>
      </w:r>
      <w:r w:rsidRPr="003908FE">
        <w:rPr>
          <w:rStyle w:val="Refdenotaalpie"/>
          <w:rFonts w:asciiTheme="minorHAnsi" w:hAnsiTheme="minorHAnsi" w:cstheme="minorHAnsi"/>
          <w:sz w:val="22"/>
          <w:szCs w:val="22"/>
        </w:rPr>
        <w:footnoteReference w:id="3"/>
      </w:r>
      <w:r w:rsidRPr="003908FE">
        <w:rPr>
          <w:rFonts w:asciiTheme="minorHAnsi" w:hAnsiTheme="minorHAnsi" w:cstheme="minorHAnsi"/>
          <w:sz w:val="22"/>
          <w:szCs w:val="22"/>
        </w:rPr>
        <w:t xml:space="preserve"> y el repunte del tráfico por carretera desde mínimos históricos, alimentaron la confianza en una recuperación de la demanda de la segunda economía mundial, después de que Pekín suavizara sus restricciones por el COVID, pues como parte de una “nueva fase” en la lucha contra el COVID, China abrió sus fronteras por primera vez en 3 años.</w:t>
      </w:r>
    </w:p>
    <w:p w14:paraId="4B00D61F"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color w:val="333333"/>
          <w:sz w:val="22"/>
          <w:szCs w:val="22"/>
          <w:shd w:val="clear" w:color="auto" w:fill="FFFFFF"/>
        </w:rPr>
        <w:t xml:space="preserve"> </w:t>
      </w:r>
    </w:p>
    <w:p w14:paraId="7A23318F"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Las importaciones chinas de crudo aumentaron un 4% interanual en diciembre 2022, mientras que un esperado resurgimiento de los viajes con motivo de las vacaciones del Año Nuevo Lunar, contribuyó a elevar aún más las perspectivas de la demanda de combustibles utilizados en el transporte</w:t>
      </w:r>
      <w:r w:rsidRPr="003908FE">
        <w:rPr>
          <w:rFonts w:asciiTheme="minorHAnsi" w:hAnsiTheme="minorHAnsi" w:cstheme="minorHAnsi"/>
          <w:color w:val="333333"/>
          <w:sz w:val="22"/>
          <w:szCs w:val="22"/>
          <w:shd w:val="clear" w:color="auto" w:fill="FFFFFF"/>
        </w:rPr>
        <w:t>.</w:t>
      </w:r>
    </w:p>
    <w:p w14:paraId="33313409" w14:textId="77777777" w:rsidR="00A55594" w:rsidRPr="003908FE" w:rsidRDefault="00A55594" w:rsidP="00A55594">
      <w:pPr>
        <w:pStyle w:val="Prrafodelista"/>
        <w:ind w:left="426"/>
        <w:jc w:val="both"/>
        <w:rPr>
          <w:rFonts w:asciiTheme="minorHAnsi" w:hAnsiTheme="minorHAnsi" w:cstheme="minorHAnsi"/>
          <w:sz w:val="22"/>
          <w:szCs w:val="22"/>
        </w:rPr>
      </w:pPr>
    </w:p>
    <w:p w14:paraId="01A60521"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Analistas del mercado manifestaron que un índice de congestión que abarca las 15 ciudades chinas con mayor número de matriculaciones de vehículos, aumentó un 31% respecto a la semana anterior. Asimismo, indicaron que, aunque las perspectivas de China hayan dado un giro, la normalización de su demanda de petróleo será gradual.</w:t>
      </w:r>
    </w:p>
    <w:p w14:paraId="591F7DE1" w14:textId="77777777" w:rsidR="00A55594" w:rsidRPr="003908FE" w:rsidRDefault="00A55594" w:rsidP="00A55594">
      <w:pPr>
        <w:pStyle w:val="Prrafodelista"/>
        <w:ind w:left="426"/>
        <w:jc w:val="both"/>
        <w:rPr>
          <w:rFonts w:asciiTheme="minorHAnsi" w:hAnsiTheme="minorHAnsi" w:cstheme="minorHAnsi"/>
          <w:sz w:val="22"/>
          <w:szCs w:val="22"/>
        </w:rPr>
      </w:pPr>
    </w:p>
    <w:p w14:paraId="282D181A" w14:textId="77777777" w:rsidR="00A55594" w:rsidRPr="003908FE" w:rsidRDefault="00A55594" w:rsidP="00A55594">
      <w:pPr>
        <w:pStyle w:val="Prrafodelista"/>
        <w:numPr>
          <w:ilvl w:val="0"/>
          <w:numId w:val="13"/>
        </w:numPr>
        <w:ind w:left="426"/>
        <w:contextualSpacing/>
        <w:jc w:val="both"/>
        <w:rPr>
          <w:rFonts w:asciiTheme="minorHAnsi" w:hAnsiTheme="minorHAnsi" w:cstheme="minorHAnsi"/>
          <w:b/>
          <w:bCs/>
          <w:sz w:val="22"/>
          <w:szCs w:val="22"/>
        </w:rPr>
      </w:pPr>
      <w:r w:rsidRPr="003908FE">
        <w:rPr>
          <w:rFonts w:asciiTheme="minorHAnsi" w:hAnsiTheme="minorHAnsi" w:cstheme="minorHAnsi"/>
          <w:b/>
          <w:bCs/>
          <w:sz w:val="22"/>
          <w:szCs w:val="22"/>
        </w:rPr>
        <w:t>La caída del dólar y las expectativas de subidas menos agresivas de las tasas de interés en Estados Unidos.</w:t>
      </w:r>
    </w:p>
    <w:p w14:paraId="650269F2" w14:textId="77777777" w:rsidR="00A55594" w:rsidRPr="003908FE" w:rsidRDefault="00A55594" w:rsidP="00A55594">
      <w:pPr>
        <w:pStyle w:val="Prrafodelista"/>
        <w:ind w:left="426"/>
        <w:jc w:val="both"/>
        <w:rPr>
          <w:rFonts w:asciiTheme="minorHAnsi" w:hAnsiTheme="minorHAnsi" w:cstheme="minorHAnsi"/>
          <w:sz w:val="22"/>
          <w:szCs w:val="22"/>
        </w:rPr>
      </w:pPr>
    </w:p>
    <w:p w14:paraId="28A75437"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Los precios del petróleo se vieron favorecidos por la caída del dólar a mínimos cercanos a nueve (9) meses, después de la publicación de datos que mostraron que la inflación estadounidense bajó por primera vez en dos años y medio, reforzando las expectativas de que la Reserva Federal disminuirá el ritmo de subidas de las tasas de interés.</w:t>
      </w:r>
    </w:p>
    <w:p w14:paraId="365679A7" w14:textId="77777777" w:rsidR="00A55594" w:rsidRPr="003908FE" w:rsidRDefault="00A55594" w:rsidP="00A55594">
      <w:pPr>
        <w:pStyle w:val="Prrafodelista"/>
        <w:ind w:left="426"/>
        <w:jc w:val="both"/>
        <w:rPr>
          <w:rFonts w:asciiTheme="minorHAnsi" w:hAnsiTheme="minorHAnsi" w:cstheme="minorHAnsi"/>
          <w:sz w:val="22"/>
          <w:szCs w:val="22"/>
        </w:rPr>
      </w:pPr>
    </w:p>
    <w:p w14:paraId="2E85D3EF"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Por otro lado, los inversores del mercado se encuentran a la espera de los informes mensuales de la OPEP y la AIE, los cuales siguen de cerca para conocer las perspectivas de la oferta y la demanda mundiales.</w:t>
      </w:r>
    </w:p>
    <w:p w14:paraId="5F20509D" w14:textId="77777777" w:rsidR="00A55594" w:rsidRPr="003908FE" w:rsidRDefault="00A55594" w:rsidP="00A55594">
      <w:pPr>
        <w:pStyle w:val="Prrafodelista"/>
        <w:ind w:left="426"/>
        <w:jc w:val="both"/>
        <w:rPr>
          <w:rFonts w:asciiTheme="minorHAnsi" w:hAnsiTheme="minorHAnsi" w:cstheme="minorHAnsi"/>
          <w:sz w:val="22"/>
          <w:szCs w:val="22"/>
        </w:rPr>
      </w:pPr>
    </w:p>
    <w:p w14:paraId="75C17A3D" w14:textId="77777777" w:rsidR="00A55594" w:rsidRPr="003908FE" w:rsidRDefault="00A55594" w:rsidP="00A55594">
      <w:pPr>
        <w:pStyle w:val="Prrafodelista"/>
        <w:ind w:left="426"/>
        <w:jc w:val="both"/>
        <w:rPr>
          <w:rFonts w:asciiTheme="minorHAnsi" w:hAnsiTheme="minorHAnsi" w:cstheme="minorHAnsi"/>
          <w:bCs/>
          <w:sz w:val="22"/>
          <w:szCs w:val="22"/>
        </w:rPr>
      </w:pPr>
      <w:r w:rsidRPr="003908FE">
        <w:rPr>
          <w:rFonts w:asciiTheme="minorHAnsi" w:hAnsiTheme="minorHAnsi" w:cstheme="minorHAnsi"/>
          <w:sz w:val="22"/>
          <w:szCs w:val="22"/>
        </w:rPr>
        <w:t xml:space="preserve">El mercado sigue atento a las </w:t>
      </w:r>
      <w:r w:rsidRPr="003908FE">
        <w:rPr>
          <w:rFonts w:asciiTheme="minorHAnsi" w:hAnsiTheme="minorHAnsi" w:cstheme="minorHAnsi"/>
          <w:bCs/>
          <w:sz w:val="22"/>
          <w:szCs w:val="22"/>
        </w:rPr>
        <w:t>perspectivas económicas en China, Europa y Estados Unidos; y también se prepara para un recorte adicional del suministro ruso debido a las sanciones por su invasión a Ucrania.</w:t>
      </w:r>
    </w:p>
    <w:p w14:paraId="1A7B62E2"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bCs/>
          <w:sz w:val="22"/>
          <w:szCs w:val="22"/>
        </w:rPr>
        <w:br/>
      </w:r>
      <w:r w:rsidRPr="003908FE">
        <w:rPr>
          <w:rFonts w:asciiTheme="minorHAnsi" w:hAnsiTheme="minorHAnsi" w:cstheme="minorHAnsi"/>
          <w:sz w:val="22"/>
          <w:szCs w:val="22"/>
        </w:rPr>
        <w:t>La Administración de Información de Energía de Estados Unidos dijo que la próxima prohibición de la UE sobre las importaciones marítimas de productos derivados del petróleo procedentes de Rusia el 5 de febrero del 2023, podría ser más perjudicial que la prohibición de la UE sobre las importaciones marítimas de petróleo crudo procedente de Rusia aplicada en diciembre de 2022.</w:t>
      </w:r>
    </w:p>
    <w:p w14:paraId="0A8D4129" w14:textId="77777777" w:rsidR="00A55594" w:rsidRPr="003908FE" w:rsidRDefault="00A55594" w:rsidP="00A55594">
      <w:pPr>
        <w:pStyle w:val="Prrafodelista"/>
        <w:ind w:left="426"/>
        <w:jc w:val="both"/>
        <w:rPr>
          <w:rFonts w:asciiTheme="minorHAnsi" w:hAnsiTheme="minorHAnsi" w:cstheme="minorHAnsi"/>
          <w:sz w:val="22"/>
          <w:szCs w:val="22"/>
        </w:rPr>
      </w:pPr>
    </w:p>
    <w:p w14:paraId="68097931" w14:textId="77777777" w:rsidR="00A55594" w:rsidRPr="003908FE" w:rsidRDefault="00A55594" w:rsidP="00A55594">
      <w:pPr>
        <w:pStyle w:val="Prrafodelista"/>
        <w:ind w:left="426"/>
        <w:jc w:val="both"/>
        <w:rPr>
          <w:rFonts w:asciiTheme="minorHAnsi" w:hAnsiTheme="minorHAnsi" w:cstheme="minorHAnsi"/>
          <w:sz w:val="22"/>
          <w:szCs w:val="22"/>
        </w:rPr>
      </w:pPr>
      <w:r w:rsidRPr="003908FE">
        <w:rPr>
          <w:rFonts w:asciiTheme="minorHAnsi" w:hAnsiTheme="minorHAnsi" w:cstheme="minorHAnsi"/>
          <w:sz w:val="22"/>
          <w:szCs w:val="22"/>
        </w:rPr>
        <w:t>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4E7B2896" w14:textId="77777777" w:rsidR="00A55594" w:rsidRPr="003908FE" w:rsidRDefault="00A55594" w:rsidP="00A55594">
      <w:pPr>
        <w:ind w:left="426"/>
        <w:jc w:val="both"/>
        <w:rPr>
          <w:rFonts w:asciiTheme="minorHAnsi" w:hAnsiTheme="minorHAnsi" w:cstheme="minorHAnsi"/>
          <w:sz w:val="22"/>
          <w:szCs w:val="22"/>
        </w:rPr>
      </w:pPr>
    </w:p>
    <w:p w14:paraId="65D0EFE3" w14:textId="77777777" w:rsidR="00A55594" w:rsidRPr="003908FE" w:rsidRDefault="00A55594" w:rsidP="00A55594">
      <w:pPr>
        <w:ind w:left="426"/>
        <w:jc w:val="both"/>
        <w:rPr>
          <w:rFonts w:asciiTheme="minorHAnsi" w:hAnsiTheme="minorHAnsi" w:cstheme="minorHAnsi"/>
          <w:sz w:val="22"/>
          <w:szCs w:val="22"/>
        </w:rPr>
      </w:pPr>
    </w:p>
    <w:p w14:paraId="1B8FB8CD" w14:textId="77777777" w:rsidR="00A55594" w:rsidRPr="003908FE" w:rsidRDefault="00A55594" w:rsidP="00A55594">
      <w:pPr>
        <w:pStyle w:val="Prrafodelista"/>
        <w:numPr>
          <w:ilvl w:val="0"/>
          <w:numId w:val="13"/>
        </w:numPr>
        <w:ind w:left="426"/>
        <w:contextualSpacing/>
        <w:jc w:val="both"/>
        <w:rPr>
          <w:rFonts w:asciiTheme="minorHAnsi" w:hAnsiTheme="minorHAnsi" w:cstheme="minorHAnsi"/>
          <w:b/>
          <w:sz w:val="22"/>
          <w:szCs w:val="22"/>
        </w:rPr>
      </w:pPr>
      <w:r w:rsidRPr="003908FE">
        <w:rPr>
          <w:rFonts w:asciiTheme="minorHAnsi" w:hAnsiTheme="minorHAnsi" w:cstheme="minorHAnsi"/>
          <w:b/>
          <w:sz w:val="22"/>
          <w:szCs w:val="22"/>
        </w:rPr>
        <w:t>La decisión de la OPEP de mantener el compromiso de reducir su objetivo de producción en 2 millones de barriles diarios, a partir de noviembre 2022 hasta finales de 2023 (según lo acordado en su reunión del 5 de octubre, en Viena)</w:t>
      </w:r>
    </w:p>
    <w:p w14:paraId="73B14213" w14:textId="77777777" w:rsidR="00A55594" w:rsidRPr="003908FE" w:rsidRDefault="00A55594" w:rsidP="00A55594">
      <w:pPr>
        <w:pStyle w:val="Prrafodelista"/>
        <w:ind w:left="426"/>
        <w:jc w:val="both"/>
        <w:rPr>
          <w:rFonts w:asciiTheme="minorHAnsi" w:hAnsiTheme="minorHAnsi" w:cstheme="minorHAnsi"/>
          <w:b/>
          <w:sz w:val="22"/>
          <w:szCs w:val="22"/>
        </w:rPr>
      </w:pPr>
      <w:r w:rsidRPr="003908FE">
        <w:rPr>
          <w:rFonts w:asciiTheme="minorHAnsi" w:hAnsiTheme="minorHAnsi" w:cstheme="minorHAnsi"/>
          <w:b/>
          <w:sz w:val="22"/>
          <w:szCs w:val="22"/>
        </w:rPr>
        <w:t xml:space="preserve"> </w:t>
      </w:r>
    </w:p>
    <w:p w14:paraId="7240B62E" w14:textId="77777777" w:rsidR="00A55594" w:rsidRPr="003908FE" w:rsidRDefault="00A55594" w:rsidP="00A55594">
      <w:pPr>
        <w:ind w:left="426"/>
        <w:jc w:val="both"/>
        <w:rPr>
          <w:rFonts w:asciiTheme="minorHAnsi" w:hAnsiTheme="minorHAnsi" w:cstheme="minorHAnsi"/>
          <w:sz w:val="22"/>
          <w:szCs w:val="22"/>
        </w:rPr>
      </w:pPr>
      <w:r w:rsidRPr="003908FE">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w:t>
      </w:r>
    </w:p>
    <w:p w14:paraId="3799F67A" w14:textId="77777777" w:rsidR="00A55594" w:rsidRPr="003908FE" w:rsidRDefault="00A55594" w:rsidP="00A55594">
      <w:pPr>
        <w:ind w:left="426"/>
        <w:jc w:val="both"/>
        <w:rPr>
          <w:rFonts w:asciiTheme="minorHAnsi" w:hAnsiTheme="minorHAnsi" w:cstheme="minorHAnsi"/>
          <w:sz w:val="22"/>
          <w:szCs w:val="22"/>
        </w:rPr>
      </w:pPr>
    </w:p>
    <w:p w14:paraId="28917239" w14:textId="77777777" w:rsidR="00A55594" w:rsidRPr="003908FE" w:rsidRDefault="00A55594" w:rsidP="00A55594">
      <w:pPr>
        <w:ind w:left="426"/>
        <w:jc w:val="both"/>
        <w:rPr>
          <w:rFonts w:asciiTheme="minorHAnsi" w:hAnsiTheme="minorHAnsi" w:cstheme="minorHAnsi"/>
          <w:sz w:val="22"/>
          <w:szCs w:val="22"/>
        </w:rPr>
      </w:pPr>
      <w:r w:rsidRPr="003908FE">
        <w:rPr>
          <w:rFonts w:asciiTheme="minorHAnsi" w:hAnsiTheme="minorHAnsi" w:cstheme="minorHAnsi"/>
          <w:sz w:val="22"/>
          <w:szCs w:val="22"/>
        </w:rPr>
        <w:t xml:space="preserve">El próximo año, la OPEP podría revisar la producción en función de los nuevos datos sobre las tendencias de la demanda china, el cumplimiento de los límites de precios de la producción de crudo de Rusia y el flujo de los petroleros. Según un estudio de Reuters, la producción de la OPEP cayó en octubre 2022, registrando un nivel de 29,71 millones de barriles por día (bpd), lo que representa un descenso de 20 mil bpd respecto a setiembre, </w:t>
      </w:r>
      <w:r w:rsidRPr="003908FE">
        <w:rPr>
          <w:rFonts w:asciiTheme="minorHAnsi" w:hAnsiTheme="minorHAnsi" w:cstheme="minorHAnsi"/>
          <w:sz w:val="22"/>
          <w:szCs w:val="22"/>
        </w:rPr>
        <w:lastRenderedPageBreak/>
        <w:t>que fue la mayor producción desde abril de 2020. La OPEP produjo 1,36 millones de bpd por debajo de los objetivos para octubre.</w:t>
      </w:r>
    </w:p>
    <w:p w14:paraId="6ED7CE9E" w14:textId="77777777" w:rsidR="00A55594" w:rsidRPr="003908FE" w:rsidRDefault="00A55594" w:rsidP="00A55594">
      <w:pPr>
        <w:ind w:left="426"/>
        <w:jc w:val="both"/>
        <w:rPr>
          <w:rFonts w:asciiTheme="minorHAnsi" w:hAnsiTheme="minorHAnsi" w:cstheme="minorHAnsi"/>
          <w:sz w:val="22"/>
          <w:szCs w:val="22"/>
        </w:rPr>
      </w:pPr>
    </w:p>
    <w:p w14:paraId="121A24BF" w14:textId="681E8266" w:rsidR="00AD6299" w:rsidRDefault="00A55594" w:rsidP="00A55594">
      <w:pPr>
        <w:ind w:left="426"/>
        <w:jc w:val="both"/>
        <w:rPr>
          <w:rFonts w:asciiTheme="minorHAnsi" w:hAnsiTheme="minorHAnsi" w:cstheme="minorHAnsi"/>
          <w:sz w:val="22"/>
          <w:szCs w:val="22"/>
        </w:rPr>
      </w:pPr>
      <w:r w:rsidRPr="003908FE">
        <w:rPr>
          <w:rFonts w:asciiTheme="minorHAnsi" w:hAnsiTheme="minorHAnsi" w:cstheme="minorHAnsi"/>
          <w:sz w:val="22"/>
          <w:szCs w:val="22"/>
        </w:rPr>
        <w:t>Los principales ministros de la OPEP se reunirán el 1 de febrero del 2023 en un comité de seguimiento, mientras que la reunión plenaria está prevista para los días 3 y 4 de junio 2023</w:t>
      </w:r>
      <w:r w:rsidR="00973DE9" w:rsidRPr="00293AFA">
        <w:rPr>
          <w:rFonts w:asciiTheme="minorHAnsi" w:hAnsiTheme="minorHAnsi" w:cstheme="minorHAnsi"/>
          <w:sz w:val="22"/>
          <w:szCs w:val="22"/>
        </w:rPr>
        <w:t>.</w:t>
      </w:r>
    </w:p>
    <w:p w14:paraId="2369B158" w14:textId="77777777" w:rsidR="00973DE9" w:rsidRPr="00AD6299" w:rsidRDefault="00973DE9" w:rsidP="00973DE9">
      <w:pPr>
        <w:ind w:left="426"/>
        <w:jc w:val="both"/>
        <w:rPr>
          <w:rFonts w:asciiTheme="minorHAnsi" w:hAnsiTheme="minorHAnsi" w:cstheme="minorHAnsi"/>
          <w:sz w:val="22"/>
          <w:szCs w:val="22"/>
        </w:rPr>
      </w:pP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7D9F64E8" w14:textId="7FDA62E6" w:rsidR="009B7FF3" w:rsidRDefault="009F0937"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9C0925">
        <w:rPr>
          <w:rFonts w:asciiTheme="minorHAnsi" w:hAnsiTheme="minorHAnsi" w:cstheme="minorHAnsi"/>
          <w:sz w:val="22"/>
          <w:szCs w:val="22"/>
        </w:rPr>
        <w:t>Mediante Resolución N° 074-2022-OS/GRT, se fijaron la</w:t>
      </w:r>
      <w:r w:rsidR="00952F32">
        <w:rPr>
          <w:rFonts w:asciiTheme="minorHAnsi" w:hAnsiTheme="minorHAnsi" w:cstheme="minorHAnsi"/>
          <w:sz w:val="22"/>
          <w:szCs w:val="22"/>
        </w:rPr>
        <w:t>s</w:t>
      </w:r>
      <w:r w:rsidRPr="009C0925">
        <w:rPr>
          <w:rFonts w:asciiTheme="minorHAnsi" w:hAnsiTheme="minorHAnsi" w:cstheme="minorHAnsi"/>
          <w:sz w:val="22"/>
          <w:szCs w:val="22"/>
        </w:rPr>
        <w:t xml:space="preserve"> Bandas de Precios y los Márgenes Comerciales para</w:t>
      </w:r>
      <w:r w:rsidR="0079038D" w:rsidRPr="009C0925">
        <w:rPr>
          <w:rFonts w:asciiTheme="minorHAnsi" w:hAnsiTheme="minorHAnsi" w:cstheme="minorHAnsi"/>
          <w:sz w:val="22"/>
          <w:szCs w:val="22"/>
        </w:rPr>
        <w:t xml:space="preserve"> el Diésel B5 destinado al uso vehicular</w:t>
      </w:r>
      <w:r w:rsidR="00A526AB">
        <w:rPr>
          <w:rFonts w:asciiTheme="minorHAnsi" w:hAnsiTheme="minorHAnsi" w:cstheme="minorHAnsi"/>
          <w:sz w:val="22"/>
          <w:szCs w:val="22"/>
        </w:rPr>
        <w:t xml:space="preserve"> y</w:t>
      </w:r>
      <w:r w:rsidRPr="009C0925">
        <w:rPr>
          <w:rFonts w:asciiTheme="minorHAnsi" w:hAnsiTheme="minorHAnsi" w:cstheme="minorHAnsi"/>
          <w:sz w:val="22"/>
          <w:szCs w:val="22"/>
        </w:rPr>
        <w:t xml:space="preserve"> el Gas Licuado de Petróleo destinado para envasado (GLP-E)</w:t>
      </w:r>
      <w:r w:rsidR="009C0925" w:rsidRPr="009C0925">
        <w:rPr>
          <w:rFonts w:asciiTheme="minorHAnsi" w:hAnsiTheme="minorHAnsi" w:cstheme="minorHAnsi"/>
          <w:sz w:val="22"/>
          <w:szCs w:val="22"/>
        </w:rPr>
        <w:t xml:space="preserve"> con vigencia desde el 30 de diciembre hasta el jueves 26 de enero de 2023. De igual modo, se fijaron las Bandas de Precios y los Márgenes Comerciales del </w:t>
      </w:r>
      <w:r w:rsidR="009B7FF3">
        <w:rPr>
          <w:rFonts w:asciiTheme="minorHAnsi" w:hAnsiTheme="minorHAnsi" w:cstheme="minorHAnsi"/>
          <w:sz w:val="22"/>
          <w:szCs w:val="22"/>
        </w:rPr>
        <w:t>Petróleo Industrial N°6 utilizado en actividades de generación eléctrica en sistemas eléctricos Aislados, con vigencia a partir del 30 de diciembre de 2022 hasta el 23 de febrero de 2023.</w:t>
      </w:r>
    </w:p>
    <w:p w14:paraId="78111B58" w14:textId="77777777" w:rsidR="009B7FF3" w:rsidRDefault="009B7FF3" w:rsidP="009B7FF3">
      <w:pPr>
        <w:pStyle w:val="Textonotapie"/>
        <w:tabs>
          <w:tab w:val="left" w:pos="709"/>
        </w:tabs>
        <w:spacing w:before="0" w:after="0"/>
        <w:ind w:left="568"/>
        <w:rPr>
          <w:rFonts w:asciiTheme="minorHAnsi" w:hAnsiTheme="minorHAnsi" w:cstheme="minorHAnsi"/>
          <w:sz w:val="22"/>
          <w:szCs w:val="22"/>
        </w:rPr>
      </w:pPr>
    </w:p>
    <w:p w14:paraId="1C07F695" w14:textId="0549FD21" w:rsidR="009F0937" w:rsidRDefault="009B7FF3"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lastRenderedPageBreak/>
        <w:t xml:space="preserve">Mediante Resolución N”074-2022-OS/GRT, se fijaron también las Bandas de Precios y los Márgenes Comerciales para el </w:t>
      </w:r>
      <w:r w:rsidR="009F0937" w:rsidRPr="009C0925">
        <w:rPr>
          <w:rFonts w:asciiTheme="minorHAnsi" w:hAnsiTheme="minorHAnsi" w:cstheme="minorHAnsi"/>
          <w:sz w:val="22"/>
          <w:szCs w:val="22"/>
        </w:rPr>
        <w:t xml:space="preserve">Gasohol de 84 octanos y Gasolinas de 84 y 90 octanos, con vigencia </w:t>
      </w:r>
      <w:r w:rsidR="00581797">
        <w:rPr>
          <w:rFonts w:asciiTheme="minorHAnsi" w:hAnsiTheme="minorHAnsi" w:cstheme="minorHAnsi"/>
          <w:sz w:val="22"/>
          <w:szCs w:val="22"/>
        </w:rPr>
        <w:t>a partir d</w:t>
      </w:r>
      <w:r w:rsidR="009F0937" w:rsidRPr="009C0925">
        <w:rPr>
          <w:rFonts w:asciiTheme="minorHAnsi" w:hAnsiTheme="minorHAnsi" w:cstheme="minorHAnsi"/>
          <w:sz w:val="22"/>
          <w:szCs w:val="22"/>
        </w:rPr>
        <w:t xml:space="preserve">el 30 de diciembre hasta el </w:t>
      </w:r>
      <w:r w:rsidR="00973DE9">
        <w:rPr>
          <w:rFonts w:asciiTheme="minorHAnsi" w:hAnsiTheme="minorHAnsi" w:cstheme="minorHAnsi"/>
          <w:sz w:val="22"/>
          <w:szCs w:val="22"/>
        </w:rPr>
        <w:t>26</w:t>
      </w:r>
      <w:r w:rsidR="00DF0A5C" w:rsidRPr="009C0925">
        <w:rPr>
          <w:rFonts w:asciiTheme="minorHAnsi" w:hAnsiTheme="minorHAnsi" w:cstheme="minorHAnsi"/>
          <w:sz w:val="22"/>
          <w:szCs w:val="22"/>
        </w:rPr>
        <w:t xml:space="preserve"> </w:t>
      </w:r>
      <w:r w:rsidR="00973DE9">
        <w:rPr>
          <w:rFonts w:asciiTheme="minorHAnsi" w:hAnsiTheme="minorHAnsi" w:cstheme="minorHAnsi"/>
          <w:sz w:val="22"/>
          <w:szCs w:val="22"/>
        </w:rPr>
        <w:t>enero</w:t>
      </w:r>
      <w:r w:rsidR="00A526AB">
        <w:rPr>
          <w:rFonts w:asciiTheme="minorHAnsi" w:hAnsiTheme="minorHAnsi" w:cstheme="minorHAnsi"/>
          <w:sz w:val="22"/>
          <w:szCs w:val="22"/>
        </w:rPr>
        <w:t xml:space="preserve"> </w:t>
      </w:r>
      <w:r w:rsidR="009F0937" w:rsidRPr="009C0925">
        <w:rPr>
          <w:rFonts w:asciiTheme="minorHAnsi" w:hAnsiTheme="minorHAnsi" w:cstheme="minorHAnsi"/>
          <w:sz w:val="22"/>
          <w:szCs w:val="22"/>
        </w:rPr>
        <w:t>de 202</w:t>
      </w:r>
      <w:r w:rsidR="00973DE9">
        <w:rPr>
          <w:rFonts w:asciiTheme="minorHAnsi" w:hAnsiTheme="minorHAnsi" w:cstheme="minorHAnsi"/>
          <w:sz w:val="22"/>
          <w:szCs w:val="22"/>
        </w:rPr>
        <w:t>3</w:t>
      </w:r>
      <w:r w:rsidR="009F0937" w:rsidRPr="009C0925">
        <w:rPr>
          <w:rFonts w:asciiTheme="minorHAnsi" w:hAnsiTheme="minorHAnsi" w:cstheme="minorHAnsi"/>
          <w:sz w:val="22"/>
          <w:szCs w:val="22"/>
        </w:rPr>
        <w:t xml:space="preserve">. </w:t>
      </w:r>
      <w:r>
        <w:rPr>
          <w:rFonts w:asciiTheme="minorHAnsi" w:hAnsiTheme="minorHAnsi" w:cstheme="minorHAnsi"/>
          <w:sz w:val="22"/>
          <w:szCs w:val="22"/>
        </w:rPr>
        <w:t xml:space="preserve">De igual manera, se fijaron la Banda de Precios y el Margen Comercial para el </w:t>
      </w:r>
      <w:r w:rsidRPr="009C0925">
        <w:rPr>
          <w:rFonts w:asciiTheme="minorHAnsi" w:hAnsiTheme="minorHAnsi" w:cstheme="minorHAnsi"/>
          <w:sz w:val="22"/>
          <w:szCs w:val="22"/>
        </w:rPr>
        <w:t>Gas Licuado de Petr</w:t>
      </w:r>
      <w:r>
        <w:rPr>
          <w:rFonts w:asciiTheme="minorHAnsi" w:hAnsiTheme="minorHAnsi" w:cstheme="minorHAnsi"/>
          <w:sz w:val="22"/>
          <w:szCs w:val="22"/>
        </w:rPr>
        <w:t>óleo destinado a granel (GLP-G), vigentes a partir del 30 hasta el 31 de diciembre de 2022.</w:t>
      </w:r>
    </w:p>
    <w:p w14:paraId="17A7766C" w14:textId="77777777" w:rsidR="009B7FF3" w:rsidRDefault="009B7FF3" w:rsidP="009B7FF3">
      <w:pPr>
        <w:pStyle w:val="Prrafodelista"/>
        <w:rPr>
          <w:rFonts w:asciiTheme="minorHAnsi" w:hAnsiTheme="minorHAnsi" w:cstheme="minorHAnsi"/>
          <w:sz w:val="22"/>
          <w:szCs w:val="22"/>
        </w:rPr>
      </w:pPr>
    </w:p>
    <w:p w14:paraId="68FDC5B0" w14:textId="2DD851EF" w:rsidR="009B7FF3" w:rsidRPr="00562D12" w:rsidRDefault="009B7FF3" w:rsidP="009B7FF3">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01AC6900" w14:textId="77777777" w:rsidR="009B7FF3" w:rsidRDefault="009B7FF3" w:rsidP="009B7FF3">
      <w:pPr>
        <w:pStyle w:val="Prrafodelista"/>
        <w:rPr>
          <w:rFonts w:asciiTheme="minorHAnsi" w:hAnsiTheme="minorHAnsi" w:cstheme="minorHAnsi"/>
          <w:sz w:val="22"/>
          <w:szCs w:val="22"/>
        </w:rPr>
      </w:pPr>
    </w:p>
    <w:p w14:paraId="4FCB7D8B" w14:textId="508198AC" w:rsidR="009B7FF3" w:rsidRPr="00D16D5A" w:rsidRDefault="009B7FF3" w:rsidP="00A86A30">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D16D5A">
        <w:rPr>
          <w:rFonts w:asciiTheme="minorHAnsi" w:hAnsiTheme="minorHAnsi" w:cstheme="minorHAnsi"/>
          <w:sz w:val="22"/>
          <w:szCs w:val="22"/>
        </w:rPr>
        <w:t xml:space="preserve">Mediante Resolución N”001-2023-OS/GRT, se precisó </w:t>
      </w:r>
      <w:r w:rsidR="00D16D5A" w:rsidRPr="00D16D5A">
        <w:rPr>
          <w:rFonts w:asciiTheme="minorHAnsi" w:hAnsiTheme="minorHAnsi" w:cstheme="minorHAnsi"/>
          <w:sz w:val="22"/>
          <w:szCs w:val="22"/>
        </w:rPr>
        <w:t>que la vigencia de la Banda de Precios</w:t>
      </w:r>
      <w:r w:rsidR="00D16D5A">
        <w:rPr>
          <w:rFonts w:asciiTheme="minorHAnsi" w:hAnsiTheme="minorHAnsi" w:cstheme="minorHAnsi"/>
          <w:sz w:val="22"/>
          <w:szCs w:val="22"/>
        </w:rPr>
        <w:t xml:space="preserve"> y el Margen Comercial </w:t>
      </w:r>
      <w:r w:rsidR="00D16D5A" w:rsidRPr="00D16D5A">
        <w:rPr>
          <w:rFonts w:asciiTheme="minorHAnsi" w:hAnsiTheme="minorHAnsi" w:cstheme="minorHAnsi"/>
          <w:sz w:val="22"/>
          <w:szCs w:val="22"/>
        </w:rPr>
        <w:t>para el Gas Licuado de Petróleo destinado a granel (GLP-G) aprobada con Resolución N”074-2022-OS/GRT, se encuentra vigente desde el 30 de diciembre de 2022 hasta el jueves 26 de enero de 2023.</w:t>
      </w:r>
    </w:p>
    <w:p w14:paraId="394E0522" w14:textId="77777777" w:rsidR="00162126" w:rsidRDefault="00162126" w:rsidP="00162126">
      <w:pPr>
        <w:pStyle w:val="Prrafodelista"/>
        <w:rPr>
          <w:rFonts w:asciiTheme="minorHAnsi" w:hAnsiTheme="minorHAnsi" w:cstheme="minorHAnsi"/>
          <w:sz w:val="22"/>
          <w:szCs w:val="22"/>
        </w:rPr>
      </w:pPr>
    </w:p>
    <w:p w14:paraId="338DB08E" w14:textId="0F0491B1"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sidR="00DE6DC9">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sidR="00C26397">
        <w:rPr>
          <w:rFonts w:asciiTheme="minorHAnsi" w:hAnsiTheme="minorHAnsi" w:cstheme="minorHAnsi"/>
          <w:sz w:val="22"/>
          <w:szCs w:val="22"/>
        </w:rPr>
        <w:t>7</w:t>
      </w:r>
      <w:r w:rsidR="00607284">
        <w:rPr>
          <w:rFonts w:asciiTheme="minorHAnsi" w:hAnsiTheme="minorHAnsi" w:cstheme="minorHAnsi"/>
          <w:sz w:val="22"/>
          <w:szCs w:val="22"/>
        </w:rPr>
        <w:t>4</w:t>
      </w:r>
      <w:r w:rsidRPr="00300844">
        <w:rPr>
          <w:rFonts w:asciiTheme="minorHAnsi" w:hAnsiTheme="minorHAnsi" w:cstheme="minorHAnsi"/>
          <w:sz w:val="22"/>
          <w:szCs w:val="22"/>
        </w:rPr>
        <w:t xml:space="preserve">-2022-OS/GRT, el MINEM publicó los Factores de Aportación y/o Compensación vigentes desde el </w:t>
      </w:r>
      <w:r w:rsidR="00D16D5A">
        <w:rPr>
          <w:rFonts w:asciiTheme="minorHAnsi" w:hAnsiTheme="minorHAnsi" w:cstheme="minorHAnsi"/>
          <w:sz w:val="22"/>
          <w:szCs w:val="22"/>
        </w:rPr>
        <w:t>martes</w:t>
      </w:r>
      <w:r w:rsidRPr="00300844">
        <w:rPr>
          <w:rFonts w:asciiTheme="minorHAnsi" w:hAnsiTheme="minorHAnsi" w:cstheme="minorHAnsi"/>
          <w:sz w:val="22"/>
          <w:szCs w:val="22"/>
        </w:rPr>
        <w:t xml:space="preserve"> </w:t>
      </w:r>
      <w:r w:rsidR="00A55594">
        <w:rPr>
          <w:rFonts w:asciiTheme="minorHAnsi" w:hAnsiTheme="minorHAnsi" w:cstheme="minorHAnsi"/>
          <w:sz w:val="22"/>
          <w:szCs w:val="22"/>
        </w:rPr>
        <w:t>10</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al </w:t>
      </w:r>
      <w:r w:rsidR="00D16D5A">
        <w:rPr>
          <w:rFonts w:asciiTheme="minorHAnsi" w:hAnsiTheme="minorHAnsi" w:cstheme="minorHAnsi"/>
          <w:sz w:val="22"/>
          <w:szCs w:val="22"/>
        </w:rPr>
        <w:t>lunes</w:t>
      </w:r>
      <w:r w:rsidR="00C26397">
        <w:rPr>
          <w:rFonts w:asciiTheme="minorHAnsi" w:hAnsiTheme="minorHAnsi" w:cstheme="minorHAnsi"/>
          <w:sz w:val="22"/>
          <w:szCs w:val="22"/>
        </w:rPr>
        <w:t xml:space="preserve"> </w:t>
      </w:r>
      <w:r w:rsidR="00A55594">
        <w:rPr>
          <w:rFonts w:asciiTheme="minorHAnsi" w:hAnsiTheme="minorHAnsi" w:cstheme="minorHAnsi"/>
          <w:sz w:val="22"/>
          <w:szCs w:val="22"/>
        </w:rPr>
        <w:t>16</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de </w:t>
      </w:r>
      <w:r w:rsidR="00D16D5A">
        <w:rPr>
          <w:rFonts w:asciiTheme="minorHAnsi" w:hAnsiTheme="minorHAnsi" w:cstheme="minorHAnsi"/>
          <w:sz w:val="22"/>
          <w:szCs w:val="22"/>
        </w:rPr>
        <w:t xml:space="preserve">enero </w:t>
      </w:r>
      <w:r w:rsidRPr="00300844">
        <w:rPr>
          <w:rFonts w:asciiTheme="minorHAnsi" w:hAnsiTheme="minorHAnsi" w:cstheme="minorHAnsi"/>
          <w:sz w:val="22"/>
          <w:szCs w:val="22"/>
        </w:rPr>
        <w:t>de 202</w:t>
      </w:r>
      <w:r w:rsidR="00D16D5A">
        <w:rPr>
          <w:rFonts w:asciiTheme="minorHAnsi" w:hAnsiTheme="minorHAnsi" w:cstheme="minorHAnsi"/>
          <w:sz w:val="22"/>
          <w:szCs w:val="22"/>
        </w:rPr>
        <w:t>3</w:t>
      </w:r>
      <w:r w:rsidRPr="00300844">
        <w:rPr>
          <w:rFonts w:asciiTheme="minorHAnsi" w:hAnsiTheme="minorHAnsi" w:cstheme="minorHAnsi"/>
          <w:sz w:val="22"/>
          <w:szCs w:val="22"/>
        </w:rPr>
        <w:t>.</w:t>
      </w:r>
    </w:p>
    <w:p w14:paraId="77B43F27" w14:textId="77777777" w:rsidR="00300844" w:rsidRDefault="00300844" w:rsidP="00300844">
      <w:pPr>
        <w:pStyle w:val="Prrafodelista"/>
        <w:rPr>
          <w:rFonts w:asciiTheme="minorHAnsi" w:hAnsiTheme="minorHAnsi" w:cstheme="minorHAnsi"/>
          <w:sz w:val="22"/>
          <w:szCs w:val="22"/>
        </w:rPr>
      </w:pPr>
    </w:p>
    <w:p w14:paraId="54E8C854" w14:textId="06A37FC7" w:rsidR="00D16D5A" w:rsidRPr="00232A32" w:rsidRDefault="00A55594" w:rsidP="00D16D5A">
      <w:pPr>
        <w:pStyle w:val="Sangradetextonormal"/>
        <w:numPr>
          <w:ilvl w:val="0"/>
          <w:numId w:val="16"/>
        </w:numPr>
        <w:ind w:left="568" w:hanging="426"/>
        <w:rPr>
          <w:rFonts w:asciiTheme="minorHAnsi" w:hAnsiTheme="minorHAnsi" w:cstheme="minorHAnsi"/>
          <w:sz w:val="22"/>
          <w:szCs w:val="22"/>
        </w:rPr>
      </w:pPr>
      <w:r w:rsidRPr="00232A32">
        <w:rPr>
          <w:rFonts w:asciiTheme="minorHAnsi" w:hAnsiTheme="minorHAnsi" w:cstheme="minorHAnsi"/>
          <w:sz w:val="22"/>
          <w:szCs w:val="22"/>
        </w:rPr>
        <w:t xml:space="preserve">El día </w:t>
      </w:r>
      <w:r>
        <w:rPr>
          <w:rFonts w:asciiTheme="minorHAnsi" w:hAnsiTheme="minorHAnsi" w:cstheme="minorHAnsi"/>
          <w:sz w:val="22"/>
          <w:szCs w:val="22"/>
        </w:rPr>
        <w:t>12</w:t>
      </w:r>
      <w:r w:rsidRPr="00232A32">
        <w:rPr>
          <w:rFonts w:asciiTheme="minorHAnsi" w:hAnsiTheme="minorHAnsi" w:cstheme="minorHAnsi"/>
          <w:sz w:val="22"/>
          <w:szCs w:val="22"/>
        </w:rPr>
        <w:t>.</w:t>
      </w:r>
      <w:r>
        <w:rPr>
          <w:rFonts w:asciiTheme="minorHAnsi" w:hAnsiTheme="minorHAnsi" w:cstheme="minorHAnsi"/>
          <w:sz w:val="22"/>
          <w:szCs w:val="22"/>
        </w:rPr>
        <w:t>01</w:t>
      </w:r>
      <w:r w:rsidRPr="00232A32">
        <w:rPr>
          <w:rFonts w:asciiTheme="minorHAnsi" w:hAnsiTheme="minorHAnsi" w:cstheme="minorHAnsi"/>
          <w:sz w:val="22"/>
          <w:szCs w:val="22"/>
        </w:rPr>
        <w:t>.202</w:t>
      </w:r>
      <w:r>
        <w:rPr>
          <w:rFonts w:asciiTheme="minorHAnsi" w:hAnsiTheme="minorHAnsi" w:cstheme="minorHAnsi"/>
          <w:sz w:val="22"/>
          <w:szCs w:val="22"/>
        </w:rPr>
        <w:t>3</w:t>
      </w:r>
      <w:r w:rsidRPr="00232A32">
        <w:rPr>
          <w:rFonts w:asciiTheme="minorHAnsi" w:hAnsiTheme="minorHAnsi" w:cstheme="minorHAnsi"/>
          <w:sz w:val="22"/>
          <w:szCs w:val="22"/>
        </w:rPr>
        <w:t>, PETROPERÚ publicó su lista de precios de venta de combustibles. Se registraron variaciones en los precios de las gasolinas de 97 (+0.</w:t>
      </w:r>
      <w:r>
        <w:rPr>
          <w:rFonts w:asciiTheme="minorHAnsi" w:hAnsiTheme="minorHAnsi" w:cstheme="minorHAnsi"/>
          <w:sz w:val="22"/>
          <w:szCs w:val="22"/>
        </w:rPr>
        <w:t>17</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 (+0.</w:t>
      </w:r>
      <w:r>
        <w:rPr>
          <w:rFonts w:asciiTheme="minorHAnsi" w:hAnsiTheme="minorHAnsi" w:cstheme="minorHAnsi"/>
          <w:sz w:val="22"/>
          <w:szCs w:val="22"/>
        </w:rPr>
        <w:t>15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12</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31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octanos, los gasoholes de 97 (+0.</w:t>
      </w:r>
      <w:r>
        <w:rPr>
          <w:rFonts w:asciiTheme="minorHAnsi" w:hAnsiTheme="minorHAnsi" w:cstheme="minorHAnsi"/>
          <w:sz w:val="22"/>
          <w:szCs w:val="22"/>
        </w:rPr>
        <w:t>17</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95(+0.</w:t>
      </w:r>
      <w:r>
        <w:rPr>
          <w:rFonts w:asciiTheme="minorHAnsi" w:hAnsiTheme="minorHAnsi" w:cstheme="minorHAnsi"/>
          <w:sz w:val="22"/>
          <w:szCs w:val="22"/>
        </w:rPr>
        <w:t>15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90(+0.</w:t>
      </w:r>
      <w:r>
        <w:rPr>
          <w:rFonts w:asciiTheme="minorHAnsi" w:hAnsiTheme="minorHAnsi" w:cstheme="minorHAnsi"/>
          <w:sz w:val="22"/>
          <w:szCs w:val="22"/>
        </w:rPr>
        <w:t>12</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30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octanos, así como en el </w:t>
      </w:r>
      <w:proofErr w:type="spellStart"/>
      <w:r w:rsidRPr="00232A32">
        <w:rPr>
          <w:rFonts w:asciiTheme="minorHAnsi" w:hAnsiTheme="minorHAnsi" w:cstheme="minorHAnsi"/>
          <w:sz w:val="22"/>
          <w:szCs w:val="22"/>
        </w:rPr>
        <w:t>Diesel</w:t>
      </w:r>
      <w:proofErr w:type="spellEnd"/>
      <w:r w:rsidRPr="00232A32">
        <w:rPr>
          <w:rFonts w:asciiTheme="minorHAnsi" w:hAnsiTheme="minorHAnsi" w:cstheme="minorHAnsi"/>
          <w:sz w:val="22"/>
          <w:szCs w:val="22"/>
        </w:rPr>
        <w:t xml:space="preserve"> B5(+0.</w:t>
      </w:r>
      <w:r>
        <w:rPr>
          <w:rFonts w:asciiTheme="minorHAnsi" w:hAnsiTheme="minorHAnsi" w:cstheme="minorHAnsi"/>
          <w:sz w:val="22"/>
          <w:szCs w:val="22"/>
        </w:rPr>
        <w:t>08</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los residuales R6(</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07</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R500(</w:t>
      </w:r>
      <w:r>
        <w:rPr>
          <w:rFonts w:asciiTheme="minorHAnsi" w:hAnsiTheme="minorHAnsi" w:cstheme="minorHAnsi"/>
          <w:sz w:val="22"/>
          <w:szCs w:val="22"/>
        </w:rPr>
        <w:t>-</w:t>
      </w:r>
      <w:r w:rsidRPr="00232A32">
        <w:rPr>
          <w:rFonts w:asciiTheme="minorHAnsi" w:hAnsiTheme="minorHAnsi" w:cstheme="minorHAnsi"/>
          <w:sz w:val="22"/>
          <w:szCs w:val="22"/>
        </w:rPr>
        <w:t>0.0</w:t>
      </w:r>
      <w:r>
        <w:rPr>
          <w:rFonts w:asciiTheme="minorHAnsi" w:hAnsiTheme="minorHAnsi" w:cstheme="minorHAnsi"/>
          <w:sz w:val="22"/>
          <w:szCs w:val="22"/>
        </w:rPr>
        <w:t>9</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w:t>
      </w:r>
      <w:r w:rsidR="00D16D5A" w:rsidRPr="00232A32">
        <w:rPr>
          <w:rFonts w:asciiTheme="minorHAnsi" w:hAnsiTheme="minorHAnsi" w:cstheme="minorHAnsi"/>
          <w:sz w:val="22"/>
          <w:szCs w:val="22"/>
        </w:rPr>
        <w:t xml:space="preserve">. </w:t>
      </w:r>
    </w:p>
    <w:p w14:paraId="157D0B3E" w14:textId="77777777" w:rsidR="00352B3A" w:rsidRDefault="00352B3A" w:rsidP="00352B3A">
      <w:pPr>
        <w:pStyle w:val="Prrafodelista"/>
        <w:rPr>
          <w:rFonts w:asciiTheme="minorHAnsi" w:hAnsiTheme="minorHAnsi" w:cstheme="minorHAnsi"/>
          <w:sz w:val="22"/>
          <w:szCs w:val="22"/>
        </w:rPr>
      </w:pP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4"/>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DA4864A" w14:textId="5F4E35D8"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 el 2</w:t>
      </w:r>
      <w:r w:rsidR="00A55594">
        <w:rPr>
          <w:rFonts w:asciiTheme="minorHAnsi" w:hAnsiTheme="minorHAnsi" w:cstheme="minorHAnsi"/>
          <w:sz w:val="22"/>
          <w:szCs w:val="22"/>
        </w:rPr>
        <w:t>9</w:t>
      </w:r>
      <w:r w:rsidRPr="00E61EC2">
        <w:rPr>
          <w:rFonts w:asciiTheme="minorHAnsi" w:hAnsiTheme="minorHAnsi" w:cstheme="minorHAnsi"/>
          <w:sz w:val="22"/>
          <w:szCs w:val="22"/>
        </w:rPr>
        <w:t>/</w:t>
      </w:r>
      <w:r>
        <w:rPr>
          <w:rFonts w:asciiTheme="minorHAnsi" w:hAnsiTheme="minorHAnsi" w:cstheme="minorHAnsi"/>
          <w:sz w:val="22"/>
          <w:szCs w:val="22"/>
        </w:rPr>
        <w:t>12</w:t>
      </w:r>
      <w:r w:rsidRPr="00E61EC2">
        <w:rPr>
          <w:rFonts w:asciiTheme="minorHAnsi" w:hAnsiTheme="minorHAnsi" w:cstheme="minorHAnsi"/>
          <w:sz w:val="22"/>
          <w:szCs w:val="22"/>
        </w:rPr>
        <w:t>/202</w:t>
      </w:r>
      <w:r>
        <w:rPr>
          <w:rFonts w:asciiTheme="minorHAnsi" w:hAnsiTheme="minorHAnsi" w:cstheme="minorHAnsi"/>
          <w:sz w:val="22"/>
          <w:szCs w:val="22"/>
        </w:rPr>
        <w:t>2</w:t>
      </w:r>
      <w:r w:rsidRPr="00E61EC2">
        <w:rPr>
          <w:rFonts w:asciiTheme="minorHAnsi" w:hAnsiTheme="minorHAnsi" w:cstheme="minorHAnsi"/>
          <w:sz w:val="22"/>
          <w:szCs w:val="22"/>
        </w:rPr>
        <w:t xml:space="preserve"> y el </w:t>
      </w:r>
      <w:r w:rsidR="00A55594">
        <w:rPr>
          <w:rFonts w:asciiTheme="minorHAnsi" w:hAnsiTheme="minorHAnsi" w:cstheme="minorHAnsi"/>
          <w:sz w:val="22"/>
          <w:szCs w:val="22"/>
        </w:rPr>
        <w:t>13</w:t>
      </w:r>
      <w:r w:rsidRPr="00E61EC2">
        <w:rPr>
          <w:rFonts w:asciiTheme="minorHAnsi" w:hAnsiTheme="minorHAnsi" w:cstheme="minorHAnsi"/>
          <w:sz w:val="22"/>
          <w:szCs w:val="22"/>
        </w:rPr>
        <w:t>/</w:t>
      </w:r>
      <w:r>
        <w:rPr>
          <w:rFonts w:asciiTheme="minorHAnsi" w:hAnsiTheme="minorHAnsi" w:cstheme="minorHAnsi"/>
          <w:sz w:val="22"/>
          <w:szCs w:val="22"/>
        </w:rPr>
        <w:t>01</w:t>
      </w:r>
      <w:r w:rsidRPr="00E61EC2">
        <w:rPr>
          <w:rFonts w:asciiTheme="minorHAnsi" w:hAnsiTheme="minorHAnsi" w:cstheme="minorHAnsi"/>
          <w:sz w:val="22"/>
          <w:szCs w:val="22"/>
        </w:rPr>
        <w:t>/202</w:t>
      </w:r>
      <w:r>
        <w:rPr>
          <w:rFonts w:asciiTheme="minorHAnsi" w:hAnsiTheme="minorHAnsi" w:cstheme="minorHAnsi"/>
          <w:sz w:val="22"/>
          <w:szCs w:val="22"/>
        </w:rPr>
        <w:t>3</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Pr>
          <w:rFonts w:asciiTheme="minorHAnsi" w:hAnsiTheme="minorHAnsi" w:cstheme="minorHAnsi"/>
          <w:sz w:val="22"/>
          <w:szCs w:val="22"/>
        </w:rPr>
        <w:t>áfica N°2</w:t>
      </w:r>
      <w:r w:rsidRPr="00E14E7E">
        <w:rPr>
          <w:rFonts w:asciiTheme="minorHAnsi" w:hAnsiTheme="minorHAnsi" w:cstheme="minorHAnsi"/>
          <w:sz w:val="22"/>
          <w:szCs w:val="22"/>
        </w:rPr>
        <w:t>.</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3B08B3AD"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w:t>
      </w:r>
      <w:r w:rsidR="00A55594">
        <w:rPr>
          <w:rFonts w:ascii="Calibri" w:hAnsi="Calibri" w:cs="Arial"/>
          <w:b/>
          <w:bCs/>
          <w:i/>
          <w:sz w:val="22"/>
          <w:szCs w:val="22"/>
          <w:lang w:eastAsia="es-PE"/>
        </w:rPr>
        <w:t>, al 13</w:t>
      </w:r>
      <w:r>
        <w:rPr>
          <w:rFonts w:ascii="Calibri" w:hAnsi="Calibri" w:cs="Arial"/>
          <w:b/>
          <w:bCs/>
          <w:i/>
          <w:sz w:val="22"/>
          <w:szCs w:val="22"/>
          <w:lang w:eastAsia="es-PE"/>
        </w:rPr>
        <w:t>-01-23</w:t>
      </w:r>
      <w:r w:rsidRPr="00884871">
        <w:rPr>
          <w:rFonts w:ascii="Calibri" w:hAnsi="Calibri" w:cs="Arial"/>
          <w:b/>
          <w:bCs/>
          <w:i/>
          <w:sz w:val="22"/>
          <w:szCs w:val="22"/>
          <w:lang w:eastAsia="es-PE"/>
        </w:rPr>
        <w:t>, en %</w:t>
      </w:r>
    </w:p>
    <w:p w14:paraId="6CED86AB" w14:textId="5ED9CBAF" w:rsidR="00A86191" w:rsidRPr="00CC2A8A" w:rsidRDefault="007A4646" w:rsidP="00A86191">
      <w:pPr>
        <w:pBdr>
          <w:top w:val="single" w:sz="4" w:space="1" w:color="auto"/>
          <w:bottom w:val="single" w:sz="4" w:space="1" w:color="auto"/>
        </w:pBdr>
        <w:rPr>
          <w:rFonts w:ascii="Calibri" w:hAnsi="Calibri" w:cs="Arial"/>
          <w:bCs/>
          <w:sz w:val="32"/>
          <w:szCs w:val="32"/>
        </w:rPr>
      </w:pPr>
      <w:r w:rsidRPr="009D4965">
        <w:rPr>
          <w:noProof/>
          <w:lang w:val="es-PE" w:eastAsia="es-PE"/>
        </w:rPr>
        <w:drawing>
          <wp:inline distT="0" distB="0" distL="0" distR="0" wp14:anchorId="6467DA21" wp14:editId="7BB6643D">
            <wp:extent cx="5490845" cy="2922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845" cy="2922905"/>
                    </a:xfrm>
                    <a:prstGeom prst="rect">
                      <a:avLst/>
                    </a:prstGeom>
                  </pic:spPr>
                </pic:pic>
              </a:graphicData>
            </a:graphic>
          </wp:inline>
        </w:drawing>
      </w:r>
    </w:p>
    <w:p w14:paraId="6F543033" w14:textId="77777777"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6136EAF0"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Mont Belvieu para el GLP. </w:t>
      </w:r>
      <w:r w:rsidRPr="00E14E7E">
        <w:rPr>
          <w:rFonts w:asciiTheme="minorHAnsi" w:hAnsiTheme="minorHAnsi" w:cstheme="minorHAnsi"/>
          <w:sz w:val="22"/>
          <w:szCs w:val="22"/>
        </w:rPr>
        <w:t>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 xml:space="preserve">y </w:t>
      </w:r>
      <w:r>
        <w:rPr>
          <w:rFonts w:asciiTheme="minorHAnsi" w:hAnsiTheme="minorHAnsi" w:cstheme="minorHAnsi"/>
          <w:sz w:val="22"/>
          <w:szCs w:val="22"/>
        </w:rPr>
        <w:t>el Flete desde el mercado relevante al Callao, son los componentes que tienen</w:t>
      </w:r>
      <w:r w:rsidRPr="00E14E7E">
        <w:rPr>
          <w:rFonts w:asciiTheme="minorHAnsi" w:hAnsiTheme="minorHAnsi" w:cstheme="minorHAnsi"/>
          <w:sz w:val="22"/>
          <w:szCs w:val="22"/>
        </w:rPr>
        <w:t xml:space="preserve"> un mayor impacto en el comportamiento de los precios de referencia de </w:t>
      </w:r>
      <w:r>
        <w:rPr>
          <w:rFonts w:asciiTheme="minorHAnsi" w:hAnsiTheme="minorHAnsi" w:cstheme="minorHAnsi"/>
          <w:sz w:val="22"/>
          <w:szCs w:val="22"/>
        </w:rPr>
        <w:t xml:space="preserve">los </w:t>
      </w:r>
      <w:r w:rsidRPr="00E14E7E">
        <w:rPr>
          <w:rFonts w:asciiTheme="minorHAnsi" w:hAnsiTheme="minorHAnsi" w:cstheme="minorHAnsi"/>
          <w:sz w:val="22"/>
          <w:szCs w:val="22"/>
        </w:rPr>
        <w:t>combustibles</w:t>
      </w:r>
      <w:r>
        <w:rPr>
          <w:rFonts w:asciiTheme="minorHAnsi" w:hAnsiTheme="minorHAnsi" w:cstheme="minorHAnsi"/>
          <w:sz w:val="22"/>
          <w:szCs w:val="22"/>
        </w:rPr>
        <w:t>.</w:t>
      </w:r>
    </w:p>
    <w:p w14:paraId="12DFF379" w14:textId="77777777" w:rsidR="00A86191" w:rsidRDefault="00A86191" w:rsidP="00A86191">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A9F3C27" w14:textId="77777777" w:rsidR="007A4646" w:rsidRDefault="007A4646" w:rsidP="007A4646">
      <w:pPr>
        <w:jc w:val="both"/>
        <w:rPr>
          <w:rFonts w:asciiTheme="minorHAnsi" w:hAnsiTheme="minorHAnsi" w:cstheme="minorHAnsi"/>
          <w:sz w:val="22"/>
          <w:szCs w:val="22"/>
        </w:rPr>
      </w:pPr>
      <w:r w:rsidRPr="00061BE1">
        <w:rPr>
          <w:rFonts w:asciiTheme="minorHAnsi" w:hAnsiTheme="minorHAnsi" w:cstheme="minorHAnsi"/>
          <w:sz w:val="22"/>
          <w:szCs w:val="22"/>
        </w:rPr>
        <w:t xml:space="preserve">En la Gráfica N°2, se aprecia que el Precio FOB se ubicó en </w:t>
      </w:r>
      <w:r>
        <w:rPr>
          <w:rFonts w:asciiTheme="minorHAnsi" w:hAnsiTheme="minorHAnsi" w:cstheme="minorHAnsi"/>
          <w:sz w:val="22"/>
          <w:szCs w:val="22"/>
        </w:rPr>
        <w:t>76</w:t>
      </w:r>
      <w:r w:rsidRPr="00061BE1">
        <w:rPr>
          <w:rFonts w:asciiTheme="minorHAnsi" w:hAnsiTheme="minorHAnsi" w:cstheme="minorHAnsi"/>
          <w:sz w:val="22"/>
          <w:szCs w:val="22"/>
        </w:rPr>
        <w:t>% del precio de referencia del GLP</w:t>
      </w:r>
      <w:r>
        <w:rPr>
          <w:rFonts w:asciiTheme="minorHAnsi" w:hAnsiTheme="minorHAnsi" w:cstheme="minorHAnsi"/>
          <w:sz w:val="22"/>
          <w:szCs w:val="22"/>
        </w:rPr>
        <w:t xml:space="preserve">, 77% del precio de referencia del etanol, 77% del precio de los residuales R6 y R500; y fue igual o </w:t>
      </w:r>
      <w:r w:rsidRPr="00061BE1">
        <w:rPr>
          <w:rFonts w:asciiTheme="minorHAnsi" w:hAnsiTheme="minorHAnsi" w:cstheme="minorHAnsi"/>
          <w:sz w:val="22"/>
          <w:szCs w:val="22"/>
        </w:rPr>
        <w:t xml:space="preserve">superior al </w:t>
      </w:r>
      <w:r>
        <w:rPr>
          <w:rFonts w:asciiTheme="minorHAnsi" w:hAnsiTheme="minorHAnsi" w:cstheme="minorHAnsi"/>
          <w:sz w:val="22"/>
          <w:szCs w:val="22"/>
        </w:rPr>
        <w:t>90</w:t>
      </w:r>
      <w:r w:rsidRPr="00061BE1">
        <w:rPr>
          <w:rFonts w:asciiTheme="minorHAnsi" w:hAnsiTheme="minorHAnsi" w:cstheme="minorHAnsi"/>
          <w:sz w:val="22"/>
          <w:szCs w:val="22"/>
        </w:rPr>
        <w:t>% del precio de referencia de los demás combustibles.</w:t>
      </w:r>
      <w:r>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incluye</w:t>
      </w:r>
      <w:r>
        <w:rPr>
          <w:rFonts w:asciiTheme="minorHAnsi" w:hAnsiTheme="minorHAnsi" w:cstheme="minorHAnsi"/>
          <w:sz w:val="22"/>
          <w:szCs w:val="22"/>
        </w:rPr>
        <w:t xml:space="preserve"> la tarifa “Terminalling” del GLP; el descuento por concepto de RVO, aplicado al precio de las Gasolinas y Diésel 2; y</w:t>
      </w:r>
      <w:r w:rsidRPr="00E14E7E">
        <w:rPr>
          <w:rFonts w:asciiTheme="minorHAnsi" w:hAnsiTheme="minorHAnsi" w:cstheme="minorHAnsi"/>
          <w:sz w:val="22"/>
          <w:szCs w:val="22"/>
        </w:rPr>
        <w:t xml:space="preserve"> </w:t>
      </w:r>
      <w:r>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Pr>
          <w:rFonts w:asciiTheme="minorHAnsi" w:hAnsiTheme="minorHAnsi" w:cstheme="minorHAnsi"/>
          <w:sz w:val="22"/>
          <w:szCs w:val="22"/>
        </w:rPr>
        <w:t xml:space="preserve"> de calidad para las G</w:t>
      </w:r>
      <w:r w:rsidRPr="00E14E7E">
        <w:rPr>
          <w:rFonts w:asciiTheme="minorHAnsi" w:hAnsiTheme="minorHAnsi" w:cstheme="minorHAnsi"/>
          <w:sz w:val="22"/>
          <w:szCs w:val="22"/>
        </w:rPr>
        <w:t>asolinas,</w:t>
      </w:r>
      <w:r>
        <w:rPr>
          <w:rFonts w:asciiTheme="minorHAnsi" w:hAnsiTheme="minorHAnsi" w:cstheme="minorHAnsi"/>
          <w:sz w:val="22"/>
          <w:szCs w:val="22"/>
        </w:rPr>
        <w:t xml:space="preserve"> D</w:t>
      </w:r>
      <w:r w:rsidRPr="00E14E7E">
        <w:rPr>
          <w:rFonts w:asciiTheme="minorHAnsi" w:hAnsiTheme="minorHAnsi" w:cstheme="minorHAnsi"/>
          <w:sz w:val="22"/>
          <w:szCs w:val="22"/>
        </w:rPr>
        <w:t>iésel</w:t>
      </w:r>
      <w:r>
        <w:rPr>
          <w:rFonts w:asciiTheme="minorHAnsi" w:hAnsiTheme="minorHAnsi" w:cstheme="minorHAnsi"/>
          <w:sz w:val="22"/>
          <w:szCs w:val="22"/>
        </w:rPr>
        <w:t xml:space="preserve"> y R</w:t>
      </w:r>
      <w:r w:rsidRPr="00E14E7E">
        <w:rPr>
          <w:rFonts w:asciiTheme="minorHAnsi" w:hAnsiTheme="minorHAnsi" w:cstheme="minorHAnsi"/>
          <w:sz w:val="22"/>
          <w:szCs w:val="22"/>
        </w:rPr>
        <w:t>esidual 500.</w:t>
      </w:r>
    </w:p>
    <w:p w14:paraId="6721ADFC" w14:textId="45997160" w:rsidR="007A4646" w:rsidRDefault="007A4646" w:rsidP="007A4646">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121C7D6F" w14:textId="77777777" w:rsidR="007A4646" w:rsidRDefault="007A4646" w:rsidP="007A4646">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13 de enero 2023. </w:t>
      </w:r>
    </w:p>
    <w:p w14:paraId="5C5156F1" w14:textId="6A04B97A" w:rsidR="0092176D" w:rsidRDefault="007A4646" w:rsidP="007A4646">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r w:rsidR="00A86191">
        <w:rPr>
          <w:rFonts w:asciiTheme="minorHAnsi" w:hAnsiTheme="minorHAnsi" w:cstheme="minorHAnsi"/>
          <w:sz w:val="22"/>
          <w:szCs w:val="22"/>
        </w:rPr>
        <w:t>.</w:t>
      </w:r>
    </w:p>
    <w:p w14:paraId="3F95B49B" w14:textId="77777777" w:rsidR="00C80F8A" w:rsidRPr="00003F04" w:rsidRDefault="00C80F8A" w:rsidP="00F85D23">
      <w:pPr>
        <w:jc w:val="both"/>
        <w:rPr>
          <w:rFonts w:asciiTheme="minorHAnsi" w:hAnsiTheme="minorHAnsi" w:cstheme="minorHAnsi"/>
          <w:sz w:val="22"/>
          <w:szCs w:val="22"/>
        </w:rPr>
      </w:pPr>
    </w:p>
    <w:p w14:paraId="115A023B" w14:textId="77777777" w:rsidR="007A4646" w:rsidRDefault="007A4646" w:rsidP="007A4646">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 FOB del GLP</w:t>
      </w:r>
    </w:p>
    <w:p w14:paraId="451439D2" w14:textId="77777777" w:rsidR="007A4646" w:rsidRPr="00265D45" w:rsidRDefault="007A4646" w:rsidP="007A4646">
      <w:pPr>
        <w:pStyle w:val="Prrafodelista"/>
        <w:ind w:left="426" w:hanging="426"/>
        <w:jc w:val="both"/>
        <w:rPr>
          <w:rFonts w:asciiTheme="minorHAnsi" w:hAnsiTheme="minorHAnsi" w:cstheme="minorHAnsi"/>
          <w:b/>
          <w:sz w:val="22"/>
          <w:szCs w:val="22"/>
          <w:u w:val="single"/>
        </w:rPr>
      </w:pPr>
    </w:p>
    <w:p w14:paraId="33FB0375" w14:textId="77777777" w:rsidR="007A4646" w:rsidRPr="006E3A77" w:rsidRDefault="007A4646" w:rsidP="007A4646">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Fue determinado, considerando la mezcla típica del GLP comercializado en nuestro país, cuya composición propano/butano es de 70%/30%.</w:t>
      </w:r>
    </w:p>
    <w:p w14:paraId="3FC074FF" w14:textId="77777777" w:rsidR="007A4646" w:rsidRPr="006E3A77" w:rsidRDefault="007A4646" w:rsidP="007A4646">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Pr="006E3A77">
        <w:rPr>
          <w:rFonts w:asciiTheme="minorHAnsi" w:hAnsiTheme="minorHAnsi" w:cstheme="minorHAnsi"/>
          <w:sz w:val="22"/>
          <w:szCs w:val="22"/>
        </w:rPr>
        <w:t xml:space="preserve">: Calculado en base al promedio de las 10 últimas cotizaciones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 propano refrigerado publicadas</w:t>
      </w:r>
      <w:r>
        <w:rPr>
          <w:rFonts w:asciiTheme="minorHAnsi" w:hAnsiTheme="minorHAnsi" w:cstheme="minorHAnsi"/>
          <w:sz w:val="22"/>
          <w:szCs w:val="22"/>
        </w:rPr>
        <w:t xml:space="preserve"> por Argus</w:t>
      </w:r>
      <w:r w:rsidRPr="006E3A77">
        <w:rPr>
          <w:rFonts w:asciiTheme="minorHAnsi" w:hAnsiTheme="minorHAnsi" w:cstheme="minorHAnsi"/>
          <w:sz w:val="22"/>
          <w:szCs w:val="22"/>
        </w:rPr>
        <w:t xml:space="preserve">, igual a </w:t>
      </w:r>
      <w:r>
        <w:rPr>
          <w:rFonts w:asciiTheme="minorHAnsi" w:hAnsiTheme="minorHAnsi" w:cstheme="minorHAnsi"/>
          <w:sz w:val="22"/>
          <w:szCs w:val="22"/>
        </w:rPr>
        <w:t>7.66</w:t>
      </w:r>
      <w:r w:rsidRPr="006E3A77">
        <w:rPr>
          <w:rFonts w:asciiTheme="minorHAnsi" w:hAnsiTheme="minorHAnsi" w:cstheme="minorHAnsi"/>
          <w:sz w:val="22"/>
          <w:szCs w:val="22"/>
        </w:rPr>
        <w:t xml:space="preserve"> cent$/galón. Para obtener la tarifa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del GLP a temperatura ambiente, usamos la siguiente ecuación: </w:t>
      </w:r>
    </w:p>
    <w:p w14:paraId="55553E24" w14:textId="77777777" w:rsidR="007A4646" w:rsidRPr="006E3A77" w:rsidRDefault="007A4646" w:rsidP="007A4646">
      <w:pPr>
        <w:pStyle w:val="Prrafodelista"/>
        <w:ind w:left="426" w:hanging="426"/>
        <w:jc w:val="center"/>
        <w:rPr>
          <w:rFonts w:asciiTheme="minorHAnsi" w:hAnsiTheme="minorHAnsi" w:cstheme="minorHAnsi"/>
          <w:sz w:val="22"/>
          <w:szCs w:val="22"/>
          <w:lang w:val="es-MX"/>
        </w:rPr>
      </w:pPr>
    </w:p>
    <w:p w14:paraId="423DCD4F" w14:textId="77777777" w:rsidR="007A4646" w:rsidRPr="006E3A77" w:rsidRDefault="007A4646" w:rsidP="007A4646">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Pr>
          <w:rFonts w:asciiTheme="minorHAnsi" w:hAnsiTheme="minorHAnsi" w:cstheme="minorHAnsi"/>
          <w:sz w:val="22"/>
          <w:szCs w:val="22"/>
          <w:lang w:val="en-US"/>
        </w:rPr>
        <w:t>7.66</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xml:space="preserve">* (521.74/729.23) = </w:t>
      </w:r>
      <w:r>
        <w:rPr>
          <w:rFonts w:asciiTheme="minorHAnsi" w:hAnsiTheme="minorHAnsi" w:cstheme="minorHAnsi"/>
          <w:sz w:val="22"/>
          <w:szCs w:val="22"/>
          <w:lang w:val="en-US"/>
        </w:rPr>
        <w:t>5.48</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p>
    <w:p w14:paraId="57FA2E8F" w14:textId="77777777" w:rsidR="007A4646" w:rsidRPr="006E3A77" w:rsidRDefault="007A4646" w:rsidP="007A4646">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Pr>
          <w:rFonts w:asciiTheme="minorHAnsi" w:hAnsiTheme="minorHAnsi" w:cstheme="minorHAnsi"/>
          <w:sz w:val="22"/>
          <w:szCs w:val="22"/>
          <w:lang w:val="en-US"/>
        </w:rPr>
        <w:t>2.30</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33D8FC24" w14:textId="77777777" w:rsidR="007A4646" w:rsidRPr="006E3A77" w:rsidRDefault="007A4646" w:rsidP="007A4646">
      <w:pPr>
        <w:pStyle w:val="Prrafodelista"/>
        <w:ind w:left="426" w:hanging="426"/>
        <w:jc w:val="center"/>
        <w:rPr>
          <w:rFonts w:asciiTheme="minorHAnsi" w:hAnsiTheme="minorHAnsi" w:cstheme="minorHAnsi"/>
          <w:sz w:val="22"/>
          <w:szCs w:val="22"/>
          <w:lang w:val="en-US"/>
        </w:rPr>
      </w:pPr>
    </w:p>
    <w:p w14:paraId="264DC2E7" w14:textId="77777777" w:rsidR="007A4646" w:rsidRPr="006E3A77" w:rsidRDefault="007A4646" w:rsidP="007A4646">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 las Gasolinas:</w:t>
      </w:r>
    </w:p>
    <w:p w14:paraId="103AD8E2" w14:textId="77777777" w:rsidR="007A4646" w:rsidRPr="006E3A77" w:rsidRDefault="007A4646" w:rsidP="007A4646">
      <w:pPr>
        <w:ind w:left="426" w:hanging="426"/>
        <w:jc w:val="both"/>
        <w:rPr>
          <w:rFonts w:asciiTheme="minorHAnsi" w:hAnsiTheme="minorHAnsi" w:cstheme="minorHAnsi"/>
          <w:b/>
          <w:sz w:val="22"/>
          <w:szCs w:val="22"/>
          <w:u w:val="single"/>
        </w:rPr>
      </w:pPr>
    </w:p>
    <w:p w14:paraId="3C9F1C16" w14:textId="77777777" w:rsidR="007A4646" w:rsidRPr="006E3A77" w:rsidRDefault="007A4646" w:rsidP="007A4646">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las gasolinas de 97 y 95 octanos, corresponde al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 la gasolina CBOB 87.</w:t>
      </w:r>
    </w:p>
    <w:p w14:paraId="3F05447F" w14:textId="77777777" w:rsidR="007A4646" w:rsidRPr="006E3A77" w:rsidRDefault="007A4646" w:rsidP="007A4646">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Pr>
          <w:rFonts w:asciiTheme="minorHAnsi" w:hAnsiTheme="minorHAnsi" w:cstheme="minorHAnsi"/>
          <w:sz w:val="22"/>
          <w:szCs w:val="22"/>
        </w:rPr>
        <w:t>8.70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8218112" w14:textId="77777777" w:rsidR="007A4646" w:rsidRPr="006E3A77" w:rsidRDefault="007A4646" w:rsidP="007A4646">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 xml:space="preserve">2.60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Pr>
          <w:rFonts w:asciiTheme="minorHAnsi" w:hAnsiTheme="minorHAnsi" w:cstheme="minorHAnsi"/>
          <w:sz w:val="22"/>
          <w:szCs w:val="22"/>
        </w:rPr>
        <w:t>2.12</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48616D93" w14:textId="77777777" w:rsidR="007A4646" w:rsidRPr="006E3A77" w:rsidRDefault="007A4646" w:rsidP="007A4646">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Pr>
          <w:rFonts w:asciiTheme="minorHAnsi" w:hAnsiTheme="minorHAnsi" w:cstheme="minorHAnsi"/>
          <w:sz w:val="22"/>
          <w:szCs w:val="22"/>
        </w:rPr>
        <w:t>1.54</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90 octanos y un ajuste de </w:t>
      </w:r>
      <w:r>
        <w:rPr>
          <w:rFonts w:asciiTheme="minorHAnsi" w:hAnsiTheme="minorHAnsi" w:cstheme="minorHAnsi"/>
          <w:sz w:val="22"/>
          <w:szCs w:val="22"/>
        </w:rPr>
        <w:t xml:space="preserve">-8.30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84 octanos.</w:t>
      </w:r>
    </w:p>
    <w:p w14:paraId="5CB578AB" w14:textId="77777777" w:rsidR="007A4646" w:rsidRPr="006E3A77" w:rsidRDefault="007A4646" w:rsidP="007A4646">
      <w:pPr>
        <w:ind w:left="426" w:hanging="426"/>
        <w:jc w:val="both"/>
        <w:rPr>
          <w:rFonts w:asciiTheme="minorHAnsi" w:hAnsiTheme="minorHAnsi" w:cstheme="minorHAnsi"/>
          <w:sz w:val="22"/>
          <w:szCs w:val="22"/>
          <w:u w:val="single"/>
        </w:rPr>
      </w:pPr>
    </w:p>
    <w:p w14:paraId="38E310E9" w14:textId="77777777" w:rsidR="007A4646" w:rsidRPr="006E3A77" w:rsidRDefault="007A4646" w:rsidP="007A4646">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del Diésel:</w:t>
      </w:r>
    </w:p>
    <w:p w14:paraId="7A0C9DD9" w14:textId="77777777" w:rsidR="007A4646" w:rsidRPr="006E3A77" w:rsidRDefault="007A4646" w:rsidP="007A4646">
      <w:pPr>
        <w:ind w:left="426" w:hanging="426"/>
        <w:jc w:val="both"/>
        <w:rPr>
          <w:rFonts w:asciiTheme="minorHAnsi" w:hAnsiTheme="minorHAnsi" w:cstheme="minorHAnsi"/>
          <w:b/>
          <w:sz w:val="22"/>
          <w:szCs w:val="22"/>
          <w:u w:val="single"/>
        </w:rPr>
      </w:pPr>
    </w:p>
    <w:p w14:paraId="51107A8D" w14:textId="77777777" w:rsidR="007A4646" w:rsidRPr="006E3A77" w:rsidRDefault="007A4646" w:rsidP="007A4646">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contenido de azufre, se toma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Ultra </w:t>
      </w:r>
      <w:proofErr w:type="spellStart"/>
      <w:r w:rsidRPr="006E3A77">
        <w:rPr>
          <w:rFonts w:asciiTheme="minorHAnsi" w:hAnsiTheme="minorHAnsi" w:cstheme="minorHAnsi"/>
          <w:sz w:val="22"/>
          <w:szCs w:val="22"/>
        </w:rPr>
        <w:t>Sulfur</w:t>
      </w:r>
      <w:proofErr w:type="spellEnd"/>
      <w:r w:rsidRPr="006E3A77">
        <w:rPr>
          <w:rFonts w:asciiTheme="minorHAnsi" w:hAnsiTheme="minorHAnsi" w:cstheme="minorHAnsi"/>
          <w:sz w:val="22"/>
          <w:szCs w:val="22"/>
        </w:rPr>
        <w:t xml:space="preserve"> Diésel. Para el Diésel con alto contenido de azufre, se considera el Gasoil N°2, sin RVO.</w:t>
      </w:r>
    </w:p>
    <w:p w14:paraId="003A62A5" w14:textId="77777777" w:rsidR="007A4646" w:rsidRPr="006E3A77" w:rsidRDefault="007A4646" w:rsidP="007A4646">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Pr>
          <w:rFonts w:asciiTheme="minorHAnsi" w:hAnsiTheme="minorHAnsi" w:cstheme="minorHAnsi"/>
          <w:sz w:val="22"/>
          <w:szCs w:val="22"/>
        </w:rPr>
        <w:t xml:space="preserve">8.70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5AE70B3D" w14:textId="77777777" w:rsidR="007A4646" w:rsidRPr="006E3A77" w:rsidRDefault="007A4646" w:rsidP="007A4646">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6CA6FEF2" w14:textId="77777777" w:rsidR="007A4646" w:rsidRPr="006E3A77" w:rsidRDefault="007A4646" w:rsidP="007A4646">
      <w:pPr>
        <w:ind w:left="426" w:hanging="426"/>
        <w:jc w:val="both"/>
        <w:rPr>
          <w:rFonts w:asciiTheme="minorHAnsi" w:hAnsiTheme="minorHAnsi" w:cstheme="minorHAnsi"/>
          <w:b/>
          <w:sz w:val="22"/>
          <w:szCs w:val="22"/>
          <w:u w:val="single"/>
        </w:rPr>
      </w:pPr>
    </w:p>
    <w:p w14:paraId="5D8F85B2" w14:textId="77777777" w:rsidR="007A4646" w:rsidRPr="006E3A77" w:rsidRDefault="007A4646" w:rsidP="007A4646">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 los Petróleos Industriales:</w:t>
      </w:r>
    </w:p>
    <w:p w14:paraId="6608DA33" w14:textId="77777777" w:rsidR="007A4646" w:rsidRPr="006E3A77" w:rsidRDefault="007A4646" w:rsidP="007A4646">
      <w:pPr>
        <w:ind w:left="426" w:hanging="426"/>
        <w:jc w:val="both"/>
        <w:rPr>
          <w:rFonts w:asciiTheme="minorHAnsi" w:hAnsiTheme="minorHAnsi" w:cstheme="minorHAnsi"/>
          <w:b/>
          <w:sz w:val="22"/>
          <w:szCs w:val="22"/>
          <w:u w:val="single"/>
        </w:rPr>
      </w:pPr>
    </w:p>
    <w:p w14:paraId="7CA7BCE0" w14:textId="77777777" w:rsidR="007A4646" w:rsidRPr="006E3A77" w:rsidRDefault="007A4646" w:rsidP="007A4646">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500, se considera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4A05E239" w14:textId="77777777" w:rsidR="007A4646" w:rsidRDefault="007A4646" w:rsidP="007A4646">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Pr>
          <w:rFonts w:asciiTheme="minorHAnsi" w:hAnsiTheme="minorHAnsi" w:cstheme="minorHAnsi"/>
          <w:sz w:val="22"/>
          <w:szCs w:val="22"/>
        </w:rPr>
        <w:t>0.87</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5EC4807E" w14:textId="77777777" w:rsidR="007A4646" w:rsidRPr="006E3A77" w:rsidRDefault="007A4646" w:rsidP="007A4646">
      <w:pPr>
        <w:pStyle w:val="Prrafodelista"/>
        <w:ind w:left="851"/>
        <w:jc w:val="both"/>
        <w:rPr>
          <w:rFonts w:asciiTheme="minorHAnsi" w:hAnsiTheme="minorHAnsi" w:cstheme="minorHAnsi"/>
          <w:sz w:val="22"/>
          <w:szCs w:val="22"/>
        </w:rPr>
      </w:pPr>
    </w:p>
    <w:p w14:paraId="117F1B95" w14:textId="33824F2B" w:rsidR="00F85D23" w:rsidRPr="00B45C03" w:rsidRDefault="007A4646" w:rsidP="007A4646">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Los resultados del cálculo del Precio FOB y de los demás componentes que forman parte de los Precios de Referencia de Combustibles, se muestran en la Tabla N°1.</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579F28FF" w:rsidR="004F74EE" w:rsidRDefault="007A4646" w:rsidP="004F74EE">
      <w:pPr>
        <w:pBdr>
          <w:top w:val="single" w:sz="4" w:space="1" w:color="auto"/>
          <w:bottom w:val="single" w:sz="4" w:space="1" w:color="auto"/>
        </w:pBdr>
        <w:jc w:val="center"/>
        <w:rPr>
          <w:rFonts w:ascii="Calibri" w:hAnsi="Calibri" w:cs="Calibri"/>
          <w:sz w:val="22"/>
          <w:szCs w:val="22"/>
          <w:lang w:val="es-PE" w:eastAsia="en-US"/>
        </w:rPr>
      </w:pPr>
      <w:r w:rsidRPr="00B1184E">
        <w:rPr>
          <w:noProof/>
          <w:lang w:val="es-PE" w:eastAsia="es-PE"/>
        </w:rPr>
        <w:drawing>
          <wp:inline distT="0" distB="0" distL="0" distR="0" wp14:anchorId="0FF4A72A" wp14:editId="5FC2C49F">
            <wp:extent cx="8173085" cy="29571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173085" cy="2957195"/>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0DD02737" w:rsidR="00F85D23" w:rsidRPr="002B3648" w:rsidRDefault="007A4646" w:rsidP="00FB4E04">
            <w:pPr>
              <w:ind w:left="-618" w:right="-654"/>
              <w:jc w:val="center"/>
              <w:rPr>
                <w:rFonts w:asciiTheme="minorHAnsi" w:hAnsiTheme="minorHAnsi" w:cstheme="minorHAnsi"/>
              </w:rPr>
            </w:pPr>
            <w:r>
              <w:rPr>
                <w:noProof/>
                <w:lang w:val="es-PE" w:eastAsia="es-PE"/>
              </w:rPr>
              <w:drawing>
                <wp:inline distT="0" distB="0" distL="0" distR="0" wp14:anchorId="057D1C63" wp14:editId="2BB6A64E">
                  <wp:extent cx="3526155" cy="31013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26155" cy="310134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33692FAD" w:rsidR="00EF5671" w:rsidRPr="00CE793E" w:rsidRDefault="007A4646" w:rsidP="00FB4E04">
            <w:pPr>
              <w:ind w:left="-634" w:right="-654"/>
              <w:jc w:val="center"/>
              <w:rPr>
                <w:rFonts w:asciiTheme="minorHAnsi" w:hAnsiTheme="minorHAnsi" w:cstheme="minorHAnsi"/>
                <w:lang w:val="es-MX"/>
              </w:rPr>
            </w:pPr>
            <w:r>
              <w:rPr>
                <w:noProof/>
                <w:lang w:val="es-PE" w:eastAsia="es-PE"/>
              </w:rPr>
              <w:drawing>
                <wp:inline distT="0" distB="0" distL="0" distR="0" wp14:anchorId="6556BD36" wp14:editId="4BA5B7C1">
                  <wp:extent cx="5211445" cy="20878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11445" cy="2087880"/>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3A31EB3F" w:rsidR="000A6BC2" w:rsidRPr="00737F8F" w:rsidRDefault="007A4646"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B1184E">
        <w:rPr>
          <w:noProof/>
          <w:lang w:val="es-PE" w:eastAsia="es-PE"/>
        </w:rPr>
        <w:drawing>
          <wp:inline distT="0" distB="0" distL="0" distR="0" wp14:anchorId="281AA681" wp14:editId="21727BCE">
            <wp:extent cx="5631180" cy="2176145"/>
            <wp:effectExtent l="0" t="0" r="7620" b="0"/>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pic:cNvPicPr/>
                  </pic:nvPicPr>
                  <pic:blipFill>
                    <a:blip r:embed="rId23"/>
                    <a:stretch>
                      <a:fillRect/>
                    </a:stretch>
                  </pic:blipFill>
                  <pic:spPr>
                    <a:xfrm>
                      <a:off x="0" y="0"/>
                      <a:ext cx="5631180" cy="2176145"/>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72201C4F" w:rsidR="005C4A97" w:rsidRDefault="007A4646" w:rsidP="00604758">
      <w:pPr>
        <w:spacing w:line="0" w:lineRule="atLeast"/>
        <w:ind w:right="-567"/>
        <w:jc w:val="both"/>
        <w:rPr>
          <w:rFonts w:asciiTheme="minorHAnsi" w:hAnsiTheme="minorHAnsi" w:cstheme="minorHAnsi"/>
          <w:i/>
          <w:sz w:val="18"/>
          <w:szCs w:val="18"/>
        </w:rPr>
      </w:pPr>
      <w:r w:rsidRPr="00B1184E">
        <w:rPr>
          <w:noProof/>
          <w:lang w:val="es-PE" w:eastAsia="es-PE"/>
        </w:rPr>
        <w:drawing>
          <wp:inline distT="0" distB="0" distL="0" distR="0" wp14:anchorId="54EAF3EA" wp14:editId="5060ACB1">
            <wp:extent cx="5850255" cy="2232660"/>
            <wp:effectExtent l="0" t="0" r="0" b="0"/>
            <wp:docPr id="19" name="Picture 19"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chart&#10;&#10;Description automatically generated"/>
                    <pic:cNvPicPr/>
                  </pic:nvPicPr>
                  <pic:blipFill>
                    <a:blip r:embed="rId24"/>
                    <a:stretch>
                      <a:fillRect/>
                    </a:stretch>
                  </pic:blipFill>
                  <pic:spPr>
                    <a:xfrm>
                      <a:off x="0" y="0"/>
                      <a:ext cx="5850255" cy="2232660"/>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30C1157C" w:rsidR="007B04A3" w:rsidRPr="00C2751F" w:rsidRDefault="007A4646" w:rsidP="00C2751F">
      <w:pPr>
        <w:spacing w:line="0" w:lineRule="atLeast"/>
        <w:ind w:right="-567"/>
        <w:jc w:val="both"/>
        <w:rPr>
          <w:noProof/>
          <w:lang w:val="es-PE" w:eastAsia="es-PE"/>
        </w:rPr>
      </w:pPr>
      <w:r w:rsidRPr="00B1184E">
        <w:rPr>
          <w:noProof/>
          <w:lang w:val="es-PE" w:eastAsia="es-PE"/>
        </w:rPr>
        <w:drawing>
          <wp:inline distT="0" distB="0" distL="0" distR="0" wp14:anchorId="7A620B76" wp14:editId="77626927">
            <wp:extent cx="5849781" cy="6996023"/>
            <wp:effectExtent l="0" t="0" r="0" b="0"/>
            <wp:docPr id="23" name="Picture 2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pic:cNvPicPr/>
                  </pic:nvPicPr>
                  <pic:blipFill>
                    <a:blip r:embed="rId25"/>
                    <a:stretch>
                      <a:fillRect/>
                    </a:stretch>
                  </pic:blipFill>
                  <pic:spPr>
                    <a:xfrm>
                      <a:off x="0" y="0"/>
                      <a:ext cx="5852004" cy="6998681"/>
                    </a:xfrm>
                    <a:prstGeom prst="rect">
                      <a:avLst/>
                    </a:prstGeom>
                  </pic:spPr>
                </pic:pic>
              </a:graphicData>
            </a:graphic>
          </wp:inline>
        </w:drawing>
      </w:r>
    </w:p>
    <w:p w14:paraId="6E7D3449" w14:textId="77777777" w:rsidR="00C80F8A" w:rsidRPr="00C2751F" w:rsidRDefault="00DC168B" w:rsidP="00C2751F">
      <w:pPr>
        <w:jc w:val="both"/>
        <w:rPr>
          <w:rFonts w:asciiTheme="minorHAnsi" w:hAnsiTheme="minorHAnsi" w:cstheme="minorHAnsi"/>
          <w:i/>
          <w:iCs/>
          <w:sz w:val="16"/>
          <w:szCs w:val="16"/>
        </w:rPr>
      </w:pPr>
      <w:r w:rsidRPr="00DC168B">
        <w:rPr>
          <w:rFonts w:asciiTheme="minorHAnsi" w:hAnsiTheme="minorHAnsi" w:cstheme="minorHAnsi"/>
          <w:i/>
          <w:iCs/>
          <w:sz w:val="16"/>
          <w:szCs w:val="16"/>
        </w:rPr>
        <w:t xml:space="preserve"> </w:t>
      </w:r>
      <w:r w:rsidR="0022589A">
        <w:rPr>
          <w:rFonts w:asciiTheme="minorHAnsi" w:hAnsiTheme="minorHAnsi" w:cstheme="minorHAnsi"/>
          <w:i/>
          <w:iCs/>
          <w:sz w:val="16"/>
          <w:szCs w:val="16"/>
        </w:rPr>
        <w:t xml:space="preserve">   </w:t>
      </w:r>
      <w:r w:rsidRPr="002B3648">
        <w:rPr>
          <w:rFonts w:asciiTheme="minorHAnsi" w:hAnsiTheme="minorHAnsi" w:cstheme="minorHAnsi"/>
          <w:i/>
          <w:iCs/>
          <w:sz w:val="16"/>
          <w:szCs w:val="16"/>
        </w:rPr>
        <w:t>Fuente</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034F5B">
        <w:rPr>
          <w:rFonts w:asciiTheme="minorHAnsi" w:hAnsiTheme="minorHAnsi" w:cstheme="minorHAnsi"/>
          <w:i/>
          <w:iCs/>
          <w:sz w:val="16"/>
          <w:szCs w:val="16"/>
        </w:rPr>
        <w:t xml:space="preserve"> </w:t>
      </w:r>
      <w:r w:rsidR="009011EA">
        <w:rPr>
          <w:rFonts w:asciiTheme="minorHAnsi" w:hAnsiTheme="minorHAnsi" w:cstheme="minorHAnsi"/>
          <w:i/>
          <w:iCs/>
          <w:sz w:val="16"/>
          <w:szCs w:val="16"/>
        </w:rPr>
        <w:t>y Petroperú</w:t>
      </w:r>
    </w:p>
    <w:p w14:paraId="1667552F" w14:textId="298AC37A" w:rsidR="00C80F8A" w:rsidRDefault="00C80F8A" w:rsidP="00C2751F">
      <w:pPr>
        <w:jc w:val="both"/>
        <w:rPr>
          <w:rFonts w:asciiTheme="minorHAnsi" w:hAnsiTheme="minorHAnsi" w:cstheme="minorHAnsi"/>
          <w:i/>
          <w:iCs/>
          <w:sz w:val="16"/>
          <w:szCs w:val="16"/>
        </w:rPr>
      </w:pPr>
    </w:p>
    <w:p w14:paraId="4B79F497" w14:textId="77777777" w:rsidR="00C80F8A" w:rsidRDefault="00C80F8A" w:rsidP="00C2751F">
      <w:pPr>
        <w:jc w:val="both"/>
        <w:rPr>
          <w:rFonts w:asciiTheme="minorHAnsi" w:hAnsiTheme="minorHAnsi" w:cstheme="minorHAnsi"/>
          <w:i/>
          <w:iCs/>
          <w:sz w:val="16"/>
          <w:szCs w:val="16"/>
        </w:rPr>
      </w:pPr>
    </w:p>
    <w:p w14:paraId="2B78D4FE" w14:textId="290F6DFB" w:rsidR="00C80F8A" w:rsidRPr="00C2751F" w:rsidRDefault="00C2751F" w:rsidP="00C2751F">
      <w:pPr>
        <w:jc w:val="both"/>
        <w:rPr>
          <w:rFonts w:asciiTheme="minorHAnsi" w:hAnsiTheme="minorHAnsi" w:cstheme="minorHAnsi"/>
          <w:i/>
          <w:iCs/>
          <w:sz w:val="16"/>
          <w:szCs w:val="16"/>
        </w:rPr>
      </w:pPr>
      <w:r>
        <w:rPr>
          <w:rFonts w:asciiTheme="minorHAnsi" w:hAnsiTheme="minorHAnsi" w:cstheme="minorHAnsi"/>
          <w:i/>
          <w:iCs/>
          <w:sz w:val="16"/>
          <w:szCs w:val="16"/>
        </w:rPr>
        <w:t xml:space="preserve"> </w:t>
      </w:r>
      <w:bookmarkStart w:id="3" w:name="_GoBack"/>
      <w:bookmarkEnd w:id="3"/>
      <w:r w:rsidR="00C80F8A" w:rsidRPr="00C2751F">
        <w:rPr>
          <w:rFonts w:asciiTheme="minorHAnsi" w:hAnsiTheme="minorHAnsi" w:cstheme="minorHAnsi"/>
          <w:i/>
          <w:iCs/>
          <w:sz w:val="16"/>
          <w:szCs w:val="16"/>
        </w:rPr>
        <w:t>MMC / MMT / ASC</w:t>
      </w:r>
    </w:p>
    <w:p w14:paraId="094AB2C7" w14:textId="77777777" w:rsidR="00C80F8A" w:rsidRDefault="00C80F8A" w:rsidP="00C2751F">
      <w:pPr>
        <w:jc w:val="both"/>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5"/>
      </w:r>
    </w:p>
    <w:p w14:paraId="1A959533" w14:textId="77777777" w:rsidR="00214BFB" w:rsidRDefault="00214BFB" w:rsidP="00214BFB">
      <w:pPr>
        <w:jc w:val="both"/>
        <w:rPr>
          <w:rFonts w:asciiTheme="minorHAnsi" w:hAnsiTheme="minorHAnsi" w:cstheme="minorHAnsi"/>
          <w:sz w:val="22"/>
          <w:szCs w:val="22"/>
        </w:rPr>
      </w:pPr>
    </w:p>
    <w:p w14:paraId="31252B3F" w14:textId="198694DD" w:rsidR="009D445C" w:rsidRDefault="00536E42" w:rsidP="00214BFB">
      <w:pPr>
        <w:jc w:val="center"/>
        <w:rPr>
          <w:rFonts w:asciiTheme="minorHAnsi" w:hAnsiTheme="minorHAnsi" w:cstheme="minorHAnsi"/>
          <w:sz w:val="22"/>
          <w:szCs w:val="22"/>
        </w:rPr>
      </w:pPr>
      <w:r>
        <w:rPr>
          <w:noProof/>
          <w:lang w:val="es-PE" w:eastAsia="es-PE"/>
        </w:rPr>
        <w:drawing>
          <wp:inline distT="0" distB="0" distL="0" distR="0" wp14:anchorId="5B099529" wp14:editId="19AC2C8D">
            <wp:extent cx="4537248" cy="2422525"/>
            <wp:effectExtent l="19050" t="19050" r="15875" b="15875"/>
            <wp:docPr id="24" name="Picture 24"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55034" cy="2432021"/>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11CD697C" w:rsidR="00243B98" w:rsidRDefault="00536E42" w:rsidP="00214BFB">
      <w:pPr>
        <w:jc w:val="center"/>
        <w:rPr>
          <w:rFonts w:asciiTheme="minorHAnsi" w:hAnsiTheme="minorHAnsi" w:cstheme="minorHAnsi"/>
          <w:sz w:val="22"/>
          <w:szCs w:val="22"/>
        </w:rPr>
      </w:pPr>
      <w:r>
        <w:rPr>
          <w:noProof/>
          <w:lang w:val="es-PE" w:eastAsia="es-PE"/>
        </w:rPr>
        <w:drawing>
          <wp:inline distT="0" distB="0" distL="0" distR="0" wp14:anchorId="390821EC" wp14:editId="080A291D">
            <wp:extent cx="4537248" cy="2422525"/>
            <wp:effectExtent l="19050" t="19050" r="15875" b="15875"/>
            <wp:docPr id="25" name="Picture 25"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41267" cy="2424671"/>
                    </a:xfrm>
                    <a:prstGeom prst="rect">
                      <a:avLst/>
                    </a:prstGeom>
                    <a:noFill/>
                    <a:ln>
                      <a:solidFill>
                        <a:schemeClr val="accent1"/>
                      </a:solidFill>
                    </a:ln>
                  </pic:spPr>
                </pic:pic>
              </a:graphicData>
            </a:graphic>
          </wp:inline>
        </w:drawing>
      </w:r>
    </w:p>
    <w:p w14:paraId="105484E7" w14:textId="433F83E1" w:rsidR="00536E42" w:rsidRDefault="00536E42" w:rsidP="00214BFB">
      <w:pPr>
        <w:jc w:val="center"/>
        <w:rPr>
          <w:rFonts w:asciiTheme="minorHAnsi" w:hAnsiTheme="minorHAnsi" w:cstheme="minorHAnsi"/>
          <w:sz w:val="22"/>
          <w:szCs w:val="22"/>
        </w:rPr>
      </w:pPr>
    </w:p>
    <w:p w14:paraId="76B31578" w14:textId="4F0C5F1C" w:rsidR="00536E42" w:rsidRDefault="00536E42" w:rsidP="00214BFB">
      <w:pPr>
        <w:jc w:val="center"/>
        <w:rPr>
          <w:rFonts w:asciiTheme="minorHAnsi" w:hAnsiTheme="minorHAnsi" w:cstheme="minorHAnsi"/>
          <w:sz w:val="22"/>
          <w:szCs w:val="22"/>
        </w:rPr>
      </w:pPr>
      <w:r>
        <w:rPr>
          <w:noProof/>
          <w:lang w:val="es-PE" w:eastAsia="es-PE"/>
        </w:rPr>
        <w:drawing>
          <wp:inline distT="0" distB="0" distL="0" distR="0" wp14:anchorId="28A99635" wp14:editId="0CF4425A">
            <wp:extent cx="4520271" cy="2413461"/>
            <wp:effectExtent l="19050" t="19050" r="13970" b="25400"/>
            <wp:docPr id="26" name="Picture 26"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26327" cy="2416695"/>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1FD29E12" w:rsidR="005932D3" w:rsidRDefault="00536E42" w:rsidP="00214BFB">
      <w:pPr>
        <w:jc w:val="center"/>
        <w:rPr>
          <w:rFonts w:asciiTheme="minorHAnsi" w:hAnsiTheme="minorHAnsi" w:cstheme="minorHAnsi"/>
          <w:sz w:val="22"/>
          <w:szCs w:val="22"/>
        </w:rPr>
      </w:pPr>
      <w:r>
        <w:rPr>
          <w:noProof/>
          <w:lang w:val="es-PE" w:eastAsia="es-PE"/>
        </w:rPr>
        <w:drawing>
          <wp:inline distT="0" distB="0" distL="0" distR="0" wp14:anchorId="6E06D17B" wp14:editId="169F5DB0">
            <wp:extent cx="4465320" cy="2384121"/>
            <wp:effectExtent l="19050" t="19050" r="11430" b="16510"/>
            <wp:docPr id="7" name="Picture 7"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6745" cy="2390221"/>
                    </a:xfrm>
                    <a:prstGeom prst="rect">
                      <a:avLst/>
                    </a:prstGeom>
                    <a:noFill/>
                    <a:ln>
                      <a:solidFill>
                        <a:schemeClr val="accent1"/>
                      </a:solidFill>
                    </a:ln>
                  </pic:spPr>
                </pic:pic>
              </a:graphicData>
            </a:graphic>
          </wp:inline>
        </w:drawing>
      </w:r>
    </w:p>
    <w:p w14:paraId="3F332F86" w14:textId="25B4D9B7" w:rsidR="00352B3A" w:rsidRDefault="00352B3A" w:rsidP="00AF2226">
      <w:pPr>
        <w:ind w:left="993"/>
        <w:jc w:val="both"/>
        <w:rPr>
          <w:rFonts w:asciiTheme="minorHAnsi" w:hAnsiTheme="minorHAnsi" w:cstheme="minorHAnsi"/>
          <w:b/>
          <w:bCs/>
          <w:i/>
          <w:iCs/>
          <w:sz w:val="16"/>
          <w:szCs w:val="16"/>
        </w:rPr>
      </w:pP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A61CEAE" w:rsidR="006D325E" w:rsidRDefault="006D325E" w:rsidP="00C5246D">
      <w:pPr>
        <w:jc w:val="cente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C2751F"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523C3ADA"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C2751F">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0CCF8AA8"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C2751F">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5E452C70"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C2751F">
          <w:rPr>
            <w:rFonts w:asciiTheme="minorHAnsi" w:hAnsiTheme="minorHAnsi" w:cstheme="minorHAnsi"/>
            <w:b/>
            <w:noProof/>
            <w:color w:val="002060"/>
            <w:lang w:val="en-US"/>
          </w:rPr>
          <w:t>14</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757D7EC2" w14:textId="77777777" w:rsidR="00A55594" w:rsidRPr="00D115A0" w:rsidRDefault="00A55594" w:rsidP="00A55594">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6A74D468" w14:textId="77777777" w:rsidR="00A55594" w:rsidRPr="003263C3" w:rsidRDefault="00A55594" w:rsidP="00A55594">
      <w:pPr>
        <w:pStyle w:val="Prrafodelista"/>
        <w:ind w:left="426"/>
        <w:jc w:val="both"/>
        <w:rPr>
          <w:rFonts w:asciiTheme="minorHAnsi" w:hAnsiTheme="minorHAnsi" w:cstheme="minorHAnsi"/>
          <w:sz w:val="18"/>
          <w:szCs w:val="18"/>
          <w:highlight w:val="yellow"/>
        </w:rPr>
      </w:pPr>
      <w:r>
        <w:rPr>
          <w:rStyle w:val="Refdenotaalpie"/>
        </w:rPr>
        <w:footnoteRef/>
      </w:r>
      <w:r>
        <w:t xml:space="preserve"> </w:t>
      </w:r>
      <w:r w:rsidRPr="003263C3">
        <w:rPr>
          <w:rFonts w:asciiTheme="minorHAnsi" w:hAnsiTheme="minorHAnsi" w:cstheme="minorHAnsi"/>
          <w:sz w:val="18"/>
          <w:szCs w:val="18"/>
        </w:rPr>
        <w:t>Las cuotas de importación</w:t>
      </w:r>
      <w:r w:rsidRPr="003263C3">
        <w:rPr>
          <w:rFonts w:asciiTheme="minorHAnsi" w:hAnsiTheme="minorHAnsi" w:cstheme="minorHAnsi"/>
          <w:color w:val="333333"/>
          <w:sz w:val="18"/>
          <w:szCs w:val="18"/>
          <w:shd w:val="clear" w:color="auto" w:fill="FFFFFF"/>
        </w:rPr>
        <w:t xml:space="preserve"> de crudo aumentaron en un +20%.</w:t>
      </w:r>
    </w:p>
    <w:p w14:paraId="1F058468" w14:textId="77777777" w:rsidR="00A55594" w:rsidRPr="003263C3" w:rsidRDefault="00A55594" w:rsidP="00A55594">
      <w:pPr>
        <w:pStyle w:val="Textonotapie"/>
        <w:rPr>
          <w:rFonts w:asciiTheme="minorHAnsi" w:hAnsiTheme="minorHAnsi" w:cstheme="minorHAnsi"/>
          <w:sz w:val="18"/>
          <w:szCs w:val="18"/>
        </w:rPr>
      </w:pPr>
    </w:p>
  </w:footnote>
  <w:footnote w:id="4">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5">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1" w:name="_Hlk68946101"/>
    <w:bookmarkStart w:id="2"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4C529508" w:rsidR="00352B3A" w:rsidRPr="00352B3A" w:rsidRDefault="00352B3A" w:rsidP="00C2751F">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C2751F">
            <w:rPr>
              <w:rFonts w:ascii="Calibri" w:hAnsi="Calibri" w:cs="Calibri"/>
              <w:b/>
              <w:sz w:val="26"/>
              <w:szCs w:val="26"/>
              <w:lang w:val="it-IT"/>
            </w:rPr>
            <w:t>3</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1"/>
  <w:bookmarkEnd w:id="2"/>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306149BE" w:rsidR="00352B3A" w:rsidRPr="00352B3A" w:rsidRDefault="00352B3A" w:rsidP="00A55594">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A55594">
            <w:rPr>
              <w:rFonts w:ascii="Calibri" w:hAnsi="Calibri" w:cs="Calibri"/>
              <w:b/>
              <w:sz w:val="26"/>
              <w:szCs w:val="26"/>
              <w:lang w:val="it-IT"/>
            </w:rPr>
            <w:t>3</w:t>
          </w:r>
          <w:r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1A87601D" w:rsidR="00352B3A" w:rsidRPr="00352B3A" w:rsidRDefault="00352B3A" w:rsidP="007A4646">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7A4646">
            <w:rPr>
              <w:rFonts w:ascii="Calibri" w:hAnsi="Calibri" w:cs="Calibri"/>
              <w:b/>
              <w:sz w:val="26"/>
              <w:szCs w:val="26"/>
              <w:lang w:val="it-IT"/>
            </w:rPr>
            <w:t>3</w:t>
          </w:r>
          <w:r w:rsidRPr="00352B3A">
            <w:rPr>
              <w:rFonts w:ascii="Calibri" w:hAnsi="Calibri" w:cs="Calibri"/>
              <w:b/>
              <w:sz w:val="26"/>
              <w:szCs w:val="26"/>
              <w:lang w:val="it-IT"/>
            </w:rPr>
            <w:t>-2023-DGN/GRT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655486E1" w:rsidR="00352B3A" w:rsidRPr="00352B3A" w:rsidRDefault="00352B3A" w:rsidP="007A4646">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7A4646">
            <w:rPr>
              <w:rFonts w:ascii="Calibri" w:hAnsi="Calibri" w:cs="Calibri"/>
              <w:b/>
              <w:sz w:val="26"/>
              <w:szCs w:val="26"/>
              <w:lang w:val="it-IT"/>
            </w:rPr>
            <w:t>3</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42"/>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46"/>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594"/>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51F"/>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57BE2"/>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BCDF1-2320-40BB-BE38-4EAEFCD95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3235</Words>
  <Characters>17797</Characters>
  <Application>Microsoft Office Word</Application>
  <DocSecurity>0</DocSecurity>
  <Lines>148</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4</cp:revision>
  <cp:lastPrinted>2023-01-12T22:49:00Z</cp:lastPrinted>
  <dcterms:created xsi:type="dcterms:W3CDTF">2023-01-20T14:28:00Z</dcterms:created>
  <dcterms:modified xsi:type="dcterms:W3CDTF">2023-01-20T14:52:00Z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