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C31DA7" w14:textId="77777777" w:rsidR="00B06A00" w:rsidRPr="00FB18F8" w:rsidRDefault="00B06A00" w:rsidP="006106D5">
      <w:pPr>
        <w:pStyle w:val="Ttulo1"/>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35EC91E0"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4A6DA2">
        <w:rPr>
          <w:rFonts w:asciiTheme="minorHAnsi" w:hAnsiTheme="minorHAnsi" w:cstheme="minorHAnsi"/>
          <w:b/>
          <w:bCs/>
          <w:sz w:val="28"/>
          <w:szCs w:val="28"/>
        </w:rPr>
        <w:t>14</w:t>
      </w:r>
      <w:r w:rsidR="00D13504" w:rsidRPr="00FB18F8">
        <w:rPr>
          <w:rFonts w:asciiTheme="minorHAnsi" w:hAnsiTheme="minorHAnsi" w:cstheme="minorHAnsi"/>
          <w:b/>
          <w:bCs/>
          <w:sz w:val="28"/>
          <w:szCs w:val="28"/>
        </w:rPr>
        <w:t>/</w:t>
      </w:r>
      <w:r w:rsidR="009F52E1">
        <w:rPr>
          <w:rFonts w:asciiTheme="minorHAnsi" w:hAnsiTheme="minorHAnsi" w:cstheme="minorHAnsi"/>
          <w:b/>
          <w:bCs/>
          <w:sz w:val="28"/>
          <w:szCs w:val="28"/>
        </w:rPr>
        <w:t>11</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Heading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BodyTextIndent"/>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BodyTextIndent"/>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BodyTextIndent"/>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7C7D4564" w:rsidR="00E53D92" w:rsidRPr="002B3648" w:rsidRDefault="004A6DA2"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4A6DA2">
        <w:drawing>
          <wp:inline distT="0" distB="0" distL="0" distR="0" wp14:anchorId="4053588E" wp14:editId="049965A7">
            <wp:extent cx="5326380" cy="3368040"/>
            <wp:effectExtent l="0" t="0" r="762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26380" cy="3368040"/>
                    </a:xfrm>
                    <a:prstGeom prst="rect">
                      <a:avLst/>
                    </a:prstGeom>
                    <a:noFill/>
                    <a:ln>
                      <a:noFill/>
                    </a:ln>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71259A0C"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DD04A8">
        <w:rPr>
          <w:rFonts w:asciiTheme="minorHAnsi" w:hAnsiTheme="minorHAnsi" w:cstheme="minorHAnsi"/>
          <w:sz w:val="22"/>
          <w:szCs w:val="22"/>
        </w:rPr>
        <w:t xml:space="preserve"> Gráfica N°1, durante el primer semestre d</w:t>
      </w:r>
      <w:r w:rsidR="008C61D2">
        <w:rPr>
          <w:rFonts w:asciiTheme="minorHAnsi" w:hAnsiTheme="minorHAnsi" w:cstheme="minorHAnsi"/>
          <w:sz w:val="22"/>
          <w:szCs w:val="22"/>
        </w:rPr>
        <w:t>el año 2022</w:t>
      </w:r>
      <w:r w:rsidR="004E173D">
        <w:rPr>
          <w:rFonts w:asciiTheme="minorHAnsi" w:hAnsiTheme="minorHAnsi" w:cstheme="minorHAnsi"/>
          <w:sz w:val="22"/>
          <w:szCs w:val="22"/>
        </w:rPr>
        <w:t xml:space="preserve">, los precios del petróleo crudo y productos </w:t>
      </w:r>
      <w:r w:rsidR="00DD04A8">
        <w:rPr>
          <w:rFonts w:asciiTheme="minorHAnsi" w:hAnsiTheme="minorHAnsi" w:cstheme="minorHAnsi"/>
          <w:sz w:val="22"/>
          <w:szCs w:val="22"/>
        </w:rPr>
        <w:t>mostraron una</w:t>
      </w:r>
      <w:r w:rsidR="00E93AAF">
        <w:rPr>
          <w:rFonts w:asciiTheme="minorHAnsi" w:hAnsiTheme="minorHAnsi" w:cstheme="minorHAnsi"/>
          <w:sz w:val="22"/>
          <w:szCs w:val="22"/>
        </w:rPr>
        <w:t xml:space="preserve">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FootnoteReferenc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4A6DA2">
        <w:rPr>
          <w:rFonts w:asciiTheme="minorHAnsi" w:hAnsiTheme="minorHAnsi" w:cstheme="minorHAnsi"/>
          <w:sz w:val="22"/>
          <w:szCs w:val="22"/>
        </w:rPr>
        <w:t>88.14</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8D325B">
        <w:rPr>
          <w:rFonts w:asciiTheme="minorHAnsi" w:hAnsiTheme="minorHAnsi" w:cstheme="minorHAnsi"/>
          <w:sz w:val="22"/>
          <w:szCs w:val="22"/>
        </w:rPr>
        <w:t>por debajo de</w:t>
      </w:r>
      <w:r w:rsidR="003C38E4">
        <w:rPr>
          <w:rFonts w:asciiTheme="minorHAnsi" w:hAnsiTheme="minorHAnsi" w:cstheme="minorHAnsi"/>
          <w:sz w:val="22"/>
          <w:szCs w:val="22"/>
        </w:rPr>
        <w:t xml:space="preserve"> los </w:t>
      </w:r>
      <w:r w:rsidR="0009539C">
        <w:rPr>
          <w:rFonts w:asciiTheme="minorHAnsi" w:hAnsiTheme="minorHAnsi" w:cstheme="minorHAnsi"/>
          <w:sz w:val="22"/>
          <w:szCs w:val="22"/>
        </w:rPr>
        <w:t>110</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4A6DA2">
        <w:rPr>
          <w:rFonts w:asciiTheme="minorHAnsi" w:hAnsiTheme="minorHAnsi" w:cstheme="minorHAnsi"/>
          <w:sz w:val="22"/>
          <w:szCs w:val="22"/>
        </w:rPr>
        <w:t>3</w:t>
      </w:r>
      <w:r w:rsidR="0009539C">
        <w:rPr>
          <w:rFonts w:asciiTheme="minorHAnsi" w:hAnsiTheme="minorHAnsi" w:cstheme="minorHAnsi"/>
          <w:sz w:val="22"/>
          <w:szCs w:val="22"/>
        </w:rPr>
        <w:t>0</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FF3534">
        <w:rPr>
          <w:rFonts w:asciiTheme="minorHAnsi" w:hAnsiTheme="minorHAnsi" w:cstheme="minorHAnsi"/>
          <w:sz w:val="22"/>
          <w:szCs w:val="22"/>
        </w:rPr>
        <w:t>38.</w:t>
      </w:r>
      <w:r w:rsidR="004A6DA2">
        <w:rPr>
          <w:rFonts w:asciiTheme="minorHAnsi" w:hAnsiTheme="minorHAnsi" w:cstheme="minorHAnsi"/>
          <w:sz w:val="22"/>
          <w:szCs w:val="22"/>
        </w:rPr>
        <w:t>37</w:t>
      </w:r>
      <w:r w:rsidR="00F417D3">
        <w:rPr>
          <w:rFonts w:asciiTheme="minorHAnsi" w:hAnsiTheme="minorHAnsi" w:cstheme="minorHAnsi"/>
          <w:sz w:val="22"/>
          <w:szCs w:val="22"/>
        </w:rPr>
        <w:t xml:space="preserve"> US$/Bl.</w:t>
      </w:r>
    </w:p>
    <w:p w14:paraId="6FD26437" w14:textId="77777777" w:rsidR="00613813" w:rsidRDefault="00613813" w:rsidP="005E5D5F">
      <w:pPr>
        <w:ind w:left="284"/>
        <w:jc w:val="both"/>
        <w:rPr>
          <w:rFonts w:asciiTheme="minorHAnsi" w:hAnsiTheme="minorHAnsi" w:cstheme="minorHAnsi"/>
          <w:sz w:val="22"/>
          <w:szCs w:val="22"/>
        </w:rPr>
      </w:pPr>
    </w:p>
    <w:p w14:paraId="755B721C" w14:textId="408E07D3"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146C19">
        <w:rPr>
          <w:rFonts w:asciiTheme="minorHAnsi" w:hAnsiTheme="minorHAnsi" w:cstheme="minorHAnsi"/>
          <w:sz w:val="22"/>
          <w:szCs w:val="22"/>
        </w:rPr>
        <w:t>31</w:t>
      </w:r>
      <w:r w:rsidR="008A5456" w:rsidRPr="008C61D2">
        <w:rPr>
          <w:rFonts w:asciiTheme="minorHAnsi" w:hAnsiTheme="minorHAnsi" w:cstheme="minorHAnsi"/>
          <w:sz w:val="22"/>
          <w:szCs w:val="22"/>
        </w:rPr>
        <w:t>.</w:t>
      </w:r>
      <w:r w:rsidR="005D4BAC">
        <w:rPr>
          <w:rFonts w:asciiTheme="minorHAnsi" w:hAnsiTheme="minorHAnsi" w:cstheme="minorHAnsi"/>
          <w:sz w:val="22"/>
          <w:szCs w:val="22"/>
        </w:rPr>
        <w:t>10</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146C19">
        <w:rPr>
          <w:rFonts w:asciiTheme="minorHAnsi" w:hAnsiTheme="minorHAnsi" w:cstheme="minorHAnsi"/>
          <w:sz w:val="22"/>
          <w:szCs w:val="22"/>
        </w:rPr>
        <w:t>11</w:t>
      </w:r>
      <w:r w:rsidR="008A5456" w:rsidRPr="008C61D2">
        <w:rPr>
          <w:rFonts w:asciiTheme="minorHAnsi" w:hAnsiTheme="minorHAnsi" w:cstheme="minorHAnsi"/>
          <w:sz w:val="22"/>
          <w:szCs w:val="22"/>
        </w:rPr>
        <w:t>.</w:t>
      </w:r>
      <w:r w:rsidR="0045359E">
        <w:rPr>
          <w:rFonts w:asciiTheme="minorHAnsi" w:hAnsiTheme="minorHAnsi" w:cstheme="minorHAnsi"/>
          <w:sz w:val="22"/>
          <w:szCs w:val="22"/>
        </w:rPr>
        <w:t>11</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17FDFC01" w14:textId="77777777" w:rsidR="00146C19" w:rsidRPr="00146C19" w:rsidRDefault="00146C19" w:rsidP="00146C19">
      <w:pPr>
        <w:pStyle w:val="ListParagraph"/>
        <w:numPr>
          <w:ilvl w:val="0"/>
          <w:numId w:val="13"/>
        </w:numPr>
        <w:ind w:left="426"/>
        <w:contextualSpacing/>
        <w:jc w:val="both"/>
        <w:rPr>
          <w:rFonts w:asciiTheme="minorHAnsi" w:hAnsiTheme="minorHAnsi" w:cstheme="minorHAnsi"/>
          <w:b/>
          <w:sz w:val="22"/>
          <w:szCs w:val="22"/>
        </w:rPr>
      </w:pPr>
      <w:r w:rsidRPr="00146C19">
        <w:rPr>
          <w:rFonts w:asciiTheme="minorHAnsi" w:hAnsiTheme="minorHAnsi" w:cstheme="minorHAnsi"/>
          <w:b/>
          <w:sz w:val="22"/>
          <w:szCs w:val="22"/>
        </w:rPr>
        <w:t>El aumento de los inventarios de crudo, así como la disminución de las existencias de propano, gasolinas y destilados al 04 de noviembre del 2022.</w:t>
      </w:r>
    </w:p>
    <w:p w14:paraId="05B97A4C" w14:textId="77777777" w:rsidR="00146C19" w:rsidRPr="00146C19" w:rsidRDefault="00146C19" w:rsidP="00146C19">
      <w:pPr>
        <w:pStyle w:val="ListParagraph"/>
        <w:ind w:left="426"/>
        <w:jc w:val="both"/>
        <w:rPr>
          <w:rFonts w:asciiTheme="minorHAnsi" w:hAnsiTheme="minorHAnsi" w:cstheme="minorHAnsi"/>
          <w:sz w:val="22"/>
          <w:szCs w:val="22"/>
        </w:rPr>
      </w:pPr>
    </w:p>
    <w:p w14:paraId="37957779"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t>Los inventarios de petróleo subieron 3,9 millones de barriles, registrando un total de 440,8 millones de barriles, un 3% por debajo de la media de los últimos 5 años en esta época del año.</w:t>
      </w:r>
    </w:p>
    <w:p w14:paraId="7C1529D5" w14:textId="77777777" w:rsidR="00146C19" w:rsidRPr="00146C19" w:rsidRDefault="00146C19" w:rsidP="00146C19">
      <w:pPr>
        <w:pStyle w:val="ListParagraph"/>
        <w:ind w:left="426"/>
        <w:jc w:val="both"/>
        <w:rPr>
          <w:rFonts w:asciiTheme="minorHAnsi" w:hAnsiTheme="minorHAnsi" w:cstheme="minorHAnsi"/>
          <w:sz w:val="22"/>
          <w:szCs w:val="22"/>
        </w:rPr>
      </w:pPr>
    </w:p>
    <w:p w14:paraId="52F2B827"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t>Las existencias de gasolina se redujeron 0,9 millones de barriles, reportando un total de 205,7 millones de barriles; mientras los inventarios de destilados, que incluyen al diésel y al combustible para calefacción, disminuyeron 0,5 millones de barriles, con un total de 106,3 millones de barriles. Finalmente, las existencias de propano bajaron 0,31 millones de barriles, ubicándose en los 87,74 millones de barriles.</w:t>
      </w:r>
    </w:p>
    <w:p w14:paraId="448FA009" w14:textId="77777777" w:rsidR="00146C19" w:rsidRPr="00146C19" w:rsidRDefault="00146C19" w:rsidP="00146C19">
      <w:pPr>
        <w:pStyle w:val="ListParagraph"/>
        <w:ind w:left="426"/>
        <w:jc w:val="both"/>
        <w:rPr>
          <w:rFonts w:asciiTheme="minorHAnsi" w:hAnsiTheme="minorHAnsi" w:cstheme="minorHAnsi"/>
          <w:sz w:val="22"/>
          <w:szCs w:val="22"/>
        </w:rPr>
      </w:pPr>
    </w:p>
    <w:p w14:paraId="54FB5A60" w14:textId="77777777" w:rsidR="00146C19" w:rsidRPr="00146C19" w:rsidRDefault="00146C19" w:rsidP="00146C19">
      <w:pPr>
        <w:pStyle w:val="ListParagraph"/>
        <w:numPr>
          <w:ilvl w:val="0"/>
          <w:numId w:val="13"/>
        </w:numPr>
        <w:ind w:left="426"/>
        <w:contextualSpacing/>
        <w:jc w:val="both"/>
        <w:rPr>
          <w:rFonts w:asciiTheme="minorHAnsi" w:hAnsiTheme="minorHAnsi" w:cstheme="minorHAnsi"/>
          <w:sz w:val="22"/>
          <w:szCs w:val="22"/>
        </w:rPr>
      </w:pPr>
      <w:r w:rsidRPr="00146C19">
        <w:rPr>
          <w:rFonts w:asciiTheme="minorHAnsi" w:hAnsiTheme="minorHAnsi" w:cstheme="minorHAnsi"/>
          <w:b/>
          <w:bCs/>
          <w:sz w:val="22"/>
          <w:szCs w:val="22"/>
        </w:rPr>
        <w:t>El recorte de la previsión de crecimiento de la demanda petrolera para 2022, de parte de la OPEP.</w:t>
      </w:r>
    </w:p>
    <w:p w14:paraId="49C6FE4D" w14:textId="77777777" w:rsidR="00146C19" w:rsidRPr="00146C19" w:rsidRDefault="00146C19" w:rsidP="00146C19">
      <w:pPr>
        <w:ind w:left="426"/>
        <w:jc w:val="both"/>
        <w:rPr>
          <w:rFonts w:asciiTheme="minorHAnsi" w:hAnsiTheme="minorHAnsi" w:cstheme="minorHAnsi"/>
          <w:sz w:val="22"/>
          <w:szCs w:val="22"/>
        </w:rPr>
      </w:pPr>
      <w:r w:rsidRPr="00146C19">
        <w:rPr>
          <w:rFonts w:asciiTheme="minorHAnsi" w:hAnsiTheme="minorHAnsi" w:cstheme="minorHAnsi"/>
          <w:sz w:val="22"/>
          <w:szCs w:val="22"/>
        </w:rPr>
        <w:br/>
        <w:t>La OPEP recortó su previsión de crecimiento de la demanda mundial de petróleo para 2022 (por quinta vez desde abril 2022) basándose en los crecientes desafíos económicos, como la alta inflación y el aumento de los tipos de interés. El cartel estimó que la demanda de petróleo en 2022 aumentará en 2,55 millones de barriles por día (bpd), o un +2,6% (lo que supone un descenso de 100.000 bpd respecto a la previsión anterior):</w:t>
      </w:r>
    </w:p>
    <w:p w14:paraId="72169940"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br/>
        <w:t>En su Informe Mensual, la OPEP manifestó lo siguiente: “La economía mundial ha entrado en un periodo de importante incertidumbre y de crecientes desafíos en el cuarto trimestre de 2022. Los riesgos a la baja incluyen la inflación elevada, el endurecimiento monetario por parte de los principales bancos centrales, los altos niveles de deuda soberana en muchas regiones, la disminución de mano de obra en los mercados laborales y la persistencia de las limitaciones en la cadena de suministro.”</w:t>
      </w:r>
    </w:p>
    <w:p w14:paraId="68021ED0" w14:textId="77777777" w:rsidR="00146C19" w:rsidRPr="00146C19" w:rsidRDefault="00146C19" w:rsidP="00146C19">
      <w:pPr>
        <w:pStyle w:val="ListParagraph"/>
        <w:numPr>
          <w:ilvl w:val="0"/>
          <w:numId w:val="13"/>
        </w:numPr>
        <w:ind w:left="426"/>
        <w:contextualSpacing/>
        <w:jc w:val="both"/>
        <w:rPr>
          <w:rFonts w:asciiTheme="minorHAnsi" w:hAnsiTheme="minorHAnsi" w:cstheme="minorHAnsi"/>
          <w:b/>
          <w:sz w:val="22"/>
          <w:szCs w:val="22"/>
        </w:rPr>
      </w:pPr>
      <w:r w:rsidRPr="00146C19">
        <w:rPr>
          <w:rFonts w:asciiTheme="minorHAnsi" w:hAnsiTheme="minorHAnsi" w:cstheme="minorHAnsi"/>
          <w:b/>
          <w:sz w:val="22"/>
          <w:szCs w:val="22"/>
        </w:rPr>
        <w:lastRenderedPageBreak/>
        <w:t>Los temores a una recesión mundial que debilite la demanda de petróleo crudo y combustibles, debido a la persistente inflación y al aumento de las tasas de interés a nivel mundial.</w:t>
      </w:r>
    </w:p>
    <w:p w14:paraId="3465076D" w14:textId="77777777" w:rsidR="00146C19" w:rsidRPr="00146C19" w:rsidRDefault="00146C19" w:rsidP="00146C19">
      <w:pPr>
        <w:pStyle w:val="ListParagraph"/>
        <w:ind w:left="426"/>
        <w:jc w:val="both"/>
        <w:rPr>
          <w:rFonts w:asciiTheme="minorHAnsi" w:hAnsiTheme="minorHAnsi" w:cstheme="minorHAnsi"/>
          <w:b/>
          <w:sz w:val="22"/>
          <w:szCs w:val="22"/>
        </w:rPr>
      </w:pPr>
    </w:p>
    <w:p w14:paraId="22DAAFB9"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t>El alza de las tasas de interés en Estados Unidos, dio lugar al aumento del dólar, agudizando el temor a una recesión mundial. No obstante, las pérdidas eran limitadas por la preocupación de la escasa oferta.</w:t>
      </w:r>
    </w:p>
    <w:p w14:paraId="3A941EDB" w14:textId="77777777" w:rsidR="00146C19" w:rsidRPr="00146C19" w:rsidRDefault="00146C19" w:rsidP="00146C19">
      <w:pPr>
        <w:pStyle w:val="ListParagraph"/>
        <w:ind w:left="426"/>
        <w:jc w:val="both"/>
        <w:rPr>
          <w:rFonts w:asciiTheme="minorHAnsi" w:hAnsiTheme="minorHAnsi" w:cstheme="minorHAnsi"/>
          <w:sz w:val="22"/>
          <w:szCs w:val="22"/>
        </w:rPr>
      </w:pPr>
    </w:p>
    <w:p w14:paraId="5F707872"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t xml:space="preserve">La Agencia Internacional de Energía (AIE) recortó su previsión de demanda petrolera para el 2022 y el 2023, advirtiendo de una posible recesión mundial. Los Bancos Centrales de EE.UU. y varios países de Europa y Asia siguen incrementando sus tasas de interés para controlar la inflación. </w:t>
      </w:r>
    </w:p>
    <w:p w14:paraId="78C992CA" w14:textId="77777777" w:rsidR="00146C19" w:rsidRPr="00146C19" w:rsidRDefault="00146C19" w:rsidP="00146C19">
      <w:pPr>
        <w:pStyle w:val="ListParagraph"/>
        <w:ind w:left="426"/>
        <w:jc w:val="both"/>
        <w:rPr>
          <w:rFonts w:asciiTheme="minorHAnsi" w:hAnsiTheme="minorHAnsi" w:cstheme="minorHAnsi"/>
          <w:sz w:val="22"/>
          <w:szCs w:val="22"/>
        </w:rPr>
      </w:pPr>
    </w:p>
    <w:p w14:paraId="6811465E" w14:textId="77777777" w:rsidR="00146C19" w:rsidRPr="00146C19" w:rsidRDefault="00146C19" w:rsidP="00146C19">
      <w:pPr>
        <w:pStyle w:val="ListParagraph"/>
        <w:numPr>
          <w:ilvl w:val="0"/>
          <w:numId w:val="13"/>
        </w:numPr>
        <w:ind w:left="426"/>
        <w:contextualSpacing/>
        <w:jc w:val="both"/>
        <w:rPr>
          <w:rFonts w:asciiTheme="minorHAnsi" w:hAnsiTheme="minorHAnsi" w:cstheme="minorHAnsi"/>
          <w:b/>
          <w:sz w:val="22"/>
          <w:szCs w:val="22"/>
        </w:rPr>
      </w:pPr>
      <w:r w:rsidRPr="00146C19">
        <w:rPr>
          <w:rFonts w:asciiTheme="minorHAnsi" w:hAnsiTheme="minorHAnsi" w:cstheme="minorHAnsi"/>
          <w:b/>
          <w:sz w:val="22"/>
          <w:szCs w:val="22"/>
        </w:rPr>
        <w:t>Las mayores restricciones contra el COVID-19 en China, a fin de detener los crecientes brotes, situación que ha ocasionado la reducción de las importaciones de petróleo de dicho país.</w:t>
      </w:r>
    </w:p>
    <w:p w14:paraId="79C56F11" w14:textId="77777777" w:rsidR="00146C19" w:rsidRPr="00146C19" w:rsidRDefault="00146C19" w:rsidP="00146C19">
      <w:pPr>
        <w:jc w:val="both"/>
        <w:rPr>
          <w:rFonts w:asciiTheme="minorHAnsi" w:hAnsiTheme="minorHAnsi" w:cstheme="minorHAnsi"/>
          <w:b/>
          <w:sz w:val="22"/>
          <w:szCs w:val="22"/>
        </w:rPr>
      </w:pPr>
    </w:p>
    <w:p w14:paraId="2642E719"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t>China está luchando contra un repunte de las infecciones en varias ciudades económicamente vitales, incluida la capital, Pekín. En el centro manufacturero de Cantón, millones de residentes recibieron la orden de someterse a pruebas de COVID-19 el miércoles pasado.</w:t>
      </w:r>
    </w:p>
    <w:p w14:paraId="6FA870BD" w14:textId="77777777" w:rsidR="00146C19" w:rsidRPr="00146C19" w:rsidRDefault="00146C19" w:rsidP="00146C19">
      <w:pPr>
        <w:pStyle w:val="ListParagraph"/>
        <w:ind w:left="426"/>
        <w:jc w:val="both"/>
        <w:rPr>
          <w:rFonts w:asciiTheme="minorHAnsi" w:hAnsiTheme="minorHAnsi" w:cstheme="minorHAnsi"/>
          <w:b/>
          <w:sz w:val="22"/>
          <w:szCs w:val="22"/>
        </w:rPr>
      </w:pPr>
    </w:p>
    <w:p w14:paraId="2BF9E784"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t>El Fondo Monetario Internacional espera que el crecimiento de China se desacelere a 3,2% en 2022, una rebaja de 1,2 puntos desde su proyección de abril, luego de un aumento de 8,1% en 2021.</w:t>
      </w:r>
    </w:p>
    <w:p w14:paraId="2D337950" w14:textId="77777777" w:rsidR="00146C19" w:rsidRPr="00146C19" w:rsidRDefault="00146C19" w:rsidP="00146C19">
      <w:pPr>
        <w:pStyle w:val="ListParagraph"/>
        <w:ind w:left="426"/>
        <w:jc w:val="both"/>
        <w:rPr>
          <w:rFonts w:asciiTheme="minorHAnsi" w:hAnsiTheme="minorHAnsi" w:cstheme="minorHAnsi"/>
          <w:sz w:val="22"/>
          <w:szCs w:val="22"/>
        </w:rPr>
      </w:pPr>
    </w:p>
    <w:p w14:paraId="2AC1BB0B" w14:textId="77777777" w:rsidR="00146C19" w:rsidRPr="00146C19" w:rsidRDefault="00146C19" w:rsidP="00146C19">
      <w:pPr>
        <w:pStyle w:val="ListParagraph"/>
        <w:numPr>
          <w:ilvl w:val="0"/>
          <w:numId w:val="13"/>
        </w:numPr>
        <w:ind w:left="426"/>
        <w:contextualSpacing/>
        <w:jc w:val="both"/>
        <w:rPr>
          <w:rFonts w:asciiTheme="minorHAnsi" w:hAnsiTheme="minorHAnsi" w:cstheme="minorHAnsi"/>
          <w:b/>
          <w:sz w:val="22"/>
          <w:szCs w:val="22"/>
        </w:rPr>
      </w:pPr>
      <w:r w:rsidRPr="00146C19">
        <w:rPr>
          <w:rFonts w:asciiTheme="minorHAnsi" w:hAnsiTheme="minorHAnsi" w:cstheme="minorHAnsi"/>
          <w:b/>
          <w:sz w:val="22"/>
          <w:szCs w:val="22"/>
        </w:rPr>
        <w:t>El descenso de la producción de la OPEP en el mes de octubre y la decisión de sus miembros de reducir el objetivo de producción en 2 millones de barriles diarios, a partir de noviembre 2022 (según lo acordado en su reunión del 5 de octubre, en Viena).</w:t>
      </w:r>
    </w:p>
    <w:p w14:paraId="65316BB0" w14:textId="77777777" w:rsidR="00146C19" w:rsidRPr="00146C19" w:rsidRDefault="00146C19" w:rsidP="00146C19">
      <w:pPr>
        <w:jc w:val="both"/>
        <w:rPr>
          <w:rFonts w:asciiTheme="minorHAnsi" w:hAnsiTheme="minorHAnsi" w:cstheme="minorHAnsi"/>
          <w:b/>
          <w:sz w:val="22"/>
          <w:szCs w:val="22"/>
        </w:rPr>
      </w:pPr>
    </w:p>
    <w:p w14:paraId="33FD1ED9"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t>Según un estudio de Reuters, la producción de la OPEP cayó en octubre 2022, por primera vez, desde junio. La OPEP bombeó 29,71 millones de barriles por día (bpd) en octubre 2022, lo que representa un descenso de 20 000 bpd respecto a setiembre, que fue la mayor producción desde abril de 2020. La OPEP produjo 1,36 millones de bpd por debajo de los objetivos para octubre.</w:t>
      </w:r>
    </w:p>
    <w:p w14:paraId="1095317E" w14:textId="77777777" w:rsidR="00146C19" w:rsidRPr="00146C19" w:rsidRDefault="00146C19" w:rsidP="00146C19">
      <w:pPr>
        <w:pStyle w:val="ListParagraph"/>
        <w:ind w:left="426"/>
        <w:jc w:val="both"/>
        <w:rPr>
          <w:rFonts w:asciiTheme="minorHAnsi" w:hAnsiTheme="minorHAnsi" w:cstheme="minorHAnsi"/>
          <w:sz w:val="22"/>
          <w:szCs w:val="22"/>
        </w:rPr>
      </w:pPr>
    </w:p>
    <w:p w14:paraId="46986D43"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t>La alianza OPEP, liderada por Arabia Saudita y Rusia, decidió reducir su producción en 2 millones de barriles diarios (mbd) a partir de noviembre 2022, lo que representa el mayor recorte de la oferta petrolera desde mayo de 2020. Los recortes de la OPEP, reducirán la oferta en un mercado que actualmente se encuentra ajustado.</w:t>
      </w:r>
    </w:p>
    <w:p w14:paraId="60A48FE9" w14:textId="77777777" w:rsidR="00146C19" w:rsidRPr="00146C19" w:rsidRDefault="00146C19" w:rsidP="00146C19">
      <w:pPr>
        <w:pStyle w:val="ListParagraph"/>
        <w:ind w:left="426"/>
        <w:jc w:val="both"/>
        <w:rPr>
          <w:rFonts w:asciiTheme="minorHAnsi" w:hAnsiTheme="minorHAnsi" w:cstheme="minorHAnsi"/>
          <w:sz w:val="22"/>
          <w:szCs w:val="22"/>
        </w:rPr>
      </w:pPr>
    </w:p>
    <w:p w14:paraId="2431BF0E"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t>Las sanciones de la Unión Europea sobre el crudo y los productos petroleros rusos entrarán en vigor en diciembre 2022 y febrero 2023, respectivamente.</w:t>
      </w:r>
    </w:p>
    <w:p w14:paraId="237B34A9" w14:textId="77777777" w:rsidR="00146C19" w:rsidRPr="00146C19" w:rsidRDefault="00146C19" w:rsidP="00146C19">
      <w:pPr>
        <w:pStyle w:val="ListParagraph"/>
        <w:ind w:left="426"/>
        <w:jc w:val="both"/>
        <w:rPr>
          <w:rFonts w:asciiTheme="minorHAnsi" w:hAnsiTheme="minorHAnsi" w:cstheme="minorHAnsi"/>
          <w:sz w:val="22"/>
          <w:szCs w:val="22"/>
        </w:rPr>
      </w:pPr>
    </w:p>
    <w:p w14:paraId="489FF031" w14:textId="77777777" w:rsidR="00146C19" w:rsidRPr="00146C19" w:rsidRDefault="00146C19" w:rsidP="00146C19">
      <w:pPr>
        <w:pStyle w:val="ListParagraph"/>
        <w:numPr>
          <w:ilvl w:val="0"/>
          <w:numId w:val="13"/>
        </w:numPr>
        <w:ind w:left="426"/>
        <w:contextualSpacing/>
        <w:jc w:val="both"/>
        <w:rPr>
          <w:rFonts w:asciiTheme="minorHAnsi" w:hAnsiTheme="minorHAnsi" w:cstheme="minorHAnsi"/>
          <w:b/>
          <w:sz w:val="22"/>
          <w:szCs w:val="22"/>
        </w:rPr>
      </w:pPr>
      <w:r w:rsidRPr="00146C19">
        <w:rPr>
          <w:rFonts w:asciiTheme="minorHAnsi" w:hAnsiTheme="minorHAnsi" w:cstheme="minorHAnsi"/>
          <w:b/>
          <w:sz w:val="22"/>
          <w:szCs w:val="22"/>
        </w:rPr>
        <w:t>El optimismo por las exportaciones récord de crudo de Estados Unidos y el fuerte repunte del Producto Interno Bruto estadounidense en el tercer trimestre, lo que evidenció la resistencia de la mayor economía del mundo.</w:t>
      </w:r>
    </w:p>
    <w:p w14:paraId="3ACE5581" w14:textId="77777777" w:rsidR="00146C19" w:rsidRPr="00146C19" w:rsidRDefault="00146C19" w:rsidP="00146C19">
      <w:pPr>
        <w:pStyle w:val="ListParagraph"/>
        <w:ind w:left="426"/>
        <w:jc w:val="both"/>
        <w:rPr>
          <w:rFonts w:asciiTheme="minorHAnsi" w:hAnsiTheme="minorHAnsi" w:cstheme="minorHAnsi"/>
          <w:sz w:val="22"/>
          <w:szCs w:val="22"/>
        </w:rPr>
      </w:pPr>
    </w:p>
    <w:p w14:paraId="18B2F734" w14:textId="77777777" w:rsidR="00146C19" w:rsidRPr="00146C19" w:rsidRDefault="00146C19" w:rsidP="00146C19">
      <w:pPr>
        <w:pStyle w:val="ListParagraph"/>
        <w:ind w:left="426"/>
        <w:jc w:val="both"/>
        <w:rPr>
          <w:rFonts w:asciiTheme="minorHAnsi" w:hAnsiTheme="minorHAnsi" w:cstheme="minorHAnsi"/>
          <w:sz w:val="22"/>
          <w:szCs w:val="22"/>
        </w:rPr>
      </w:pPr>
      <w:r w:rsidRPr="00146C19">
        <w:rPr>
          <w:rFonts w:asciiTheme="minorHAnsi" w:hAnsiTheme="minorHAnsi" w:cstheme="minorHAnsi"/>
          <w:sz w:val="22"/>
          <w:szCs w:val="22"/>
        </w:rPr>
        <w:lastRenderedPageBreak/>
        <w:t>Datos publicados el 26 de octubre mostraron un récord en las exportaciones de crudo de Estados Unidos, una señal esperanzadora para la demanda, pese al aumento de las existencias de crudo. El dólar se debilitó en las primeras operaciones con la expectativa de que las subidas de las tasas de interés sean menos agresivas.</w:t>
      </w:r>
    </w:p>
    <w:p w14:paraId="24C2485B" w14:textId="77777777" w:rsidR="00146C19" w:rsidRPr="00146C19" w:rsidRDefault="00146C19" w:rsidP="00146C19">
      <w:pPr>
        <w:pStyle w:val="ListParagraph"/>
        <w:ind w:left="426"/>
        <w:jc w:val="both"/>
        <w:rPr>
          <w:rFonts w:asciiTheme="minorHAnsi" w:hAnsiTheme="minorHAnsi" w:cstheme="minorHAnsi"/>
          <w:sz w:val="22"/>
          <w:szCs w:val="22"/>
        </w:rPr>
      </w:pPr>
    </w:p>
    <w:p w14:paraId="5C061A1E" w14:textId="4C5E82F4" w:rsidR="00F02322" w:rsidRPr="00146C19" w:rsidRDefault="00146C19" w:rsidP="00146C19">
      <w:pPr>
        <w:pStyle w:val="ListParagraph"/>
        <w:ind w:left="644"/>
        <w:jc w:val="both"/>
        <w:rPr>
          <w:rFonts w:asciiTheme="minorHAnsi" w:hAnsiTheme="minorHAnsi" w:cstheme="minorHAnsi"/>
          <w:sz w:val="22"/>
          <w:szCs w:val="22"/>
        </w:rPr>
      </w:pPr>
      <w:r w:rsidRPr="00146C19">
        <w:rPr>
          <w:rFonts w:asciiTheme="minorHAnsi" w:hAnsiTheme="minorHAnsi" w:cstheme="minorHAnsi"/>
          <w:sz w:val="22"/>
          <w:szCs w:val="22"/>
        </w:rPr>
        <w:t>La economía alemana también creció de forma inesperada en el tercer trimestre, según datos conocidos el viernes pasado. La preocupación por el suministro ante la inminente prohibición europea de las importaciones de crudo ruso también respaldó los precios.</w:t>
      </w:r>
    </w:p>
    <w:p w14:paraId="22BCE482" w14:textId="77777777" w:rsidR="00B3346F" w:rsidRPr="00FC47E6" w:rsidRDefault="00B3346F" w:rsidP="00FC47E6">
      <w:pPr>
        <w:pStyle w:val="ListParagraph"/>
        <w:ind w:left="567"/>
        <w:jc w:val="both"/>
        <w:rPr>
          <w:rFonts w:asciiTheme="minorHAnsi" w:hAnsiTheme="minorHAnsi" w:cstheme="minorHAnsi"/>
          <w:sz w:val="22"/>
          <w:szCs w:val="22"/>
        </w:rPr>
      </w:pPr>
    </w:p>
    <w:p w14:paraId="10AE5E36" w14:textId="77777777" w:rsidR="00023E9F" w:rsidRPr="00B812B2" w:rsidRDefault="00023E9F" w:rsidP="00023E9F">
      <w:pPr>
        <w:ind w:left="360"/>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FootnoteText"/>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FootnoteText"/>
        <w:spacing w:before="0" w:after="0"/>
        <w:ind w:left="568" w:hanging="426"/>
        <w:rPr>
          <w:rFonts w:asciiTheme="minorHAnsi" w:hAnsiTheme="minorHAnsi" w:cstheme="minorHAnsi"/>
          <w:sz w:val="22"/>
          <w:szCs w:val="22"/>
        </w:rPr>
      </w:pPr>
    </w:p>
    <w:bookmarkEnd w:id="0"/>
    <w:p w14:paraId="475EEA7C" w14:textId="7AE77B42" w:rsidR="008A748B" w:rsidRDefault="00303B42" w:rsidP="00F02322">
      <w:pPr>
        <w:pStyle w:val="FootnoteText"/>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ListParagraph"/>
        <w:ind w:left="568" w:hanging="426"/>
        <w:rPr>
          <w:rFonts w:asciiTheme="minorHAnsi" w:hAnsiTheme="minorHAnsi" w:cstheme="minorHAnsi"/>
          <w:sz w:val="22"/>
          <w:szCs w:val="22"/>
        </w:rPr>
      </w:pPr>
    </w:p>
    <w:p w14:paraId="4824E2EF" w14:textId="16F88408" w:rsidR="00FD6B4B" w:rsidRDefault="00FD6B4B" w:rsidP="00F02322">
      <w:pPr>
        <w:pStyle w:val="FootnoteText"/>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FootnoteText"/>
        <w:spacing w:before="0" w:after="0"/>
        <w:ind w:left="568" w:hanging="426"/>
        <w:rPr>
          <w:rFonts w:asciiTheme="minorHAnsi" w:hAnsiTheme="minorHAnsi" w:cstheme="minorHAnsi"/>
          <w:sz w:val="22"/>
          <w:szCs w:val="22"/>
        </w:rPr>
      </w:pPr>
    </w:p>
    <w:p w14:paraId="3F78A2E0" w14:textId="0BEAEC8B" w:rsidR="0020425C" w:rsidRDefault="003C6C63" w:rsidP="00F02322">
      <w:pPr>
        <w:pStyle w:val="FootnoteText"/>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ListParagraph"/>
        <w:ind w:left="568" w:hanging="426"/>
        <w:rPr>
          <w:rFonts w:asciiTheme="minorHAnsi" w:hAnsiTheme="minorHAnsi" w:cstheme="minorHAnsi"/>
          <w:sz w:val="22"/>
          <w:szCs w:val="22"/>
        </w:rPr>
      </w:pPr>
    </w:p>
    <w:p w14:paraId="1E583194" w14:textId="5EB072D1" w:rsidR="0020425C" w:rsidRDefault="0074476A" w:rsidP="00F02322">
      <w:pPr>
        <w:pStyle w:val="FootnoteText"/>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FootnoteText"/>
        <w:spacing w:before="0" w:after="0"/>
        <w:ind w:left="568" w:hanging="426"/>
        <w:rPr>
          <w:rFonts w:asciiTheme="minorHAnsi" w:hAnsiTheme="minorHAnsi" w:cstheme="minorHAnsi"/>
          <w:sz w:val="22"/>
          <w:szCs w:val="22"/>
        </w:rPr>
      </w:pPr>
    </w:p>
    <w:p w14:paraId="3C8B4389" w14:textId="77777777" w:rsidR="0074476A" w:rsidRPr="00562D12" w:rsidRDefault="0074476A" w:rsidP="0074476A">
      <w:pPr>
        <w:pStyle w:val="FootnoteText"/>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45AAA73A" w14:textId="77777777" w:rsidR="0074476A" w:rsidRDefault="0074476A" w:rsidP="0074476A">
      <w:pPr>
        <w:pStyle w:val="FootnoteText"/>
        <w:tabs>
          <w:tab w:val="left" w:pos="709"/>
        </w:tabs>
        <w:spacing w:before="0" w:after="0"/>
        <w:ind w:left="568"/>
        <w:rPr>
          <w:rFonts w:asciiTheme="minorHAnsi" w:hAnsiTheme="minorHAnsi" w:cstheme="minorHAnsi"/>
          <w:sz w:val="22"/>
          <w:szCs w:val="22"/>
        </w:rPr>
      </w:pPr>
    </w:p>
    <w:p w14:paraId="3EDE2859" w14:textId="77777777" w:rsidR="0074476A" w:rsidRDefault="0074476A" w:rsidP="0074476A">
      <w:pPr>
        <w:pStyle w:val="FootnoteText"/>
        <w:numPr>
          <w:ilvl w:val="0"/>
          <w:numId w:val="16"/>
        </w:numPr>
        <w:tabs>
          <w:tab w:val="left" w:pos="709"/>
        </w:tabs>
        <w:spacing w:before="0" w:after="0"/>
        <w:ind w:left="568" w:hanging="426"/>
        <w:rPr>
          <w:rFonts w:asciiTheme="minorHAnsi" w:hAnsiTheme="minorHAnsi" w:cstheme="minorHAnsi"/>
          <w:sz w:val="22"/>
          <w:szCs w:val="22"/>
        </w:rPr>
      </w:pPr>
      <w:r w:rsidRPr="006607F4">
        <w:rPr>
          <w:rFonts w:asciiTheme="minorHAnsi" w:hAnsiTheme="minorHAnsi" w:cstheme="minorHAnsi"/>
          <w:sz w:val="22"/>
          <w:szCs w:val="22"/>
        </w:rPr>
        <w:t>Con Resolución O</w:t>
      </w:r>
      <w:r>
        <w:rPr>
          <w:rFonts w:asciiTheme="minorHAnsi" w:hAnsiTheme="minorHAnsi" w:cstheme="minorHAnsi"/>
          <w:sz w:val="22"/>
          <w:szCs w:val="22"/>
        </w:rPr>
        <w:t>sinergmin N</w:t>
      </w:r>
      <w:r w:rsidRPr="006607F4">
        <w:rPr>
          <w:rFonts w:asciiTheme="minorHAnsi" w:hAnsiTheme="minorHAnsi" w:cstheme="minorHAnsi"/>
          <w:sz w:val="22"/>
          <w:szCs w:val="22"/>
        </w:rPr>
        <w:t>°</w:t>
      </w:r>
      <w:r>
        <w:rPr>
          <w:rFonts w:asciiTheme="minorHAnsi" w:hAnsiTheme="minorHAnsi" w:cstheme="minorHAnsi"/>
          <w:sz w:val="22"/>
          <w:szCs w:val="22"/>
        </w:rPr>
        <w:t>051</w:t>
      </w:r>
      <w:r w:rsidRPr="006607F4">
        <w:rPr>
          <w:rFonts w:asciiTheme="minorHAnsi" w:hAnsiTheme="minorHAnsi" w:cstheme="minorHAnsi"/>
          <w:sz w:val="22"/>
          <w:szCs w:val="22"/>
        </w:rPr>
        <w:t>-2022-OS/GRT</w:t>
      </w:r>
      <w:r>
        <w:rPr>
          <w:rFonts w:asciiTheme="minorHAnsi" w:hAnsiTheme="minorHAnsi" w:cstheme="minorHAnsi"/>
          <w:sz w:val="22"/>
          <w:szCs w:val="22"/>
        </w:rPr>
        <w:t>, publicada el 28</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2022, se aprob</w:t>
      </w:r>
      <w:r>
        <w:rPr>
          <w:rFonts w:asciiTheme="minorHAnsi" w:hAnsiTheme="minorHAnsi" w:cstheme="minorHAnsi"/>
          <w:sz w:val="22"/>
          <w:szCs w:val="22"/>
        </w:rPr>
        <w:t>ó entre otros,</w:t>
      </w:r>
      <w:r w:rsidRPr="006607F4">
        <w:rPr>
          <w:rFonts w:asciiTheme="minorHAnsi" w:hAnsiTheme="minorHAnsi" w:cstheme="minorHAnsi"/>
          <w:sz w:val="22"/>
          <w:szCs w:val="22"/>
        </w:rPr>
        <w:t xml:space="preserve"> la Banda de Precios y los Márgenes Comerciales del </w:t>
      </w:r>
      <w:r>
        <w:rPr>
          <w:rFonts w:asciiTheme="minorHAnsi" w:hAnsiTheme="minorHAnsi" w:cstheme="minorHAnsi"/>
          <w:sz w:val="22"/>
          <w:szCs w:val="22"/>
        </w:rPr>
        <w:t>Diésel B5 destinado al uso vehicular</w:t>
      </w:r>
      <w:r w:rsidRPr="006607F4">
        <w:rPr>
          <w:rFonts w:asciiTheme="minorHAnsi" w:hAnsiTheme="minorHAnsi" w:cstheme="minorHAnsi"/>
          <w:sz w:val="22"/>
          <w:szCs w:val="22"/>
        </w:rPr>
        <w:t xml:space="preserve">, vigentes desde el viernes </w:t>
      </w:r>
      <w:r>
        <w:rPr>
          <w:rFonts w:asciiTheme="minorHAnsi" w:hAnsiTheme="minorHAnsi" w:cstheme="minorHAnsi"/>
          <w:sz w:val="22"/>
          <w:szCs w:val="22"/>
        </w:rPr>
        <w:t>30</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hasta el jueves 2</w:t>
      </w:r>
      <w:r>
        <w:rPr>
          <w:rFonts w:asciiTheme="minorHAnsi" w:hAnsiTheme="minorHAnsi" w:cstheme="minorHAnsi"/>
          <w:sz w:val="22"/>
          <w:szCs w:val="22"/>
        </w:rPr>
        <w:t>7</w:t>
      </w:r>
      <w:r w:rsidRPr="006607F4">
        <w:rPr>
          <w:rFonts w:asciiTheme="minorHAnsi" w:hAnsiTheme="minorHAnsi" w:cstheme="minorHAnsi"/>
          <w:sz w:val="22"/>
          <w:szCs w:val="22"/>
        </w:rPr>
        <w:t xml:space="preserve"> de </w:t>
      </w:r>
      <w:r>
        <w:rPr>
          <w:rFonts w:asciiTheme="minorHAnsi" w:hAnsiTheme="minorHAnsi" w:cstheme="minorHAnsi"/>
          <w:sz w:val="22"/>
          <w:szCs w:val="22"/>
        </w:rPr>
        <w:t>octubre</w:t>
      </w:r>
      <w:r w:rsidRPr="006607F4">
        <w:rPr>
          <w:rFonts w:asciiTheme="minorHAnsi" w:hAnsiTheme="minorHAnsi" w:cstheme="minorHAnsi"/>
          <w:sz w:val="22"/>
          <w:szCs w:val="22"/>
        </w:rPr>
        <w:t xml:space="preserve"> 2022.</w:t>
      </w:r>
      <w:r>
        <w:rPr>
          <w:rFonts w:asciiTheme="minorHAnsi" w:hAnsiTheme="minorHAnsi" w:cstheme="minorHAnsi"/>
          <w:sz w:val="22"/>
          <w:szCs w:val="22"/>
        </w:rPr>
        <w:t xml:space="preserve">  </w:t>
      </w:r>
    </w:p>
    <w:p w14:paraId="6BBEB4B9" w14:textId="77777777" w:rsidR="0074476A" w:rsidRDefault="0074476A" w:rsidP="0074476A">
      <w:pPr>
        <w:pStyle w:val="FootnoteText"/>
        <w:tabs>
          <w:tab w:val="left" w:pos="709"/>
        </w:tabs>
        <w:spacing w:before="0" w:after="0"/>
        <w:rPr>
          <w:rFonts w:asciiTheme="minorHAnsi" w:hAnsiTheme="minorHAnsi" w:cstheme="minorHAnsi"/>
          <w:sz w:val="22"/>
          <w:szCs w:val="22"/>
        </w:rPr>
      </w:pPr>
    </w:p>
    <w:p w14:paraId="0E28079C" w14:textId="1615290B" w:rsidR="0074476A" w:rsidRDefault="0074476A" w:rsidP="0074476A">
      <w:pPr>
        <w:pStyle w:val="FootnoteText"/>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lastRenderedPageBreak/>
        <w:t xml:space="preserve">Con </w:t>
      </w:r>
      <w:r w:rsidRPr="00562D12">
        <w:rPr>
          <w:rFonts w:asciiTheme="minorHAnsi" w:hAnsiTheme="minorHAnsi" w:cstheme="minorHAnsi"/>
          <w:sz w:val="22"/>
          <w:szCs w:val="22"/>
        </w:rPr>
        <w:t>Resolución N° 05</w:t>
      </w:r>
      <w:r>
        <w:rPr>
          <w:rFonts w:asciiTheme="minorHAnsi" w:hAnsiTheme="minorHAnsi" w:cstheme="minorHAnsi"/>
          <w:sz w:val="22"/>
          <w:szCs w:val="22"/>
        </w:rPr>
        <w:t>4-2022-OS/GRT, se fijaron</w:t>
      </w:r>
      <w:r w:rsidRPr="00562D12">
        <w:rPr>
          <w:rFonts w:asciiTheme="minorHAnsi" w:hAnsiTheme="minorHAnsi" w:cstheme="minorHAnsi"/>
          <w:sz w:val="22"/>
          <w:szCs w:val="22"/>
        </w:rPr>
        <w:t xml:space="preserve"> la Bandas de Precios y los Márgenes Comerciales para el Gas Licuado de Petróleo destinado para envasado (GLP-E), Gas Licuado de Petróleo destinado para gran</w:t>
      </w:r>
      <w:r w:rsidR="005060F3">
        <w:rPr>
          <w:rFonts w:asciiTheme="minorHAnsi" w:hAnsiTheme="minorHAnsi" w:cstheme="minorHAnsi"/>
          <w:sz w:val="22"/>
          <w:szCs w:val="22"/>
        </w:rPr>
        <w:t>el (GLP-G), Diésel B5 destinado</w:t>
      </w:r>
      <w:r w:rsidRPr="00562D12">
        <w:rPr>
          <w:rFonts w:asciiTheme="minorHAnsi" w:hAnsiTheme="minorHAnsi" w:cstheme="minorHAnsi"/>
          <w:sz w:val="22"/>
          <w:szCs w:val="22"/>
        </w:rPr>
        <w:t xml:space="preserve"> al uso vehicular, Gasohol de 84 octanos y Gasolinas de 84 y 90 octanos, correspondientes al mes de octubre de 2022, con vigencia desde el 28 de octubre hasta el 24 de noviembre de 2022.</w:t>
      </w:r>
      <w:r>
        <w:rPr>
          <w:rFonts w:asciiTheme="minorHAnsi" w:hAnsiTheme="minorHAnsi" w:cstheme="minorHAnsi"/>
          <w:sz w:val="22"/>
          <w:szCs w:val="22"/>
        </w:rPr>
        <w:t xml:space="preserve"> Respecto a la Banda de Precios y los Márgenes Comerciales del Petróleo Industrial N°6 utilizado en generación eléctrica en sistemas aislados, estará vigente desde el 28 de octubre hasta el 29 de diciembre de 2022.</w:t>
      </w:r>
    </w:p>
    <w:p w14:paraId="30B89C74" w14:textId="77777777" w:rsidR="0074476A" w:rsidRDefault="0074476A" w:rsidP="0074476A">
      <w:pPr>
        <w:pStyle w:val="ListParagraph"/>
        <w:rPr>
          <w:rFonts w:asciiTheme="minorHAnsi" w:hAnsiTheme="minorHAnsi" w:cstheme="minorHAnsi"/>
          <w:sz w:val="22"/>
          <w:szCs w:val="22"/>
        </w:rPr>
      </w:pPr>
    </w:p>
    <w:p w14:paraId="3556CB22" w14:textId="77777777" w:rsidR="0074476A" w:rsidRDefault="0074476A" w:rsidP="0074476A">
      <w:pPr>
        <w:pStyle w:val="FootnoteText"/>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562D12">
        <w:rPr>
          <w:rFonts w:asciiTheme="minorHAnsi" w:hAnsiTheme="minorHAnsi" w:cstheme="minorHAnsi"/>
          <w:sz w:val="22"/>
          <w:szCs w:val="22"/>
        </w:rPr>
        <w:t xml:space="preserve">ediante </w:t>
      </w:r>
      <w:r>
        <w:rPr>
          <w:rFonts w:asciiTheme="minorHAnsi" w:hAnsiTheme="minorHAnsi" w:cstheme="minorHAnsi"/>
          <w:sz w:val="22"/>
          <w:szCs w:val="22"/>
        </w:rPr>
        <w:t>Decreto Supremo N° 013-2022-EM</w:t>
      </w:r>
      <w:r w:rsidRPr="00562D12">
        <w:rPr>
          <w:rFonts w:asciiTheme="minorHAnsi" w:hAnsiTheme="minorHAnsi" w:cstheme="minorHAnsi"/>
          <w:sz w:val="22"/>
          <w:szCs w:val="22"/>
        </w:rPr>
        <w:t>, publicado el 28 de octubre de 2022, se dispuso que la Banda de Precios del Diesel BX destinado al uso vehicular fijada mediante Resolución N° 051-2022-OS/GRT, se mantendrá vigente hasta el día jueves 29 de diciembre de 2022. Asimismo, señala que lo dispuesto en el artículo 1 de dicho decreto supremo entra en vigencia a partir del día 28 de octubre de 2022, por lo que la implementación de sus disposiciones se efectuará de manera inmediata</w:t>
      </w:r>
      <w:r>
        <w:rPr>
          <w:rFonts w:asciiTheme="minorHAnsi" w:hAnsiTheme="minorHAnsi" w:cstheme="minorHAnsi"/>
          <w:sz w:val="22"/>
          <w:szCs w:val="22"/>
        </w:rPr>
        <w:t>.</w:t>
      </w:r>
    </w:p>
    <w:p w14:paraId="5DBBABA5" w14:textId="77777777" w:rsidR="0074476A" w:rsidRDefault="0074476A" w:rsidP="0074476A">
      <w:pPr>
        <w:pStyle w:val="ListParagraph"/>
        <w:rPr>
          <w:rFonts w:asciiTheme="minorHAnsi" w:hAnsiTheme="minorHAnsi" w:cstheme="minorHAnsi"/>
          <w:sz w:val="22"/>
          <w:szCs w:val="22"/>
        </w:rPr>
      </w:pPr>
    </w:p>
    <w:p w14:paraId="03B4C00C" w14:textId="77777777" w:rsidR="0074476A" w:rsidRPr="006607F4" w:rsidRDefault="0074476A" w:rsidP="0074476A">
      <w:pPr>
        <w:pStyle w:val="FootnoteText"/>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Con </w:t>
      </w:r>
      <w:r w:rsidRPr="00562D12">
        <w:rPr>
          <w:rFonts w:asciiTheme="minorHAnsi" w:hAnsiTheme="minorHAnsi" w:cstheme="minorHAnsi"/>
          <w:sz w:val="22"/>
          <w:szCs w:val="22"/>
        </w:rPr>
        <w:t>Resolución N° 05</w:t>
      </w:r>
      <w:r>
        <w:rPr>
          <w:rFonts w:asciiTheme="minorHAnsi" w:hAnsiTheme="minorHAnsi" w:cstheme="minorHAnsi"/>
          <w:sz w:val="22"/>
          <w:szCs w:val="22"/>
        </w:rPr>
        <w:t>7</w:t>
      </w:r>
      <w:r w:rsidRPr="00562D12">
        <w:rPr>
          <w:rFonts w:asciiTheme="minorHAnsi" w:hAnsiTheme="minorHAnsi" w:cstheme="minorHAnsi"/>
          <w:sz w:val="22"/>
          <w:szCs w:val="22"/>
        </w:rPr>
        <w:t xml:space="preserve">-2022-OS/GRT, se </w:t>
      </w:r>
      <w:r>
        <w:rPr>
          <w:rFonts w:asciiTheme="minorHAnsi" w:hAnsiTheme="minorHAnsi" w:cstheme="minorHAnsi"/>
          <w:sz w:val="22"/>
          <w:szCs w:val="22"/>
        </w:rPr>
        <w:t>dejó sin efecto la Banda</w:t>
      </w:r>
      <w:r w:rsidRPr="00562D12">
        <w:rPr>
          <w:rFonts w:asciiTheme="minorHAnsi" w:hAnsiTheme="minorHAnsi" w:cstheme="minorHAnsi"/>
          <w:sz w:val="22"/>
          <w:szCs w:val="22"/>
        </w:rPr>
        <w:t xml:space="preserve"> de Precios y los Márgenes Comerciales para el Diésel B5 destinado al uso vehicular</w:t>
      </w:r>
      <w:r>
        <w:rPr>
          <w:rFonts w:asciiTheme="minorHAnsi" w:hAnsiTheme="minorHAnsi" w:cstheme="minorHAnsi"/>
          <w:sz w:val="22"/>
          <w:szCs w:val="22"/>
        </w:rPr>
        <w:t xml:space="preserve"> aprobado en la </w:t>
      </w:r>
      <w:r w:rsidRPr="00562D12">
        <w:rPr>
          <w:rFonts w:asciiTheme="minorHAnsi" w:hAnsiTheme="minorHAnsi" w:cstheme="minorHAnsi"/>
          <w:sz w:val="22"/>
          <w:szCs w:val="22"/>
        </w:rPr>
        <w:t>Resolución N° 054</w:t>
      </w:r>
      <w:r>
        <w:rPr>
          <w:rFonts w:asciiTheme="minorHAnsi" w:hAnsiTheme="minorHAnsi" w:cstheme="minorHAnsi"/>
          <w:sz w:val="22"/>
          <w:szCs w:val="22"/>
        </w:rPr>
        <w:t>-2022-OS/GRT</w:t>
      </w:r>
      <w:r w:rsidRPr="00562D12">
        <w:rPr>
          <w:rFonts w:asciiTheme="minorHAnsi" w:hAnsiTheme="minorHAnsi" w:cstheme="minorHAnsi"/>
          <w:sz w:val="22"/>
          <w:szCs w:val="22"/>
        </w:rPr>
        <w:t>,</w:t>
      </w:r>
      <w:r>
        <w:rPr>
          <w:rFonts w:asciiTheme="minorHAnsi" w:hAnsiTheme="minorHAnsi" w:cstheme="minorHAnsi"/>
          <w:sz w:val="22"/>
          <w:szCs w:val="22"/>
        </w:rPr>
        <w:t xml:space="preserve"> y se dispuso la prórroga de la vigencia de la Banda de Precios y el Margen Comercial aprobados con </w:t>
      </w:r>
      <w:r w:rsidRPr="00562D12">
        <w:rPr>
          <w:rFonts w:asciiTheme="minorHAnsi" w:hAnsiTheme="minorHAnsi" w:cstheme="minorHAnsi"/>
          <w:sz w:val="22"/>
          <w:szCs w:val="22"/>
        </w:rPr>
        <w:t>Resolución N° 051-2022-OS/GRT hasta el jueves 29 de diciembre de 2022 en aplicación de lo dispuesto por el Decreto Supremo N° 013-2022-EM.</w:t>
      </w:r>
    </w:p>
    <w:p w14:paraId="48383D70" w14:textId="77777777" w:rsidR="0074476A" w:rsidRDefault="0074476A" w:rsidP="0074476A">
      <w:pPr>
        <w:pStyle w:val="FootnoteText"/>
        <w:tabs>
          <w:tab w:val="left" w:pos="709"/>
        </w:tabs>
        <w:spacing w:before="0" w:after="0"/>
        <w:ind w:left="568"/>
        <w:rPr>
          <w:rFonts w:asciiTheme="minorHAnsi" w:hAnsiTheme="minorHAnsi" w:cstheme="minorHAnsi"/>
          <w:sz w:val="22"/>
          <w:szCs w:val="22"/>
        </w:rPr>
      </w:pPr>
    </w:p>
    <w:p w14:paraId="3099CA8E" w14:textId="77777777" w:rsidR="0074476A" w:rsidRPr="00CF74F6" w:rsidRDefault="0074476A" w:rsidP="0074476A">
      <w:pPr>
        <w:pStyle w:val="BodyTextIndent"/>
        <w:numPr>
          <w:ilvl w:val="0"/>
          <w:numId w:val="16"/>
        </w:numPr>
        <w:ind w:left="568" w:hanging="426"/>
        <w:rPr>
          <w:rFonts w:asciiTheme="minorHAnsi" w:hAnsiTheme="minorHAnsi" w:cstheme="minorHAnsi"/>
          <w:sz w:val="22"/>
          <w:szCs w:val="22"/>
        </w:rPr>
      </w:pPr>
      <w:r w:rsidRPr="00CF74F6">
        <w:rPr>
          <w:rFonts w:asciiTheme="minorHAnsi" w:hAnsiTheme="minorHAnsi" w:cstheme="minorHAnsi"/>
          <w:sz w:val="22"/>
          <w:szCs w:val="22"/>
        </w:rPr>
        <w:t>Teniendo en cuenta las Bandas de Precios y los Márgenes Comerciales de los combustibles establecidos mediante la</w:t>
      </w:r>
      <w:r>
        <w:rPr>
          <w:rFonts w:asciiTheme="minorHAnsi" w:hAnsiTheme="minorHAnsi" w:cstheme="minorHAnsi"/>
          <w:sz w:val="22"/>
          <w:szCs w:val="22"/>
        </w:rPr>
        <w:t>s Resoluciones</w:t>
      </w:r>
      <w:r w:rsidRPr="00CF74F6">
        <w:rPr>
          <w:rFonts w:asciiTheme="minorHAnsi" w:hAnsiTheme="minorHAnsi" w:cstheme="minorHAnsi"/>
          <w:sz w:val="22"/>
          <w:szCs w:val="22"/>
        </w:rPr>
        <w:t xml:space="preserve"> de la Gerencia de Regulación Tarifaria O</w:t>
      </w:r>
      <w:r>
        <w:rPr>
          <w:rFonts w:asciiTheme="minorHAnsi" w:hAnsiTheme="minorHAnsi" w:cstheme="minorHAnsi"/>
          <w:sz w:val="22"/>
          <w:szCs w:val="22"/>
        </w:rPr>
        <w:t>sinergmin</w:t>
      </w:r>
      <w:r w:rsidRPr="00CF74F6">
        <w:rPr>
          <w:rFonts w:asciiTheme="minorHAnsi" w:hAnsiTheme="minorHAnsi" w:cstheme="minorHAnsi"/>
          <w:sz w:val="22"/>
          <w:szCs w:val="22"/>
        </w:rPr>
        <w:t xml:space="preserve"> </w:t>
      </w:r>
      <w:r>
        <w:rPr>
          <w:rFonts w:asciiTheme="minorHAnsi" w:hAnsiTheme="minorHAnsi" w:cstheme="minorHAnsi"/>
          <w:sz w:val="22"/>
          <w:szCs w:val="22"/>
        </w:rPr>
        <w:t xml:space="preserve">N° 054-2022-OS/GRT y </w:t>
      </w:r>
      <w:r w:rsidRPr="00CF74F6">
        <w:rPr>
          <w:rFonts w:asciiTheme="minorHAnsi" w:hAnsiTheme="minorHAnsi" w:cstheme="minorHAnsi"/>
          <w:sz w:val="22"/>
          <w:szCs w:val="22"/>
        </w:rPr>
        <w:t>O</w:t>
      </w:r>
      <w:r>
        <w:rPr>
          <w:rFonts w:asciiTheme="minorHAnsi" w:hAnsiTheme="minorHAnsi" w:cstheme="minorHAnsi"/>
          <w:sz w:val="22"/>
          <w:szCs w:val="22"/>
        </w:rPr>
        <w:t>sinergmin</w:t>
      </w:r>
      <w:r w:rsidRPr="00CF74F6">
        <w:rPr>
          <w:rFonts w:asciiTheme="minorHAnsi" w:hAnsiTheme="minorHAnsi" w:cstheme="minorHAnsi"/>
          <w:sz w:val="22"/>
          <w:szCs w:val="22"/>
        </w:rPr>
        <w:t xml:space="preserve"> </w:t>
      </w:r>
      <w:r>
        <w:rPr>
          <w:rFonts w:asciiTheme="minorHAnsi" w:hAnsiTheme="minorHAnsi" w:cstheme="minorHAnsi"/>
          <w:sz w:val="22"/>
          <w:szCs w:val="22"/>
        </w:rPr>
        <w:t>N° 057</w:t>
      </w:r>
      <w:r w:rsidRPr="00CF74F6">
        <w:rPr>
          <w:rFonts w:asciiTheme="minorHAnsi" w:hAnsiTheme="minorHAnsi" w:cstheme="minorHAnsi"/>
          <w:sz w:val="22"/>
          <w:szCs w:val="22"/>
        </w:rPr>
        <w:t xml:space="preserve">-2022-OS/GRT, </w:t>
      </w:r>
      <w:r>
        <w:rPr>
          <w:rFonts w:asciiTheme="minorHAnsi" w:hAnsiTheme="minorHAnsi" w:cstheme="minorHAnsi"/>
          <w:sz w:val="22"/>
          <w:szCs w:val="22"/>
        </w:rPr>
        <w:t xml:space="preserve">el MINEM </w:t>
      </w:r>
      <w:r w:rsidRPr="00CF74F6">
        <w:rPr>
          <w:rFonts w:asciiTheme="minorHAnsi" w:hAnsiTheme="minorHAnsi" w:cstheme="minorHAnsi"/>
          <w:sz w:val="22"/>
          <w:szCs w:val="22"/>
        </w:rPr>
        <w:t>public</w:t>
      </w:r>
      <w:r>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Pr>
          <w:rFonts w:asciiTheme="minorHAnsi" w:hAnsiTheme="minorHAnsi" w:cstheme="minorHAnsi"/>
          <w:sz w:val="22"/>
          <w:szCs w:val="22"/>
        </w:rPr>
        <w:t>martes 01 de noviembre</w:t>
      </w:r>
      <w:r w:rsidRPr="00CF74F6">
        <w:rPr>
          <w:rFonts w:asciiTheme="minorHAnsi" w:hAnsiTheme="minorHAnsi" w:cstheme="minorHAnsi"/>
          <w:sz w:val="22"/>
          <w:szCs w:val="22"/>
        </w:rPr>
        <w:t xml:space="preserve"> al </w:t>
      </w:r>
      <w:r>
        <w:rPr>
          <w:rFonts w:asciiTheme="minorHAnsi" w:hAnsiTheme="minorHAnsi" w:cstheme="minorHAnsi"/>
          <w:sz w:val="22"/>
          <w:szCs w:val="22"/>
        </w:rPr>
        <w:t>lunes 07</w:t>
      </w:r>
      <w:r w:rsidRPr="00CF74F6">
        <w:rPr>
          <w:rFonts w:asciiTheme="minorHAnsi" w:hAnsiTheme="minorHAnsi" w:cstheme="minorHAnsi"/>
          <w:sz w:val="22"/>
          <w:szCs w:val="22"/>
        </w:rPr>
        <w:t xml:space="preserve"> de </w:t>
      </w:r>
      <w:r>
        <w:rPr>
          <w:rFonts w:asciiTheme="minorHAnsi" w:hAnsiTheme="minorHAnsi" w:cstheme="minorHAnsi"/>
          <w:sz w:val="22"/>
          <w:szCs w:val="22"/>
        </w:rPr>
        <w:t>noviembre</w:t>
      </w:r>
      <w:r w:rsidRPr="00CF74F6">
        <w:rPr>
          <w:rFonts w:asciiTheme="minorHAnsi" w:hAnsiTheme="minorHAnsi" w:cstheme="minorHAnsi"/>
          <w:sz w:val="22"/>
          <w:szCs w:val="22"/>
        </w:rPr>
        <w:t xml:space="preserve"> de 2022.</w:t>
      </w:r>
    </w:p>
    <w:p w14:paraId="16FC6D66" w14:textId="77777777" w:rsidR="0074476A" w:rsidRDefault="0074476A" w:rsidP="0074476A">
      <w:pPr>
        <w:pStyle w:val="ListParagraph"/>
        <w:ind w:left="568" w:hanging="426"/>
        <w:rPr>
          <w:rFonts w:asciiTheme="minorHAnsi" w:hAnsiTheme="minorHAnsi" w:cstheme="minorHAnsi"/>
          <w:sz w:val="22"/>
          <w:szCs w:val="22"/>
        </w:rPr>
      </w:pPr>
    </w:p>
    <w:p w14:paraId="6CFDA44A" w14:textId="1D3D181A" w:rsidR="0074476A" w:rsidRDefault="0074476A" w:rsidP="0074476A">
      <w:pPr>
        <w:pStyle w:val="BodyTextIndent"/>
        <w:numPr>
          <w:ilvl w:val="0"/>
          <w:numId w:val="16"/>
        </w:numPr>
        <w:ind w:left="568" w:hanging="426"/>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D4584F">
        <w:rPr>
          <w:rFonts w:asciiTheme="minorHAnsi" w:hAnsiTheme="minorHAnsi" w:cstheme="minorHAnsi"/>
          <w:sz w:val="22"/>
          <w:szCs w:val="22"/>
        </w:rPr>
        <w:t>10</w:t>
      </w:r>
      <w:r w:rsidRPr="004554F9">
        <w:rPr>
          <w:rFonts w:asciiTheme="minorHAnsi" w:hAnsiTheme="minorHAnsi" w:cstheme="minorHAnsi"/>
          <w:sz w:val="22"/>
          <w:szCs w:val="22"/>
        </w:rPr>
        <w:t>.</w:t>
      </w:r>
      <w:r w:rsidR="00F86527">
        <w:rPr>
          <w:rFonts w:asciiTheme="minorHAnsi" w:hAnsiTheme="minorHAnsi" w:cstheme="minorHAnsi"/>
          <w:sz w:val="22"/>
          <w:szCs w:val="22"/>
        </w:rPr>
        <w:t>11</w:t>
      </w:r>
      <w:r w:rsidRPr="004554F9">
        <w:rPr>
          <w:rFonts w:asciiTheme="minorHAnsi" w:hAnsiTheme="minorHAnsi" w:cstheme="minorHAnsi"/>
          <w:sz w:val="22"/>
          <w:szCs w:val="22"/>
        </w:rPr>
        <w:t xml:space="preserve">.2022, PETROPERÚ publicó su lista de precios de venta de combustibles. Se </w:t>
      </w:r>
      <w:r w:rsidR="00F86527">
        <w:rPr>
          <w:rFonts w:asciiTheme="minorHAnsi" w:hAnsiTheme="minorHAnsi" w:cstheme="minorHAnsi"/>
          <w:sz w:val="22"/>
          <w:szCs w:val="22"/>
        </w:rPr>
        <w:t>registraron variaciones en los precios de</w:t>
      </w:r>
      <w:r w:rsidR="00D4584F">
        <w:rPr>
          <w:rFonts w:asciiTheme="minorHAnsi" w:hAnsiTheme="minorHAnsi" w:cstheme="minorHAnsi"/>
          <w:sz w:val="22"/>
          <w:szCs w:val="22"/>
        </w:rPr>
        <w:t xml:space="preserve"> las gasolinas de 97 (-0.12 S/Gln) y 95 (-0.10 S/Gln) octanos,</w:t>
      </w:r>
      <w:r w:rsidR="00F86527">
        <w:rPr>
          <w:rFonts w:asciiTheme="minorHAnsi" w:hAnsiTheme="minorHAnsi" w:cstheme="minorHAnsi"/>
          <w:sz w:val="22"/>
          <w:szCs w:val="22"/>
        </w:rPr>
        <w:t xml:space="preserve"> los gasoholes de 97 (-0.</w:t>
      </w:r>
      <w:r w:rsidR="00D4584F">
        <w:rPr>
          <w:rFonts w:asciiTheme="minorHAnsi" w:hAnsiTheme="minorHAnsi" w:cstheme="minorHAnsi"/>
          <w:sz w:val="22"/>
          <w:szCs w:val="22"/>
        </w:rPr>
        <w:t>08</w:t>
      </w:r>
      <w:r w:rsidR="00F86527">
        <w:rPr>
          <w:rFonts w:asciiTheme="minorHAnsi" w:hAnsiTheme="minorHAnsi" w:cstheme="minorHAnsi"/>
          <w:sz w:val="22"/>
          <w:szCs w:val="22"/>
        </w:rPr>
        <w:t xml:space="preserve"> S/Gln), 95(-0.0</w:t>
      </w:r>
      <w:r w:rsidR="00D4584F">
        <w:rPr>
          <w:rFonts w:asciiTheme="minorHAnsi" w:hAnsiTheme="minorHAnsi" w:cstheme="minorHAnsi"/>
          <w:sz w:val="22"/>
          <w:szCs w:val="22"/>
        </w:rPr>
        <w:t>6</w:t>
      </w:r>
      <w:r w:rsidR="00F86527">
        <w:rPr>
          <w:rFonts w:asciiTheme="minorHAnsi" w:hAnsiTheme="minorHAnsi" w:cstheme="minorHAnsi"/>
          <w:sz w:val="22"/>
          <w:szCs w:val="22"/>
        </w:rPr>
        <w:t xml:space="preserve"> S/Gln) y 90(</w:t>
      </w:r>
      <w:r w:rsidR="00D4584F">
        <w:rPr>
          <w:rFonts w:asciiTheme="minorHAnsi" w:hAnsiTheme="minorHAnsi" w:cstheme="minorHAnsi"/>
          <w:sz w:val="22"/>
          <w:szCs w:val="22"/>
        </w:rPr>
        <w:t>+</w:t>
      </w:r>
      <w:r w:rsidR="00F86527">
        <w:rPr>
          <w:rFonts w:asciiTheme="minorHAnsi" w:hAnsiTheme="minorHAnsi" w:cstheme="minorHAnsi"/>
          <w:sz w:val="22"/>
          <w:szCs w:val="22"/>
        </w:rPr>
        <w:t>0.0</w:t>
      </w:r>
      <w:r w:rsidR="00D4584F">
        <w:rPr>
          <w:rFonts w:asciiTheme="minorHAnsi" w:hAnsiTheme="minorHAnsi" w:cstheme="minorHAnsi"/>
          <w:sz w:val="22"/>
          <w:szCs w:val="22"/>
        </w:rPr>
        <w:t>1</w:t>
      </w:r>
      <w:r w:rsidR="00F86527">
        <w:rPr>
          <w:rFonts w:asciiTheme="minorHAnsi" w:hAnsiTheme="minorHAnsi" w:cstheme="minorHAnsi"/>
          <w:sz w:val="22"/>
          <w:szCs w:val="22"/>
        </w:rPr>
        <w:t xml:space="preserve"> S/Gln) octanos, así como en el Diesel B5(-0.</w:t>
      </w:r>
      <w:r w:rsidR="00D4584F">
        <w:rPr>
          <w:rFonts w:asciiTheme="minorHAnsi" w:hAnsiTheme="minorHAnsi" w:cstheme="minorHAnsi"/>
          <w:sz w:val="22"/>
          <w:szCs w:val="22"/>
        </w:rPr>
        <w:t>09</w:t>
      </w:r>
      <w:r w:rsidR="00F86527">
        <w:rPr>
          <w:rFonts w:asciiTheme="minorHAnsi" w:hAnsiTheme="minorHAnsi" w:cstheme="minorHAnsi"/>
          <w:sz w:val="22"/>
          <w:szCs w:val="22"/>
        </w:rPr>
        <w:t xml:space="preserve"> S/Gln) y los residuales R6(+0.</w:t>
      </w:r>
      <w:r w:rsidR="00D4584F">
        <w:rPr>
          <w:rFonts w:asciiTheme="minorHAnsi" w:hAnsiTheme="minorHAnsi" w:cstheme="minorHAnsi"/>
          <w:sz w:val="22"/>
          <w:szCs w:val="22"/>
        </w:rPr>
        <w:t>1</w:t>
      </w:r>
      <w:r w:rsidR="00F86527">
        <w:rPr>
          <w:rFonts w:asciiTheme="minorHAnsi" w:hAnsiTheme="minorHAnsi" w:cstheme="minorHAnsi"/>
          <w:sz w:val="22"/>
          <w:szCs w:val="22"/>
        </w:rPr>
        <w:t>6 S/Gln) y R500(+0.1</w:t>
      </w:r>
      <w:r w:rsidR="00D4584F">
        <w:rPr>
          <w:rFonts w:asciiTheme="minorHAnsi" w:hAnsiTheme="minorHAnsi" w:cstheme="minorHAnsi"/>
          <w:sz w:val="22"/>
          <w:szCs w:val="22"/>
        </w:rPr>
        <w:t>9</w:t>
      </w:r>
      <w:r w:rsidR="00F86527">
        <w:rPr>
          <w:rFonts w:asciiTheme="minorHAnsi" w:hAnsiTheme="minorHAnsi" w:cstheme="minorHAnsi"/>
          <w:sz w:val="22"/>
          <w:szCs w:val="22"/>
        </w:rPr>
        <w:t xml:space="preserve"> S/Gln).</w:t>
      </w:r>
    </w:p>
    <w:p w14:paraId="59949A9A" w14:textId="77777777" w:rsidR="0074476A" w:rsidRDefault="0074476A" w:rsidP="0074476A">
      <w:pPr>
        <w:pStyle w:val="ListParagraph"/>
        <w:rPr>
          <w:rFonts w:asciiTheme="minorHAnsi" w:hAnsiTheme="minorHAnsi" w:cstheme="minorHAnsi"/>
          <w:sz w:val="22"/>
          <w:szCs w:val="22"/>
        </w:rPr>
      </w:pPr>
    </w:p>
    <w:p w14:paraId="34FBD931" w14:textId="77777777" w:rsidR="0074476A" w:rsidRDefault="0074476A" w:rsidP="0074476A">
      <w:pPr>
        <w:pStyle w:val="BodyTextIndent"/>
        <w:ind w:left="568" w:firstLine="0"/>
        <w:rPr>
          <w:rFonts w:asciiTheme="minorHAnsi" w:hAnsiTheme="minorHAnsi" w:cstheme="minorHAnsi"/>
          <w:sz w:val="22"/>
          <w:szCs w:val="22"/>
        </w:rPr>
      </w:pPr>
    </w:p>
    <w:p w14:paraId="3CC7FF13" w14:textId="2F8E8540" w:rsidR="009D32AB" w:rsidRDefault="009D32AB">
      <w:pPr>
        <w:rPr>
          <w:rFonts w:asciiTheme="minorHAnsi" w:hAnsiTheme="minorHAnsi" w:cstheme="minorHAnsi"/>
          <w:sz w:val="22"/>
          <w:szCs w:val="22"/>
        </w:rPr>
      </w:pPr>
      <w:r>
        <w:rPr>
          <w:rFonts w:asciiTheme="minorHAnsi" w:hAnsiTheme="minorHAnsi" w:cstheme="minorHAnsi"/>
          <w:sz w:val="22"/>
          <w:szCs w:val="22"/>
        </w:rPr>
        <w:br w:type="page"/>
      </w:r>
    </w:p>
    <w:p w14:paraId="7894EBA0" w14:textId="77777777" w:rsidR="00E53D92" w:rsidRDefault="00AF270F" w:rsidP="0004242F">
      <w:pPr>
        <w:pStyle w:val="FootnoteText"/>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FootnoteText"/>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BodyTextIndent"/>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FootnoteText"/>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ListParagraph"/>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FootnoteReferenc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01F15951"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9150B3">
        <w:rPr>
          <w:rFonts w:asciiTheme="minorHAnsi" w:hAnsiTheme="minorHAnsi" w:cstheme="minorHAnsi"/>
          <w:sz w:val="22"/>
          <w:szCs w:val="22"/>
        </w:rPr>
        <w:t>31</w:t>
      </w:r>
      <w:r w:rsidR="00C330A2" w:rsidRPr="00E61EC2">
        <w:rPr>
          <w:rFonts w:asciiTheme="minorHAnsi" w:hAnsiTheme="minorHAnsi" w:cstheme="minorHAnsi"/>
          <w:sz w:val="22"/>
          <w:szCs w:val="22"/>
        </w:rPr>
        <w:t>/</w:t>
      </w:r>
      <w:r w:rsidR="000B2CCD">
        <w:rPr>
          <w:rFonts w:asciiTheme="minorHAnsi" w:hAnsiTheme="minorHAnsi" w:cstheme="minorHAnsi"/>
          <w:sz w:val="22"/>
          <w:szCs w:val="22"/>
        </w:rPr>
        <w:t>10</w:t>
      </w:r>
      <w:r w:rsidR="00DE6640" w:rsidRPr="00E61EC2">
        <w:rPr>
          <w:rFonts w:asciiTheme="minorHAnsi" w:hAnsiTheme="minorHAnsi" w:cstheme="minorHAnsi"/>
          <w:sz w:val="22"/>
          <w:szCs w:val="22"/>
        </w:rPr>
        <w:t xml:space="preserve">/2021 y el </w:t>
      </w:r>
      <w:r w:rsidR="009150B3">
        <w:rPr>
          <w:rFonts w:asciiTheme="minorHAnsi" w:hAnsiTheme="minorHAnsi" w:cstheme="minorHAnsi"/>
          <w:sz w:val="22"/>
          <w:szCs w:val="22"/>
        </w:rPr>
        <w:t>11</w:t>
      </w:r>
      <w:r w:rsidRPr="00E61EC2">
        <w:rPr>
          <w:rFonts w:asciiTheme="minorHAnsi" w:hAnsiTheme="minorHAnsi" w:cstheme="minorHAnsi"/>
          <w:sz w:val="22"/>
          <w:szCs w:val="22"/>
        </w:rPr>
        <w:t>/</w:t>
      </w:r>
      <w:r w:rsidR="008F51FD">
        <w:rPr>
          <w:rFonts w:asciiTheme="minorHAnsi" w:hAnsiTheme="minorHAnsi" w:cstheme="minorHAnsi"/>
          <w:sz w:val="22"/>
          <w:szCs w:val="22"/>
        </w:rPr>
        <w:t>11</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0632A6B9"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9150B3">
        <w:rPr>
          <w:rFonts w:ascii="Calibri" w:hAnsi="Calibri" w:cs="Arial"/>
          <w:b/>
          <w:bCs/>
          <w:i/>
          <w:sz w:val="22"/>
          <w:szCs w:val="22"/>
          <w:lang w:eastAsia="es-PE"/>
        </w:rPr>
        <w:t>11</w:t>
      </w:r>
      <w:r>
        <w:rPr>
          <w:rFonts w:ascii="Calibri" w:hAnsi="Calibri" w:cs="Arial"/>
          <w:b/>
          <w:bCs/>
          <w:i/>
          <w:sz w:val="22"/>
          <w:szCs w:val="22"/>
          <w:lang w:eastAsia="es-PE"/>
        </w:rPr>
        <w:t>-</w:t>
      </w:r>
      <w:r w:rsidR="00B5107A">
        <w:rPr>
          <w:rFonts w:ascii="Calibri" w:hAnsi="Calibri" w:cs="Arial"/>
          <w:b/>
          <w:bCs/>
          <w:i/>
          <w:sz w:val="22"/>
          <w:szCs w:val="22"/>
          <w:lang w:eastAsia="es-PE"/>
        </w:rPr>
        <w:t>11</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2041AC8F" w:rsidR="00F85D23" w:rsidRPr="00CC2A8A" w:rsidRDefault="009150B3" w:rsidP="00F85D23">
      <w:pPr>
        <w:pBdr>
          <w:top w:val="single" w:sz="4" w:space="1" w:color="auto"/>
          <w:bottom w:val="single" w:sz="4" w:space="1" w:color="auto"/>
        </w:pBdr>
        <w:rPr>
          <w:rFonts w:ascii="Calibri" w:hAnsi="Calibri" w:cs="Arial"/>
          <w:bCs/>
          <w:sz w:val="32"/>
          <w:szCs w:val="32"/>
        </w:rPr>
      </w:pPr>
      <w:r w:rsidRPr="009150B3">
        <w:drawing>
          <wp:inline distT="0" distB="0" distL="0" distR="0" wp14:anchorId="4CF08C93" wp14:editId="75D07310">
            <wp:extent cx="5490845" cy="2915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5E6308A6"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033C3B">
        <w:rPr>
          <w:rFonts w:asciiTheme="minorHAnsi" w:hAnsiTheme="minorHAnsi" w:cstheme="minorHAnsi"/>
          <w:sz w:val="22"/>
          <w:szCs w:val="22"/>
        </w:rPr>
        <w:t>7</w:t>
      </w:r>
      <w:r w:rsidR="003605C1">
        <w:rPr>
          <w:rFonts w:asciiTheme="minorHAnsi" w:hAnsiTheme="minorHAnsi" w:cstheme="minorHAnsi"/>
          <w:sz w:val="22"/>
          <w:szCs w:val="22"/>
        </w:rPr>
        <w:t>8</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w:t>
      </w:r>
      <w:r w:rsidR="001060D4">
        <w:rPr>
          <w:rFonts w:asciiTheme="minorHAnsi" w:hAnsiTheme="minorHAnsi" w:cstheme="minorHAnsi"/>
          <w:sz w:val="22"/>
          <w:szCs w:val="22"/>
        </w:rPr>
        <w:t>2</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EE1A33">
        <w:rPr>
          <w:rFonts w:asciiTheme="minorHAnsi" w:hAnsiTheme="minorHAnsi" w:cstheme="minorHAnsi"/>
          <w:sz w:val="22"/>
          <w:szCs w:val="22"/>
        </w:rPr>
        <w:t>,</w:t>
      </w:r>
      <w:r w:rsidR="00607026">
        <w:rPr>
          <w:rFonts w:asciiTheme="minorHAnsi" w:hAnsiTheme="minorHAnsi" w:cstheme="minorHAnsi"/>
          <w:sz w:val="22"/>
          <w:szCs w:val="22"/>
        </w:rPr>
        <w:t xml:space="preserve"> </w:t>
      </w:r>
      <w:r w:rsidR="00013D52">
        <w:rPr>
          <w:rFonts w:asciiTheme="minorHAnsi" w:hAnsiTheme="minorHAnsi" w:cstheme="minorHAnsi"/>
          <w:sz w:val="22"/>
          <w:szCs w:val="22"/>
        </w:rPr>
        <w:t>7</w:t>
      </w:r>
      <w:r w:rsidR="001060D4">
        <w:rPr>
          <w:rFonts w:asciiTheme="minorHAnsi" w:hAnsiTheme="minorHAnsi" w:cstheme="minorHAnsi"/>
          <w:sz w:val="22"/>
          <w:szCs w:val="22"/>
        </w:rPr>
        <w:t>9</w:t>
      </w:r>
      <w:r w:rsidR="000B2CCD">
        <w:rPr>
          <w:rFonts w:asciiTheme="minorHAnsi" w:hAnsiTheme="minorHAnsi" w:cstheme="minorHAnsi"/>
          <w:sz w:val="22"/>
          <w:szCs w:val="22"/>
        </w:rPr>
        <w:t xml:space="preserve"> y </w:t>
      </w:r>
      <w:r w:rsidR="00013D52">
        <w:rPr>
          <w:rFonts w:asciiTheme="minorHAnsi" w:hAnsiTheme="minorHAnsi" w:cstheme="minorHAnsi"/>
          <w:sz w:val="22"/>
          <w:szCs w:val="22"/>
        </w:rPr>
        <w:t>7</w:t>
      </w:r>
      <w:r w:rsidR="001060D4">
        <w:rPr>
          <w:rFonts w:asciiTheme="minorHAnsi" w:hAnsiTheme="minorHAnsi" w:cstheme="minorHAnsi"/>
          <w:sz w:val="22"/>
          <w:szCs w:val="22"/>
        </w:rPr>
        <w:t>8</w:t>
      </w:r>
      <w:r w:rsidR="00607026">
        <w:rPr>
          <w:rFonts w:asciiTheme="minorHAnsi" w:hAnsiTheme="minorHAnsi" w:cstheme="minorHAnsi"/>
          <w:sz w:val="22"/>
          <w:szCs w:val="22"/>
        </w:rPr>
        <w:t>% de</w:t>
      </w:r>
      <w:r w:rsidR="00BD643D">
        <w:rPr>
          <w:rFonts w:asciiTheme="minorHAnsi" w:hAnsiTheme="minorHAnsi" w:cstheme="minorHAnsi"/>
          <w:sz w:val="22"/>
          <w:szCs w:val="22"/>
        </w:rPr>
        <w:t>l precio de</w:t>
      </w:r>
      <w:r w:rsidR="00607026">
        <w:rPr>
          <w:rFonts w:asciiTheme="minorHAnsi" w:hAnsiTheme="minorHAnsi" w:cstheme="minorHAnsi"/>
          <w:sz w:val="22"/>
          <w:szCs w:val="22"/>
        </w:rPr>
        <w:t xml:space="preserve"> los</w:t>
      </w:r>
      <w:r w:rsidR="006C0F5C">
        <w:rPr>
          <w:rFonts w:asciiTheme="minorHAnsi" w:hAnsiTheme="minorHAnsi" w:cstheme="minorHAnsi"/>
          <w:sz w:val="22"/>
          <w:szCs w:val="22"/>
        </w:rPr>
        <w:t xml:space="preserve"> r</w:t>
      </w:r>
      <w:r w:rsidR="007A75A5">
        <w:rPr>
          <w:rFonts w:asciiTheme="minorHAnsi" w:hAnsiTheme="minorHAnsi" w:cstheme="minorHAnsi"/>
          <w:sz w:val="22"/>
          <w:szCs w:val="22"/>
        </w:rPr>
        <w:t>esiduales</w:t>
      </w:r>
      <w:r w:rsidR="000B2CCD">
        <w:rPr>
          <w:rFonts w:asciiTheme="minorHAnsi" w:hAnsiTheme="minorHAnsi" w:cstheme="minorHAnsi"/>
          <w:sz w:val="22"/>
          <w:szCs w:val="22"/>
        </w:rPr>
        <w:t xml:space="preserve"> R6 y R500</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6E3649">
        <w:rPr>
          <w:rFonts w:asciiTheme="minorHAnsi" w:hAnsiTheme="minorHAnsi" w:cstheme="minorHAnsi"/>
          <w:sz w:val="22"/>
          <w:szCs w:val="22"/>
        </w:rPr>
        <w:t>8</w:t>
      </w:r>
      <w:r w:rsidR="001060D4">
        <w:rPr>
          <w:rFonts w:asciiTheme="minorHAnsi" w:hAnsiTheme="minorHAnsi" w:cstheme="minorHAnsi"/>
          <w:sz w:val="22"/>
          <w:szCs w:val="22"/>
        </w:rPr>
        <w:t>8</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16E28834"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9150B3">
        <w:rPr>
          <w:rFonts w:asciiTheme="minorHAnsi" w:hAnsiTheme="minorHAnsi" w:cstheme="minorHAnsi"/>
          <w:sz w:val="22"/>
          <w:szCs w:val="22"/>
        </w:rPr>
        <w:t>11</w:t>
      </w:r>
      <w:r w:rsidR="00B5107A">
        <w:rPr>
          <w:rFonts w:asciiTheme="minorHAnsi" w:hAnsiTheme="minorHAnsi" w:cstheme="minorHAnsi"/>
          <w:sz w:val="22"/>
          <w:szCs w:val="22"/>
        </w:rPr>
        <w:t xml:space="preserve"> de noviembre</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w:t>
      </w:r>
      <w:r w:rsidR="008D3F1A">
        <w:rPr>
          <w:rFonts w:asciiTheme="minorHAnsi" w:hAnsiTheme="minorHAnsi" w:cstheme="minorHAnsi"/>
          <w:sz w:val="22"/>
          <w:szCs w:val="22"/>
        </w:rPr>
        <w:t>es diarias publicadas por Argus</w:t>
      </w:r>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ListParagraph"/>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ListParagraph"/>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373FB8D5" w:rsidR="00F85D23" w:rsidRPr="006E3A77" w:rsidRDefault="00F85D23" w:rsidP="00313C92">
      <w:pPr>
        <w:pStyle w:val="ListParagraph"/>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Argus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171A87">
        <w:rPr>
          <w:rFonts w:asciiTheme="minorHAnsi" w:hAnsiTheme="minorHAnsi" w:cstheme="minorHAnsi"/>
          <w:sz w:val="22"/>
          <w:szCs w:val="22"/>
        </w:rPr>
        <w:t>6.</w:t>
      </w:r>
      <w:r w:rsidR="00F44B8E">
        <w:rPr>
          <w:rFonts w:asciiTheme="minorHAnsi" w:hAnsiTheme="minorHAnsi" w:cstheme="minorHAnsi"/>
          <w:sz w:val="22"/>
          <w:szCs w:val="22"/>
        </w:rPr>
        <w:t>76</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Para obtener la tarifa del 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ListParagraph"/>
        <w:ind w:left="426" w:hanging="426"/>
        <w:jc w:val="center"/>
        <w:rPr>
          <w:rFonts w:asciiTheme="minorHAnsi" w:hAnsiTheme="minorHAnsi" w:cstheme="minorHAnsi"/>
          <w:sz w:val="22"/>
          <w:szCs w:val="22"/>
          <w:lang w:val="es-MX"/>
        </w:rPr>
      </w:pPr>
    </w:p>
    <w:p w14:paraId="34490D69" w14:textId="07825E15" w:rsidR="00F85D23" w:rsidRPr="006E3A77" w:rsidRDefault="00F85D23" w:rsidP="00B45C03">
      <w:pPr>
        <w:pStyle w:val="ListParagraph"/>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71A87">
        <w:rPr>
          <w:rFonts w:asciiTheme="minorHAnsi" w:hAnsiTheme="minorHAnsi" w:cstheme="minorHAnsi"/>
          <w:sz w:val="22"/>
          <w:szCs w:val="22"/>
          <w:lang w:val="en-US"/>
        </w:rPr>
        <w:t>6.</w:t>
      </w:r>
      <w:r w:rsidR="00F44B8E">
        <w:rPr>
          <w:rFonts w:asciiTheme="minorHAnsi" w:hAnsiTheme="minorHAnsi" w:cstheme="minorHAnsi"/>
          <w:sz w:val="22"/>
          <w:szCs w:val="22"/>
          <w:lang w:val="en-US"/>
        </w:rPr>
        <w:t>76</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171A87">
        <w:rPr>
          <w:rFonts w:asciiTheme="minorHAnsi" w:hAnsiTheme="minorHAnsi" w:cstheme="minorHAnsi"/>
          <w:sz w:val="22"/>
          <w:szCs w:val="22"/>
          <w:lang w:val="en-US"/>
        </w:rPr>
        <w:t>4.</w:t>
      </w:r>
      <w:r w:rsidR="00F44B8E">
        <w:rPr>
          <w:rFonts w:asciiTheme="minorHAnsi" w:hAnsiTheme="minorHAnsi" w:cstheme="minorHAnsi"/>
          <w:sz w:val="22"/>
          <w:szCs w:val="22"/>
          <w:lang w:val="en-US"/>
        </w:rPr>
        <w:t>84</w:t>
      </w:r>
      <w:r w:rsidR="006431A2" w:rsidRPr="006E3A77">
        <w:rPr>
          <w:rFonts w:asciiTheme="minorHAnsi" w:hAnsiTheme="minorHAnsi" w:cstheme="minorHAnsi"/>
          <w:sz w:val="22"/>
          <w:szCs w:val="22"/>
          <w:lang w:val="en-US"/>
        </w:rPr>
        <w:t xml:space="preserve"> cent$/Galón</w:t>
      </w:r>
    </w:p>
    <w:p w14:paraId="719454AD" w14:textId="143DC423" w:rsidR="00F85D23" w:rsidRPr="006E3A77" w:rsidRDefault="00F85D23" w:rsidP="00B45C03">
      <w:pPr>
        <w:pStyle w:val="ListParagraph"/>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F44B8E">
        <w:rPr>
          <w:rFonts w:asciiTheme="minorHAnsi" w:hAnsiTheme="minorHAnsi" w:cstheme="minorHAnsi"/>
          <w:sz w:val="22"/>
          <w:szCs w:val="22"/>
          <w:lang w:val="en-US"/>
        </w:rPr>
        <w:t>2.03</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ListParagraph"/>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4981333D"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82B9F">
        <w:rPr>
          <w:rFonts w:asciiTheme="minorHAnsi" w:hAnsiTheme="minorHAnsi" w:cstheme="minorHAnsi"/>
          <w:sz w:val="22"/>
          <w:szCs w:val="22"/>
        </w:rPr>
        <w:t>8.</w:t>
      </w:r>
      <w:r w:rsidR="00F44B8E">
        <w:rPr>
          <w:rFonts w:asciiTheme="minorHAnsi" w:hAnsiTheme="minorHAnsi" w:cstheme="minorHAnsi"/>
          <w:sz w:val="22"/>
          <w:szCs w:val="22"/>
        </w:rPr>
        <w:t>89</w:t>
      </w:r>
      <w:r w:rsidRPr="006E3A77">
        <w:rPr>
          <w:rFonts w:asciiTheme="minorHAnsi" w:hAnsiTheme="minorHAnsi" w:cstheme="minorHAnsi"/>
          <w:sz w:val="22"/>
          <w:szCs w:val="22"/>
        </w:rPr>
        <w:t xml:space="preserve"> US$/Bl.</w:t>
      </w:r>
    </w:p>
    <w:p w14:paraId="33D23955" w14:textId="496A531F"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213640">
        <w:rPr>
          <w:rFonts w:asciiTheme="minorHAnsi" w:hAnsiTheme="minorHAnsi" w:cstheme="minorHAnsi"/>
          <w:sz w:val="22"/>
          <w:szCs w:val="22"/>
        </w:rPr>
        <w:t>3.</w:t>
      </w:r>
      <w:r w:rsidR="00F44B8E">
        <w:rPr>
          <w:rFonts w:asciiTheme="minorHAnsi" w:hAnsiTheme="minorHAnsi" w:cstheme="minorHAnsi"/>
          <w:sz w:val="22"/>
          <w:szCs w:val="22"/>
        </w:rPr>
        <w:t>31</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213640">
        <w:rPr>
          <w:rFonts w:asciiTheme="minorHAnsi" w:hAnsiTheme="minorHAnsi" w:cstheme="minorHAnsi"/>
          <w:sz w:val="22"/>
          <w:szCs w:val="22"/>
        </w:rPr>
        <w:t>2.</w:t>
      </w:r>
      <w:r w:rsidR="00F44B8E">
        <w:rPr>
          <w:rFonts w:asciiTheme="minorHAnsi" w:hAnsiTheme="minorHAnsi" w:cstheme="minorHAnsi"/>
          <w:sz w:val="22"/>
          <w:szCs w:val="22"/>
        </w:rPr>
        <w:t>50</w:t>
      </w:r>
      <w:r w:rsidRPr="006E3A77">
        <w:rPr>
          <w:rFonts w:asciiTheme="minorHAnsi" w:hAnsiTheme="minorHAnsi" w:cstheme="minorHAnsi"/>
          <w:sz w:val="22"/>
          <w:szCs w:val="22"/>
        </w:rPr>
        <w:t xml:space="preserve"> US$/Bl para las gasolinas de 90 y 84 octanos</w:t>
      </w:r>
    </w:p>
    <w:p w14:paraId="22EE480C" w14:textId="23A6B6B4"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A73AC">
        <w:rPr>
          <w:rFonts w:asciiTheme="minorHAnsi" w:hAnsiTheme="minorHAnsi" w:cstheme="minorHAnsi"/>
          <w:sz w:val="22"/>
          <w:szCs w:val="22"/>
        </w:rPr>
        <w:t>2.</w:t>
      </w:r>
      <w:r w:rsidR="00F44B8E">
        <w:rPr>
          <w:rFonts w:asciiTheme="minorHAnsi" w:hAnsiTheme="minorHAnsi" w:cstheme="minorHAnsi"/>
          <w:sz w:val="22"/>
          <w:szCs w:val="22"/>
        </w:rPr>
        <w:t>62</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1571D2">
        <w:rPr>
          <w:rFonts w:asciiTheme="minorHAnsi" w:hAnsiTheme="minorHAnsi" w:cstheme="minorHAnsi"/>
          <w:sz w:val="22"/>
          <w:szCs w:val="22"/>
        </w:rPr>
        <w:t>1</w:t>
      </w:r>
      <w:r w:rsidR="00F44B8E">
        <w:rPr>
          <w:rFonts w:asciiTheme="minorHAnsi" w:hAnsiTheme="minorHAnsi" w:cstheme="minorHAnsi"/>
          <w:sz w:val="22"/>
          <w:szCs w:val="22"/>
        </w:rPr>
        <w:t>4.09</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ListParagraph"/>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1269C8C5" w:rsidR="00F85D23" w:rsidRPr="006E3A77" w:rsidRDefault="00F85D23" w:rsidP="000B4E6E">
      <w:pPr>
        <w:pStyle w:val="ListParagraph"/>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82B9F">
        <w:rPr>
          <w:rFonts w:asciiTheme="minorHAnsi" w:hAnsiTheme="minorHAnsi" w:cstheme="minorHAnsi"/>
          <w:sz w:val="22"/>
          <w:szCs w:val="22"/>
        </w:rPr>
        <w:t>8.</w:t>
      </w:r>
      <w:r w:rsidR="00F44B8E">
        <w:rPr>
          <w:rFonts w:asciiTheme="minorHAnsi" w:hAnsiTheme="minorHAnsi" w:cstheme="minorHAnsi"/>
          <w:sz w:val="22"/>
          <w:szCs w:val="22"/>
        </w:rPr>
        <w:t>89</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1A3D25A6" w14:textId="77777777" w:rsidR="00F85D23" w:rsidRPr="006E3A77" w:rsidRDefault="00F85D23" w:rsidP="000B4E6E">
      <w:pPr>
        <w:pStyle w:val="ListParagraph"/>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ListParagraph"/>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0EAF29B5" w:rsidR="00B45C03" w:rsidRDefault="00F85D23" w:rsidP="00313C92">
      <w:pPr>
        <w:pStyle w:val="ListParagraph"/>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8A1382">
        <w:rPr>
          <w:rFonts w:asciiTheme="minorHAnsi" w:hAnsiTheme="minorHAnsi" w:cstheme="minorHAnsi"/>
          <w:sz w:val="22"/>
          <w:szCs w:val="22"/>
        </w:rPr>
        <w:t>2.</w:t>
      </w:r>
      <w:r w:rsidR="00FE44F3">
        <w:rPr>
          <w:rFonts w:asciiTheme="minorHAnsi" w:hAnsiTheme="minorHAnsi" w:cstheme="minorHAnsi"/>
          <w:sz w:val="22"/>
          <w:szCs w:val="22"/>
        </w:rPr>
        <w:t>70</w:t>
      </w:r>
      <w:r w:rsidRPr="006E3A77">
        <w:rPr>
          <w:rFonts w:asciiTheme="minorHAnsi" w:hAnsiTheme="minorHAnsi" w:cstheme="minorHAnsi"/>
          <w:sz w:val="22"/>
          <w:szCs w:val="22"/>
        </w:rPr>
        <w:t xml:space="preserve"> US$/Bl para el Petróleo Industrial 500.</w:t>
      </w:r>
    </w:p>
    <w:p w14:paraId="27CEBC3F" w14:textId="77777777" w:rsidR="002B3827" w:rsidRPr="006E3A77" w:rsidRDefault="002B3827" w:rsidP="002B3827">
      <w:pPr>
        <w:pStyle w:val="ListParagraph"/>
        <w:ind w:left="851"/>
        <w:jc w:val="both"/>
        <w:rPr>
          <w:rFonts w:asciiTheme="minorHAnsi" w:hAnsiTheme="minorHAnsi" w:cstheme="minorHAnsi"/>
          <w:sz w:val="22"/>
          <w:szCs w:val="22"/>
        </w:rPr>
      </w:pPr>
    </w:p>
    <w:p w14:paraId="117F1B95" w14:textId="77777777" w:rsidR="00F85D23" w:rsidRPr="00B45C03" w:rsidRDefault="00ED1D65" w:rsidP="00B45C03">
      <w:pPr>
        <w:pStyle w:val="ListParagraph"/>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682DA731" w:rsidR="004F74EE" w:rsidRDefault="00FE44F3" w:rsidP="004F74EE">
      <w:pPr>
        <w:pBdr>
          <w:top w:val="single" w:sz="4" w:space="1" w:color="auto"/>
          <w:bottom w:val="single" w:sz="4" w:space="1" w:color="auto"/>
        </w:pBdr>
        <w:jc w:val="center"/>
        <w:rPr>
          <w:rFonts w:ascii="Calibri" w:hAnsi="Calibri" w:cs="Calibri"/>
          <w:sz w:val="22"/>
          <w:szCs w:val="22"/>
          <w:lang w:val="es-PE" w:eastAsia="en-US"/>
        </w:rPr>
      </w:pPr>
      <w:r w:rsidRPr="00FE44F3">
        <w:drawing>
          <wp:inline distT="0" distB="0" distL="0" distR="0" wp14:anchorId="1D284EFD" wp14:editId="7C819434">
            <wp:extent cx="8173085" cy="29686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296862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BodyTextIndent"/>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Header"/>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Header"/>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394670F5" w:rsidR="00F85D23" w:rsidRPr="002B3648" w:rsidRDefault="00FE44F3" w:rsidP="00FB4E04">
            <w:pPr>
              <w:ind w:left="-618" w:right="-654"/>
              <w:jc w:val="center"/>
              <w:rPr>
                <w:rFonts w:asciiTheme="minorHAnsi" w:hAnsiTheme="minorHAnsi" w:cstheme="minorHAnsi"/>
              </w:rPr>
            </w:pPr>
            <w:r w:rsidRPr="00FE44F3">
              <w:rPr>
                <w:rFonts w:asciiTheme="minorHAnsi" w:hAnsiTheme="minorHAnsi" w:cstheme="minorHAnsi"/>
                <w:noProof/>
              </w:rPr>
              <w:drawing>
                <wp:inline distT="0" distB="0" distL="0" distR="0" wp14:anchorId="7656939E" wp14:editId="38054BD7">
                  <wp:extent cx="3520440" cy="29184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291846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201C127B" w:rsidR="00EF5671" w:rsidRPr="00CE793E" w:rsidRDefault="00FE44F3" w:rsidP="00FB4E04">
            <w:pPr>
              <w:ind w:left="-634" w:right="-654"/>
              <w:jc w:val="center"/>
              <w:rPr>
                <w:rFonts w:asciiTheme="minorHAnsi" w:hAnsiTheme="minorHAnsi" w:cstheme="minorHAnsi"/>
                <w:lang w:val="es-MX"/>
              </w:rPr>
            </w:pPr>
            <w:r w:rsidRPr="00FE44F3">
              <w:rPr>
                <w:rFonts w:asciiTheme="minorHAnsi" w:hAnsiTheme="minorHAnsi" w:cstheme="minorHAnsi"/>
                <w:noProof/>
                <w:lang w:val="es-MX"/>
              </w:rPr>
              <w:drawing>
                <wp:inline distT="0" distB="0" distL="0" distR="0" wp14:anchorId="114083B8" wp14:editId="151AF2BB">
                  <wp:extent cx="5211445" cy="229362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11445" cy="2293620"/>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Heading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Heading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Heading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1075357B" w:rsidR="000A6BC2" w:rsidRPr="00737F8F" w:rsidRDefault="00FE44F3" w:rsidP="00737F8F">
      <w:pPr>
        <w:pStyle w:val="Header"/>
        <w:pBdr>
          <w:top w:val="single" w:sz="4" w:space="1" w:color="auto"/>
          <w:bottom w:val="single" w:sz="4" w:space="1" w:color="auto"/>
        </w:pBdr>
        <w:tabs>
          <w:tab w:val="clear" w:pos="4419"/>
          <w:tab w:val="clear" w:pos="8838"/>
        </w:tabs>
        <w:ind w:left="284"/>
        <w:rPr>
          <w:rFonts w:asciiTheme="minorHAnsi" w:hAnsiTheme="minorHAnsi" w:cstheme="minorHAnsi"/>
        </w:rPr>
      </w:pPr>
      <w:r w:rsidRPr="00FE44F3">
        <w:drawing>
          <wp:inline distT="0" distB="0" distL="0" distR="0" wp14:anchorId="20CB39B1" wp14:editId="4E103E61">
            <wp:extent cx="5668010" cy="217170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8010" cy="21717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Heading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Heading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13A0F648" w:rsidR="005C4A97" w:rsidRDefault="00EA552D" w:rsidP="00604758">
      <w:pPr>
        <w:spacing w:line="0" w:lineRule="atLeast"/>
        <w:ind w:right="-567"/>
        <w:jc w:val="both"/>
        <w:rPr>
          <w:rFonts w:asciiTheme="minorHAnsi" w:hAnsiTheme="minorHAnsi" w:cstheme="minorHAnsi"/>
          <w:i/>
          <w:sz w:val="18"/>
          <w:szCs w:val="18"/>
        </w:rPr>
      </w:pPr>
      <w:r w:rsidRPr="00EA552D">
        <w:drawing>
          <wp:inline distT="0" distB="0" distL="0" distR="0" wp14:anchorId="4B5F0D73" wp14:editId="11C4DDDE">
            <wp:extent cx="5850255" cy="2438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0255" cy="2438400"/>
                    </a:xfrm>
                    <a:prstGeom prst="rect">
                      <a:avLst/>
                    </a:prstGeom>
                    <a:noFill/>
                    <a:ln>
                      <a:noFill/>
                    </a:ln>
                  </pic:spPr>
                </pic:pic>
              </a:graphicData>
            </a:graphic>
          </wp:inline>
        </w:drawing>
      </w:r>
    </w:p>
    <w:p w14:paraId="6C3D2D4D" w14:textId="1027E1CA" w:rsidR="00475D7F" w:rsidRPr="002B3648" w:rsidRDefault="00946505" w:rsidP="004F1CFE">
      <w:pPr>
        <w:ind w:left="-142"/>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77777777" w:rsidR="008D40C4" w:rsidRDefault="00DC168B" w:rsidP="002261BC">
      <w:pPr>
        <w:ind w:left="-709"/>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089EEA2D" w:rsidR="007B04A3" w:rsidRDefault="00EA552D" w:rsidP="002261BC">
      <w:pPr>
        <w:ind w:left="-851"/>
        <w:rPr>
          <w:rFonts w:asciiTheme="minorHAnsi" w:hAnsiTheme="minorHAnsi" w:cstheme="minorHAnsi"/>
          <w:i/>
          <w:sz w:val="18"/>
          <w:szCs w:val="18"/>
        </w:rPr>
      </w:pPr>
      <w:r w:rsidRPr="00EA552D">
        <w:drawing>
          <wp:inline distT="0" distB="0" distL="0" distR="0" wp14:anchorId="43497D6D" wp14:editId="7F61FA09">
            <wp:extent cx="6431280" cy="7197756"/>
            <wp:effectExtent l="0" t="0" r="762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34185" cy="7201007"/>
                    </a:xfrm>
                    <a:prstGeom prst="rect">
                      <a:avLst/>
                    </a:prstGeom>
                    <a:noFill/>
                    <a:ln>
                      <a:noFill/>
                    </a:ln>
                  </pic:spPr>
                </pic:pic>
              </a:graphicData>
            </a:graphic>
          </wp:inline>
        </w:drawing>
      </w:r>
    </w:p>
    <w:p w14:paraId="00F47A69" w14:textId="4BCE8B96" w:rsidR="00DB4BFD" w:rsidRDefault="00DC168B" w:rsidP="00550489">
      <w:pPr>
        <w:pStyle w:val="xl37"/>
        <w:spacing w:before="0" w:beforeAutospacing="0" w:after="0" w:afterAutospacing="0"/>
        <w:ind w:left="-851"/>
        <w:rPr>
          <w:rFonts w:asciiTheme="minorHAnsi" w:hAnsiTheme="minorHAnsi" w:cstheme="minorHAnsi"/>
          <w:b w:val="0"/>
          <w:i/>
          <w:iCs/>
          <w:sz w:val="16"/>
          <w:szCs w:val="16"/>
        </w:rPr>
      </w:pPr>
      <w:r w:rsidRPr="00DC168B">
        <w:rPr>
          <w:rFonts w:asciiTheme="minorHAnsi" w:eastAsia="Times New Roman" w:hAnsiTheme="minorHAnsi" w:cstheme="minorHAnsi"/>
          <w:bCs w:val="0"/>
          <w:i/>
          <w:iCs/>
          <w:sz w:val="16"/>
          <w:szCs w:val="16"/>
        </w:rPr>
        <w:t xml:space="preserve"> </w:t>
      </w:r>
      <w:r w:rsidR="0022589A">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r w:rsidR="00DB4BFD">
        <w:rPr>
          <w:rFonts w:asciiTheme="minorHAnsi" w:hAnsiTheme="minorHAnsi" w:cstheme="minorHAnsi"/>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FootnoteReferenc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31252B3F" w14:textId="240892F4" w:rsidR="009D445C" w:rsidRDefault="00C56965" w:rsidP="00214BFB">
      <w:pPr>
        <w:jc w:val="center"/>
        <w:rPr>
          <w:rFonts w:asciiTheme="minorHAnsi" w:hAnsiTheme="minorHAnsi" w:cstheme="minorHAnsi"/>
          <w:sz w:val="22"/>
          <w:szCs w:val="22"/>
        </w:rPr>
      </w:pPr>
      <w:r>
        <w:rPr>
          <w:noProof/>
        </w:rPr>
        <w:drawing>
          <wp:inline distT="0" distB="0" distL="0" distR="0" wp14:anchorId="46F59DD3" wp14:editId="1CDDB774">
            <wp:extent cx="4623435" cy="2468542"/>
            <wp:effectExtent l="19050" t="19050" r="24765" b="27305"/>
            <wp:docPr id="32" name="Picture 3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crude oil stocks grap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58666" cy="2487352"/>
                    </a:xfrm>
                    <a:prstGeom prst="rect">
                      <a:avLst/>
                    </a:prstGeom>
                    <a:noFill/>
                    <a:ln>
                      <a:solidFill>
                        <a:schemeClr val="accent1"/>
                      </a:solidFill>
                    </a:ln>
                  </pic:spPr>
                </pic:pic>
              </a:graphicData>
            </a:graphic>
          </wp:inline>
        </w:drawing>
      </w:r>
    </w:p>
    <w:p w14:paraId="0E4C4954" w14:textId="2612F7B7" w:rsidR="00243B98" w:rsidRDefault="00243B98" w:rsidP="00214BFB">
      <w:pPr>
        <w:jc w:val="center"/>
        <w:rPr>
          <w:rFonts w:asciiTheme="minorHAnsi" w:hAnsiTheme="minorHAnsi" w:cstheme="minorHAnsi"/>
          <w:sz w:val="22"/>
          <w:szCs w:val="22"/>
        </w:rPr>
      </w:pPr>
    </w:p>
    <w:p w14:paraId="40B5F734" w14:textId="68CB95F8" w:rsidR="00243B98" w:rsidRDefault="00B13313" w:rsidP="00214BFB">
      <w:pPr>
        <w:jc w:val="center"/>
        <w:rPr>
          <w:rFonts w:asciiTheme="minorHAnsi" w:hAnsiTheme="minorHAnsi" w:cstheme="minorHAnsi"/>
          <w:sz w:val="22"/>
          <w:szCs w:val="22"/>
        </w:rPr>
      </w:pPr>
      <w:r>
        <w:rPr>
          <w:noProof/>
        </w:rPr>
        <w:drawing>
          <wp:inline distT="0" distB="0" distL="0" distR="0" wp14:anchorId="295EE60E" wp14:editId="2DF3C91D">
            <wp:extent cx="4621688" cy="2467610"/>
            <wp:effectExtent l="19050" t="19050" r="26670" b="27940"/>
            <wp:docPr id="33" name="Picture 33"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gasoline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37250" cy="2475919"/>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2252B599" w:rsidR="005932D3" w:rsidRDefault="00B13313" w:rsidP="00214BFB">
      <w:pPr>
        <w:jc w:val="center"/>
        <w:rPr>
          <w:rFonts w:asciiTheme="minorHAnsi" w:hAnsiTheme="minorHAnsi" w:cstheme="minorHAnsi"/>
          <w:sz w:val="22"/>
          <w:szCs w:val="22"/>
        </w:rPr>
      </w:pPr>
      <w:r>
        <w:rPr>
          <w:noProof/>
        </w:rPr>
        <w:drawing>
          <wp:inline distT="0" distB="0" distL="0" distR="0" wp14:anchorId="18F6A16D" wp14:editId="2870CA6C">
            <wp:extent cx="4575810" cy="2443113"/>
            <wp:effectExtent l="19050" t="19050" r="15240" b="14605"/>
            <wp:docPr id="34" name="Picture 3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distillat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96544" cy="2454183"/>
                    </a:xfrm>
                    <a:prstGeom prst="rect">
                      <a:avLst/>
                    </a:prstGeom>
                    <a:noFill/>
                    <a:ln>
                      <a:solidFill>
                        <a:schemeClr val="accent1"/>
                      </a:solidFill>
                    </a:ln>
                  </pic:spPr>
                </pic:pic>
              </a:graphicData>
            </a:graphic>
          </wp:inline>
        </w:drawing>
      </w:r>
    </w:p>
    <w:p w14:paraId="17D71A90" w14:textId="0172D51A"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B13313">
        <w:rPr>
          <w:noProof/>
        </w:rPr>
        <w:lastRenderedPageBreak/>
        <w:drawing>
          <wp:inline distT="0" distB="0" distL="0" distR="0" wp14:anchorId="4F8DB007" wp14:editId="272FF977">
            <wp:extent cx="4701374" cy="2510155"/>
            <wp:effectExtent l="19050" t="19050" r="23495" b="23495"/>
            <wp:docPr id="35" name="Picture 3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propane/propyle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21536" cy="2520920"/>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000000" w:rsidP="00CA3C87">
      <w:pPr>
        <w:rPr>
          <w:rFonts w:asciiTheme="minorHAnsi" w:hAnsiTheme="minorHAnsi" w:cstheme="minorHAnsi"/>
          <w:b/>
          <w:bCs/>
          <w:i/>
          <w:iCs/>
          <w:sz w:val="16"/>
          <w:szCs w:val="16"/>
        </w:rPr>
      </w:pPr>
      <w:hyperlink r:id="rId31" w:history="1">
        <w:r w:rsidR="00CA3C87" w:rsidRPr="00191C7D">
          <w:rPr>
            <w:rStyle w:val="Hyperlink"/>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2"/>
      <w:footerReference w:type="default" r:id="rId33"/>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F19788" w14:textId="77777777" w:rsidR="00020F6C" w:rsidRDefault="00020F6C" w:rsidP="006502B5">
      <w:r>
        <w:separator/>
      </w:r>
    </w:p>
  </w:endnote>
  <w:endnote w:type="continuationSeparator" w:id="0">
    <w:p w14:paraId="1CDABE2A" w14:textId="77777777" w:rsidR="00020F6C" w:rsidRDefault="00020F6C"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98F8897" w:rsidR="00287F9F" w:rsidRPr="00287F9F" w:rsidRDefault="00287F9F" w:rsidP="000E2DD7">
    <w:pPr>
      <w:pStyle w:val="Footer"/>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3C7DFB">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0D85DEE4" w:rsidR="00287F9F" w:rsidRPr="00287F9F" w:rsidRDefault="00287F9F" w:rsidP="000E2DD7">
    <w:pPr>
      <w:pStyle w:val="Footer"/>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CE004F">
          <w:rPr>
            <w:rFonts w:asciiTheme="minorHAnsi" w:hAnsiTheme="minorHAnsi" w:cstheme="minorHAnsi"/>
            <w:b/>
            <w:noProof/>
            <w:color w:val="002060"/>
          </w:rPr>
          <w:t>1</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Footer"/>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Footer"/>
      <w:ind w:right="-2013"/>
      <w:jc w:val="right"/>
    </w:pPr>
    <w:r w:rsidRPr="00376371">
      <w:rPr>
        <w:noProof/>
        <w:lang w:val="en-US" w:eastAsia="en-US"/>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D08FD72" w:rsidR="0087386D" w:rsidRPr="0087386D" w:rsidRDefault="0087386D" w:rsidP="000E2DD7">
    <w:pPr>
      <w:pStyle w:val="Footer"/>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3C7DFB">
          <w:rPr>
            <w:rFonts w:asciiTheme="minorHAnsi" w:hAnsiTheme="minorHAnsi" w:cstheme="minorHAnsi"/>
            <w:b/>
            <w:noProof/>
            <w:color w:val="002060"/>
            <w:lang w:val="en-US"/>
          </w:rPr>
          <w:t>13</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n-US" w:eastAsia="en-US"/>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Footer"/>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23CFA6" w14:textId="77777777" w:rsidR="00020F6C" w:rsidRDefault="00020F6C" w:rsidP="006502B5">
      <w:r>
        <w:separator/>
      </w:r>
    </w:p>
  </w:footnote>
  <w:footnote w:type="continuationSeparator" w:id="0">
    <w:p w14:paraId="4EC59764" w14:textId="77777777" w:rsidR="00020F6C" w:rsidRDefault="00020F6C" w:rsidP="006502B5">
      <w:r>
        <w:continuationSeparator/>
      </w:r>
    </w:p>
  </w:footnote>
  <w:footnote w:id="1">
    <w:p w14:paraId="3E654964" w14:textId="77777777" w:rsidR="00494331" w:rsidRPr="0020108D" w:rsidRDefault="00494331" w:rsidP="00EA7960">
      <w:pPr>
        <w:pStyle w:val="FootnoteText"/>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FootnoteText"/>
        <w:rPr>
          <w:rFonts w:asciiTheme="minorHAnsi" w:hAnsiTheme="minorHAnsi" w:cstheme="minorHAnsi"/>
          <w:i/>
          <w:sz w:val="18"/>
          <w:szCs w:val="18"/>
        </w:rPr>
      </w:pPr>
      <w:r>
        <w:rPr>
          <w:rStyle w:val="FootnoteReferenc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FootnoteText"/>
        <w:rPr>
          <w:rStyle w:val="FootnoteReference"/>
          <w:rFonts w:asciiTheme="minorHAnsi" w:hAnsiTheme="minorHAnsi" w:cstheme="minorHAnsi"/>
          <w:i/>
          <w:sz w:val="16"/>
          <w:szCs w:val="16"/>
          <w:vertAlign w:val="baseline"/>
        </w:rPr>
      </w:pPr>
      <w:r w:rsidRPr="00E003BE">
        <w:rPr>
          <w:rStyle w:val="FootnoteReference"/>
          <w:rFonts w:asciiTheme="minorHAnsi" w:hAnsiTheme="minorHAnsi" w:cstheme="minorHAnsi"/>
          <w:sz w:val="16"/>
          <w:szCs w:val="16"/>
        </w:rPr>
        <w:footnoteRef/>
      </w:r>
      <w:hyperlink r:id="rId1" w:history="1">
        <w:r w:rsidR="000151B9" w:rsidRPr="00F3665E">
          <w:rPr>
            <w:rStyle w:val="Hyperlink"/>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FootnoteText"/>
        <w:rPr>
          <w:rFonts w:asciiTheme="minorHAnsi" w:hAnsiTheme="minorHAnsi" w:cstheme="minorHAnsi"/>
          <w:i/>
          <w:sz w:val="16"/>
          <w:szCs w:val="16"/>
        </w:rPr>
      </w:pPr>
      <w:r>
        <w:rPr>
          <w:rStyle w:val="FootnoteReferenc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1F31C" w14:textId="77777777" w:rsidR="00FF1622" w:rsidRPr="002E3C90" w:rsidRDefault="005A0113" w:rsidP="00FF1622">
    <w:pPr>
      <w:pStyle w:val="Header"/>
      <w:tabs>
        <w:tab w:val="clear" w:pos="8838"/>
        <w:tab w:val="right" w:pos="8646"/>
      </w:tabs>
      <w:ind w:left="-1418"/>
    </w:pPr>
    <w:bookmarkStart w:id="1" w:name="_Hlk68946101"/>
    <w:bookmarkStart w:id="2" w:name="_Hlk68946102"/>
    <w:r>
      <w:rPr>
        <w:noProof/>
        <w:lang w:val="en-US" w:eastAsia="en-US"/>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n-US" w:eastAsia="en-US"/>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2ED61" w14:textId="77777777" w:rsidR="00FD404B" w:rsidRPr="002E3C90" w:rsidRDefault="005A0113" w:rsidP="005A0113">
    <w:pPr>
      <w:pStyle w:val="Header"/>
      <w:tabs>
        <w:tab w:val="clear" w:pos="8838"/>
        <w:tab w:val="right" w:pos="426"/>
      </w:tabs>
      <w:ind w:left="-1276"/>
    </w:pPr>
    <w:r>
      <w:rPr>
        <w:noProof/>
        <w:lang w:val="en-US" w:eastAsia="en-US"/>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n-US" w:eastAsia="en-US"/>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77777777" w:rsidR="00494331" w:rsidRPr="002E3C90" w:rsidRDefault="00287F9F" w:rsidP="0081371D">
    <w:pPr>
      <w:pStyle w:val="Header"/>
      <w:tabs>
        <w:tab w:val="clear" w:pos="8838"/>
        <w:tab w:val="right" w:pos="8646"/>
      </w:tabs>
      <w:ind w:left="-1418"/>
    </w:pPr>
    <w:r>
      <w:rPr>
        <w:noProof/>
        <w:lang w:val="en-US" w:eastAsia="en-US"/>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Footer"/>
      <w:tabs>
        <w:tab w:val="clear" w:pos="8838"/>
      </w:tabs>
      <w:ind w:left="-851" w:right="-207"/>
      <w:rPr>
        <w:rFonts w:ascii="Arial" w:hAnsi="Arial" w:cs="Arial"/>
        <w:b/>
        <w:color w:val="1F497D"/>
        <w:lang w:val="en-US"/>
      </w:rPr>
    </w:pPr>
    <w:r w:rsidRPr="0087334C">
      <w:rPr>
        <w:noProof/>
        <w:lang w:val="en-US" w:eastAsia="en-US"/>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Footer"/>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Footer"/>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106996530">
    <w:abstractNumId w:val="3"/>
  </w:num>
  <w:num w:numId="2" w16cid:durableId="457454234">
    <w:abstractNumId w:val="10"/>
  </w:num>
  <w:num w:numId="3" w16cid:durableId="1081675922">
    <w:abstractNumId w:val="11"/>
  </w:num>
  <w:num w:numId="4" w16cid:durableId="1001272058">
    <w:abstractNumId w:val="0"/>
  </w:num>
  <w:num w:numId="5" w16cid:durableId="1202547045">
    <w:abstractNumId w:val="13"/>
  </w:num>
  <w:num w:numId="6" w16cid:durableId="1456172180">
    <w:abstractNumId w:val="16"/>
  </w:num>
  <w:num w:numId="7" w16cid:durableId="1923761767">
    <w:abstractNumId w:val="15"/>
  </w:num>
  <w:num w:numId="8" w16cid:durableId="1721712134">
    <w:abstractNumId w:val="9"/>
  </w:num>
  <w:num w:numId="9" w16cid:durableId="1038354185">
    <w:abstractNumId w:val="14"/>
  </w:num>
  <w:num w:numId="10" w16cid:durableId="1493643679">
    <w:abstractNumId w:val="5"/>
  </w:num>
  <w:num w:numId="11" w16cid:durableId="1243103327">
    <w:abstractNumId w:val="12"/>
  </w:num>
  <w:num w:numId="12" w16cid:durableId="102850919">
    <w:abstractNumId w:val="4"/>
  </w:num>
  <w:num w:numId="13" w16cid:durableId="1966547245">
    <w:abstractNumId w:val="2"/>
  </w:num>
  <w:num w:numId="14" w16cid:durableId="929191506">
    <w:abstractNumId w:val="6"/>
  </w:num>
  <w:num w:numId="15" w16cid:durableId="1534534676">
    <w:abstractNumId w:val="8"/>
  </w:num>
  <w:num w:numId="16" w16cid:durableId="849636137">
    <w:abstractNumId w:val="17"/>
  </w:num>
  <w:num w:numId="17" w16cid:durableId="2138795343">
    <w:abstractNumId w:val="18"/>
  </w:num>
  <w:num w:numId="18" w16cid:durableId="1301612602">
    <w:abstractNumId w:val="7"/>
  </w:num>
  <w:num w:numId="19" w16cid:durableId="52313685">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4BAC"/>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772"/>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6DF"/>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7AB"/>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Heading1">
    <w:name w:val="heading 1"/>
    <w:basedOn w:val="Normal"/>
    <w:next w:val="Normal"/>
    <w:link w:val="Heading1Char"/>
    <w:qFormat/>
    <w:rsid w:val="00D92C58"/>
    <w:pPr>
      <w:keepNext/>
      <w:spacing w:before="120" w:after="120"/>
      <w:ind w:left="454" w:hanging="454"/>
      <w:jc w:val="both"/>
      <w:outlineLvl w:val="0"/>
    </w:pPr>
    <w:rPr>
      <w:rFonts w:ascii="Arial" w:hAnsi="Arial"/>
      <w:b/>
      <w:bCs/>
      <w:sz w:val="28"/>
      <w:u w:val="single"/>
      <w:lang w:val="x-none"/>
    </w:rPr>
  </w:style>
  <w:style w:type="paragraph" w:styleId="Heading2">
    <w:name w:val="heading 2"/>
    <w:basedOn w:val="Normal"/>
    <w:next w:val="Normal"/>
    <w:link w:val="Heading2Char"/>
    <w:qFormat/>
    <w:rsid w:val="00D92C58"/>
    <w:pPr>
      <w:keepNext/>
      <w:spacing w:before="120" w:after="60"/>
      <w:ind w:left="454" w:hanging="454"/>
      <w:jc w:val="both"/>
      <w:outlineLvl w:val="1"/>
    </w:pPr>
    <w:rPr>
      <w:rFonts w:ascii="Arial" w:hAnsi="Arial"/>
      <w:b/>
      <w:bCs/>
      <w:iCs/>
    </w:rPr>
  </w:style>
  <w:style w:type="paragraph" w:styleId="Heading3">
    <w:name w:val="heading 3"/>
    <w:basedOn w:val="Normal"/>
    <w:next w:val="Normal"/>
    <w:qFormat/>
    <w:rsid w:val="00D16380"/>
    <w:pPr>
      <w:keepNext/>
      <w:spacing w:before="240" w:after="60"/>
      <w:outlineLvl w:val="2"/>
    </w:pPr>
    <w:rPr>
      <w:rFonts w:ascii="Arial" w:hAnsi="Arial" w:cs="Arial"/>
      <w:b/>
      <w:bCs/>
      <w:sz w:val="26"/>
      <w:szCs w:val="26"/>
    </w:rPr>
  </w:style>
  <w:style w:type="paragraph" w:styleId="Heading5">
    <w:name w:val="heading 5"/>
    <w:basedOn w:val="Normal"/>
    <w:next w:val="Normal"/>
    <w:qFormat/>
    <w:rsid w:val="00C64D47"/>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02B5"/>
    <w:pPr>
      <w:tabs>
        <w:tab w:val="center" w:pos="4419"/>
        <w:tab w:val="right" w:pos="8838"/>
      </w:tabs>
    </w:pPr>
  </w:style>
  <w:style w:type="character" w:customStyle="1" w:styleId="HeaderChar">
    <w:name w:val="Header Char"/>
    <w:basedOn w:val="DefaultParagraphFont"/>
    <w:link w:val="Header"/>
    <w:uiPriority w:val="99"/>
    <w:rsid w:val="006502B5"/>
  </w:style>
  <w:style w:type="paragraph" w:styleId="Footer">
    <w:name w:val="footer"/>
    <w:basedOn w:val="Normal"/>
    <w:link w:val="FooterChar"/>
    <w:uiPriority w:val="99"/>
    <w:unhideWhenUsed/>
    <w:rsid w:val="006502B5"/>
    <w:pPr>
      <w:tabs>
        <w:tab w:val="center" w:pos="4419"/>
        <w:tab w:val="right" w:pos="8838"/>
      </w:tabs>
    </w:pPr>
  </w:style>
  <w:style w:type="character" w:customStyle="1" w:styleId="FooterChar">
    <w:name w:val="Footer Char"/>
    <w:basedOn w:val="DefaultParagraphFont"/>
    <w:link w:val="Footer"/>
    <w:uiPriority w:val="99"/>
    <w:rsid w:val="006502B5"/>
  </w:style>
  <w:style w:type="paragraph" w:styleId="BalloonText">
    <w:name w:val="Balloon Text"/>
    <w:basedOn w:val="Normal"/>
    <w:link w:val="BalloonTextChar"/>
    <w:uiPriority w:val="99"/>
    <w:semiHidden/>
    <w:unhideWhenUsed/>
    <w:rsid w:val="006502B5"/>
    <w:rPr>
      <w:rFonts w:ascii="Tahoma" w:eastAsia="Calibri" w:hAnsi="Tahoma"/>
      <w:sz w:val="16"/>
      <w:szCs w:val="16"/>
      <w:lang w:val="x-none" w:eastAsia="x-none"/>
    </w:rPr>
  </w:style>
  <w:style w:type="character" w:customStyle="1" w:styleId="BalloonTextChar">
    <w:name w:val="Balloon Text Char"/>
    <w:link w:val="BalloonText"/>
    <w:uiPriority w:val="99"/>
    <w:semiHidden/>
    <w:rsid w:val="006502B5"/>
    <w:rPr>
      <w:rFonts w:ascii="Tahoma" w:hAnsi="Tahoma" w:cs="Tahoma"/>
      <w:sz w:val="16"/>
      <w:szCs w:val="16"/>
    </w:rPr>
  </w:style>
  <w:style w:type="character" w:customStyle="1" w:styleId="Heading1Char">
    <w:name w:val="Heading 1 Char"/>
    <w:link w:val="Heading1"/>
    <w:rsid w:val="00D92C58"/>
    <w:rPr>
      <w:rFonts w:ascii="Arial" w:eastAsia="Times New Roman" w:hAnsi="Arial" w:cs="Times New Roman"/>
      <w:b/>
      <w:bCs/>
      <w:sz w:val="28"/>
      <w:szCs w:val="24"/>
      <w:u w:val="single"/>
      <w:lang w:eastAsia="es-ES"/>
    </w:rPr>
  </w:style>
  <w:style w:type="character" w:customStyle="1" w:styleId="Heading2Char">
    <w:name w:val="Heading 2 Char"/>
    <w:link w:val="Heading2"/>
    <w:rsid w:val="00D92C58"/>
    <w:rPr>
      <w:rFonts w:ascii="Arial" w:eastAsia="Times New Roman" w:hAnsi="Arial" w:cs="Arial"/>
      <w:b/>
      <w:bCs/>
      <w:iCs/>
      <w:sz w:val="24"/>
      <w:szCs w:val="24"/>
      <w:lang w:val="es-ES" w:eastAsia="es-ES"/>
    </w:rPr>
  </w:style>
  <w:style w:type="paragraph" w:styleId="FootnoteText">
    <w:name w:val="footnote text"/>
    <w:basedOn w:val="Normal"/>
    <w:link w:val="FootnoteTextChar"/>
    <w:uiPriority w:val="99"/>
    <w:rsid w:val="00C64D47"/>
    <w:pPr>
      <w:spacing w:before="120" w:after="120"/>
      <w:jc w:val="both"/>
    </w:pPr>
    <w:rPr>
      <w:rFonts w:ascii="Arial" w:hAnsi="Arial"/>
      <w:sz w:val="20"/>
      <w:szCs w:val="20"/>
    </w:rPr>
  </w:style>
  <w:style w:type="character" w:styleId="FootnoteReference">
    <w:name w:val="footnote reference"/>
    <w:uiPriority w:val="99"/>
    <w:rsid w:val="00C64D47"/>
    <w:rPr>
      <w:vertAlign w:val="superscript"/>
    </w:rPr>
  </w:style>
  <w:style w:type="paragraph" w:customStyle="1" w:styleId="Ttulo1">
    <w:name w:val="Título1"/>
    <w:basedOn w:val="Normal"/>
    <w:qFormat/>
    <w:rsid w:val="00C64D47"/>
    <w:pPr>
      <w:spacing w:line="360" w:lineRule="auto"/>
      <w:jc w:val="center"/>
    </w:pPr>
    <w:rPr>
      <w:rFonts w:ascii="Arial" w:hAnsi="Arial" w:cs="Arial"/>
      <w:b/>
      <w:bCs/>
      <w:sz w:val="20"/>
    </w:rPr>
  </w:style>
  <w:style w:type="paragraph" w:styleId="BodyTextIndent">
    <w:name w:val="Body Text Indent"/>
    <w:basedOn w:val="Normal"/>
    <w:link w:val="BodyTextIndentCh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DefaultParagraphFont"/>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DefaultParagraphFont"/>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DefaultParagraphFont"/>
    <w:rsid w:val="00CB6B83"/>
  </w:style>
  <w:style w:type="character" w:styleId="Strong">
    <w:name w:val="Strong"/>
    <w:uiPriority w:val="22"/>
    <w:qFormat/>
    <w:rsid w:val="00CB6B83"/>
    <w:rPr>
      <w:b/>
      <w:bCs/>
    </w:rPr>
  </w:style>
  <w:style w:type="paragraph" w:styleId="ListParagraph">
    <w:name w:val="List Paragraph"/>
    <w:basedOn w:val="Normal"/>
    <w:link w:val="ListParagraphChar"/>
    <w:uiPriority w:val="34"/>
    <w:qFormat/>
    <w:rsid w:val="004F0E45"/>
    <w:pPr>
      <w:ind w:left="720"/>
    </w:pPr>
  </w:style>
  <w:style w:type="character" w:customStyle="1" w:styleId="yshortcuts">
    <w:name w:val="yshortcuts"/>
    <w:basedOn w:val="DefaultParagraphFont"/>
    <w:rsid w:val="00ED4480"/>
  </w:style>
  <w:style w:type="character" w:styleId="Hyperlink">
    <w:name w:val="Hyperlink"/>
    <w:uiPriority w:val="99"/>
    <w:unhideWhenUsed/>
    <w:rsid w:val="009967BF"/>
    <w:rPr>
      <w:color w:val="0000FF"/>
      <w:u w:val="single"/>
    </w:rPr>
  </w:style>
  <w:style w:type="character" w:styleId="Emphasis">
    <w:name w:val="Emphasis"/>
    <w:uiPriority w:val="20"/>
    <w:qFormat/>
    <w:rsid w:val="00A269E6"/>
    <w:rPr>
      <w:i/>
      <w:iCs/>
    </w:rPr>
  </w:style>
  <w:style w:type="table" w:styleId="TableGrid">
    <w:name w:val="Table Grid"/>
    <w:basedOn w:val="Table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EndnoteText">
    <w:name w:val="endnote text"/>
    <w:basedOn w:val="Normal"/>
    <w:link w:val="EndnoteTextChar"/>
    <w:uiPriority w:val="99"/>
    <w:semiHidden/>
    <w:unhideWhenUsed/>
    <w:rsid w:val="00511A5C"/>
    <w:rPr>
      <w:sz w:val="20"/>
      <w:szCs w:val="20"/>
    </w:rPr>
  </w:style>
  <w:style w:type="character" w:customStyle="1" w:styleId="EndnoteTextChar">
    <w:name w:val="Endnote Text Char"/>
    <w:link w:val="EndnoteText"/>
    <w:uiPriority w:val="99"/>
    <w:semiHidden/>
    <w:rsid w:val="00511A5C"/>
    <w:rPr>
      <w:rFonts w:ascii="Times New Roman" w:eastAsia="Times New Roman" w:hAnsi="Times New Roman"/>
      <w:lang w:val="es-ES" w:eastAsia="es-ES"/>
    </w:rPr>
  </w:style>
  <w:style w:type="character" w:styleId="EndnoteReference">
    <w:name w:val="endnote reference"/>
    <w:uiPriority w:val="99"/>
    <w:semiHidden/>
    <w:unhideWhenUsed/>
    <w:rsid w:val="00511A5C"/>
    <w:rPr>
      <w:vertAlign w:val="superscript"/>
    </w:rPr>
  </w:style>
  <w:style w:type="character" w:customStyle="1" w:styleId="BodyTextIndentChar">
    <w:name w:val="Body Text Indent Char"/>
    <w:link w:val="BodyTextIndent"/>
    <w:rsid w:val="003135E6"/>
    <w:rPr>
      <w:rFonts w:ascii="Arial" w:eastAsia="Times New Roman" w:hAnsi="Arial" w:cs="Arial"/>
      <w:szCs w:val="24"/>
      <w:lang w:val="es-ES" w:eastAsia="es-ES"/>
    </w:rPr>
  </w:style>
  <w:style w:type="character" w:customStyle="1" w:styleId="FootnoteTextChar">
    <w:name w:val="Footnote Text Char"/>
    <w:link w:val="FootnoteText"/>
    <w:uiPriority w:val="99"/>
    <w:rsid w:val="0068798C"/>
    <w:rPr>
      <w:rFonts w:ascii="Arial" w:eastAsia="Times New Roman" w:hAnsi="Arial"/>
      <w:lang w:val="es-ES" w:eastAsia="es-ES"/>
    </w:rPr>
  </w:style>
  <w:style w:type="paragraph" w:styleId="ListContinue5">
    <w:name w:val="List Continue 5"/>
    <w:basedOn w:val="Normal"/>
    <w:uiPriority w:val="99"/>
    <w:unhideWhenUsed/>
    <w:rsid w:val="00FF3291"/>
    <w:pPr>
      <w:spacing w:after="120"/>
      <w:ind w:left="1415"/>
      <w:contextualSpacing/>
    </w:pPr>
    <w:rPr>
      <w:lang w:val="es-PE" w:eastAsia="en-US"/>
    </w:rPr>
  </w:style>
  <w:style w:type="paragraph" w:styleId="CommentText">
    <w:name w:val="annotation text"/>
    <w:basedOn w:val="Normal"/>
    <w:link w:val="CommentTextChar"/>
    <w:uiPriority w:val="99"/>
    <w:unhideWhenUsed/>
    <w:rsid w:val="009011EA"/>
    <w:rPr>
      <w:sz w:val="20"/>
      <w:szCs w:val="20"/>
    </w:rPr>
  </w:style>
  <w:style w:type="character" w:customStyle="1" w:styleId="CommentTextChar">
    <w:name w:val="Comment Text Char"/>
    <w:basedOn w:val="DefaultParagraphFont"/>
    <w:link w:val="CommentText"/>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ListParagraphChar">
    <w:name w:val="List Paragraph Char"/>
    <w:link w:val="ListParagraph"/>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gif"/><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hyperlink" Target="https://www.osinergmin.gob.pe/seccion/centro_documental/gart/precios_referencia_banda_precios/PreciosReferencia/Informe-Tecnico-479-2021-GRT.pdf" TargetMode="External"/><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B3524E-3801-46AC-A936-1E210F6E33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15</Pages>
  <Words>3455</Words>
  <Characters>17898</Characters>
  <Application>Microsoft Office Word</Application>
  <DocSecurity>0</DocSecurity>
  <Lines>350</Lines>
  <Paragraphs>109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Consultor Asociado</cp:lastModifiedBy>
  <cp:revision>10</cp:revision>
  <cp:lastPrinted>2022-06-01T14:55:00Z</cp:lastPrinted>
  <dcterms:created xsi:type="dcterms:W3CDTF">2022-11-15T15:33:00Z</dcterms:created>
  <dcterms:modified xsi:type="dcterms:W3CDTF">2022-11-15T15:54:00Z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