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13F4CEE"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20</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9B53A38"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974654">
        <w:rPr>
          <w:rFonts w:asciiTheme="minorHAnsi" w:hAnsiTheme="minorHAnsi" w:cstheme="minorHAnsi"/>
          <w:b/>
          <w:bCs/>
          <w:sz w:val="28"/>
          <w:szCs w:val="28"/>
        </w:rPr>
        <w:t>13</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F87990">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6F8CDBA3" w:rsidR="00073C34" w:rsidRPr="002B3648" w:rsidRDefault="002406A7"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CE0F14">
        <w:rPr>
          <w:noProof/>
        </w:rPr>
        <w:drawing>
          <wp:inline distT="0" distB="0" distL="0" distR="0" wp14:anchorId="09D2F5C1" wp14:editId="49AC26F7">
            <wp:extent cx="5372100" cy="3303917"/>
            <wp:effectExtent l="0" t="0" r="0" b="0"/>
            <wp:docPr id="1612127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5285" cy="3305876"/>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0F569A4D"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2406A7">
        <w:rPr>
          <w:rFonts w:asciiTheme="minorHAnsi" w:hAnsiTheme="minorHAnsi" w:cstheme="minorHAnsi"/>
          <w:sz w:val="22"/>
          <w:szCs w:val="22"/>
        </w:rPr>
        <w:t>9</w:t>
      </w:r>
      <w:r w:rsidR="00073C34">
        <w:rPr>
          <w:rFonts w:asciiTheme="minorHAnsi" w:hAnsiTheme="minorHAnsi" w:cstheme="minorHAnsi"/>
          <w:sz w:val="22"/>
          <w:szCs w:val="22"/>
        </w:rPr>
        <w:t>,</w:t>
      </w:r>
      <w:r w:rsidR="002406A7">
        <w:rPr>
          <w:rFonts w:asciiTheme="minorHAnsi" w:hAnsiTheme="minorHAnsi" w:cstheme="minorHAnsi"/>
          <w:sz w:val="22"/>
          <w:szCs w:val="22"/>
        </w:rPr>
        <w:t>0</w:t>
      </w:r>
      <w:r w:rsidR="00DE7674">
        <w:rPr>
          <w:rFonts w:asciiTheme="minorHAnsi" w:hAnsiTheme="minorHAnsi" w:cstheme="minorHAnsi"/>
          <w:sz w:val="22"/>
          <w:szCs w:val="22"/>
        </w:rPr>
        <w:t>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DE7674">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w:t>
      </w:r>
      <w:r w:rsidR="00DE7674">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DE7674">
        <w:rPr>
          <w:rFonts w:asciiTheme="minorHAnsi" w:hAnsiTheme="minorHAnsi" w:cstheme="minorHAnsi"/>
          <w:sz w:val="22"/>
          <w:szCs w:val="22"/>
        </w:rPr>
        <w:t>0</w:t>
      </w:r>
      <w:r w:rsidR="00941CD2">
        <w:rPr>
          <w:rFonts w:asciiTheme="minorHAnsi" w:hAnsiTheme="minorHAnsi" w:cstheme="minorHAnsi"/>
          <w:sz w:val="22"/>
          <w:szCs w:val="22"/>
        </w:rPr>
        <w:t>,</w:t>
      </w:r>
      <w:r w:rsidR="00246F93">
        <w:rPr>
          <w:rFonts w:asciiTheme="minorHAnsi" w:hAnsiTheme="minorHAnsi" w:cstheme="minorHAnsi"/>
          <w:sz w:val="22"/>
          <w:szCs w:val="22"/>
        </w:rPr>
        <w:t>30</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4135D9CA" w14:textId="37143463"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DE7674">
        <w:rPr>
          <w:rFonts w:asciiTheme="minorHAnsi" w:hAnsiTheme="minorHAnsi" w:cstheme="minorHAnsi"/>
          <w:bCs/>
          <w:sz w:val="22"/>
          <w:szCs w:val="22"/>
        </w:rPr>
        <w:t>2</w:t>
      </w:r>
      <w:r w:rsidR="00246F93">
        <w:rPr>
          <w:rFonts w:asciiTheme="minorHAnsi" w:hAnsiTheme="minorHAnsi" w:cstheme="minorHAnsi"/>
          <w:bCs/>
          <w:sz w:val="22"/>
          <w:szCs w:val="22"/>
        </w:rPr>
        <w:t>9</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82E58">
        <w:rPr>
          <w:rFonts w:asciiTheme="minorHAnsi" w:hAnsiTheme="minorHAnsi" w:cstheme="minorHAnsi"/>
          <w:bCs/>
          <w:sz w:val="22"/>
          <w:szCs w:val="22"/>
        </w:rPr>
        <w:t>4</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1</w:t>
      </w:r>
      <w:r w:rsidR="00DE7674">
        <w:rPr>
          <w:rFonts w:asciiTheme="minorHAnsi" w:hAnsiTheme="minorHAnsi" w:cstheme="minorHAnsi"/>
          <w:bCs/>
          <w:sz w:val="22"/>
          <w:szCs w:val="22"/>
        </w:rPr>
        <w:t>0</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DE7674">
        <w:rPr>
          <w:rFonts w:asciiTheme="minorHAnsi" w:hAnsiTheme="minorHAnsi" w:cstheme="minorHAnsi"/>
          <w:bCs/>
          <w:sz w:val="22"/>
          <w:szCs w:val="22"/>
        </w:rPr>
        <w:t>5</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37B73E99" w14:textId="77777777" w:rsidR="00246F93" w:rsidRPr="00E05216" w:rsidRDefault="00246F93" w:rsidP="00246F93">
      <w:pPr>
        <w:pStyle w:val="Prrafodelista"/>
        <w:numPr>
          <w:ilvl w:val="0"/>
          <w:numId w:val="30"/>
        </w:numPr>
        <w:ind w:left="426"/>
        <w:contextualSpacing/>
        <w:jc w:val="both"/>
        <w:rPr>
          <w:rFonts w:asciiTheme="minorHAnsi" w:hAnsiTheme="minorHAnsi" w:cstheme="minorHAnsi"/>
          <w:sz w:val="22"/>
          <w:szCs w:val="22"/>
        </w:rPr>
      </w:pPr>
      <w:r w:rsidRPr="00E05216">
        <w:rPr>
          <w:rFonts w:asciiTheme="minorHAnsi" w:hAnsiTheme="minorHAnsi" w:cstheme="minorHAnsi"/>
          <w:b/>
          <w:sz w:val="22"/>
          <w:szCs w:val="22"/>
        </w:rPr>
        <w:t>La disminución de las existencias de crudo; así como el aumento de los inventarios de propano, gasolinas y destilados medios, al 03 de mayo del 2024</w:t>
      </w:r>
    </w:p>
    <w:p w14:paraId="0BE9391E" w14:textId="77777777" w:rsidR="00246F93" w:rsidRPr="00E05216" w:rsidRDefault="00246F93" w:rsidP="00246F93">
      <w:pPr>
        <w:jc w:val="both"/>
        <w:rPr>
          <w:rFonts w:asciiTheme="minorHAnsi" w:hAnsiTheme="minorHAnsi" w:cstheme="minorHAnsi"/>
          <w:sz w:val="22"/>
          <w:szCs w:val="22"/>
        </w:rPr>
      </w:pPr>
    </w:p>
    <w:p w14:paraId="0D40FCF5" w14:textId="77777777" w:rsidR="00246F93" w:rsidRPr="00E05216"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Los inventarios de petróleo de Estados Unidos cayeron en 1,4 millones de barriles, ubicándose en -3% por debajo de la media de los últimos 5 años en esta época del año, lo que representa 459,5 millones de barriles.</w:t>
      </w:r>
    </w:p>
    <w:p w14:paraId="1134FA4E" w14:textId="77777777" w:rsidR="00246F93" w:rsidRPr="00E05216" w:rsidRDefault="00246F93" w:rsidP="00246F93">
      <w:pPr>
        <w:pStyle w:val="Prrafodelista"/>
        <w:ind w:left="426"/>
        <w:jc w:val="both"/>
        <w:rPr>
          <w:rFonts w:asciiTheme="minorHAnsi" w:hAnsiTheme="minorHAnsi" w:cstheme="minorHAnsi"/>
          <w:sz w:val="22"/>
          <w:szCs w:val="22"/>
        </w:rPr>
      </w:pPr>
    </w:p>
    <w:p w14:paraId="387337C3" w14:textId="77777777" w:rsidR="00246F93" w:rsidRPr="00E05216"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Por su parte, las existencias de gasolina se incrementaron en 0,9 millones de barriles, reportando un total de 228,0 millones de barriles; mientras los inventarios de destilados, que incluyen al diésel y al combustible para calefacción, subieron 0,5 millones de barriles, con un total de 116,4 millones de barriles. Finalmente, las existencias de propano aumentaron 2.17 millones de barriles, ubicándose en los 59,092 millones de barriles.</w:t>
      </w:r>
    </w:p>
    <w:p w14:paraId="372EFADF" w14:textId="77777777" w:rsidR="00246F93" w:rsidRPr="00E05216" w:rsidRDefault="00246F93" w:rsidP="00246F93">
      <w:pPr>
        <w:pStyle w:val="Prrafodelista"/>
        <w:ind w:left="426"/>
        <w:jc w:val="both"/>
        <w:rPr>
          <w:rFonts w:asciiTheme="minorHAnsi" w:hAnsiTheme="minorHAnsi" w:cstheme="minorHAnsi"/>
          <w:sz w:val="22"/>
          <w:szCs w:val="22"/>
        </w:rPr>
      </w:pPr>
    </w:p>
    <w:p w14:paraId="205B1E59" w14:textId="77777777" w:rsidR="00246F93"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El precio del petróleo se vio favorecido por la caída de inventarios y también por la decisión de Arabia Saudita de subir en junio 2024 los precios oficiales de venta de su crudo a Asia, el noroeste de Europa y el Mediterráneo; lo que daría lugar a una fuerte demanda a raíz de la construcción de inventarios para este verano boreal.</w:t>
      </w:r>
    </w:p>
    <w:p w14:paraId="62A7EDEF" w14:textId="3EFDAD87" w:rsidR="00246F93" w:rsidRDefault="00246F93" w:rsidP="00246F93">
      <w:pPr>
        <w:pStyle w:val="Prrafodelista"/>
        <w:ind w:left="426"/>
        <w:jc w:val="both"/>
        <w:rPr>
          <w:rFonts w:asciiTheme="minorHAnsi" w:hAnsiTheme="minorHAnsi" w:cstheme="minorHAnsi"/>
          <w:sz w:val="22"/>
          <w:szCs w:val="22"/>
        </w:rPr>
      </w:pPr>
    </w:p>
    <w:p w14:paraId="24F6DF0C" w14:textId="2DD7A262" w:rsidR="00246F93" w:rsidRDefault="00246F93" w:rsidP="00246F93">
      <w:pPr>
        <w:pStyle w:val="Prrafodelista"/>
        <w:ind w:left="426"/>
        <w:jc w:val="both"/>
        <w:rPr>
          <w:rFonts w:asciiTheme="minorHAnsi" w:hAnsiTheme="minorHAnsi" w:cstheme="minorHAnsi"/>
          <w:sz w:val="22"/>
          <w:szCs w:val="22"/>
        </w:rPr>
      </w:pPr>
    </w:p>
    <w:p w14:paraId="447D46F8" w14:textId="151868DF" w:rsidR="00246F93" w:rsidRDefault="00246F93" w:rsidP="00246F93">
      <w:pPr>
        <w:pStyle w:val="Prrafodelista"/>
        <w:ind w:left="426"/>
        <w:jc w:val="both"/>
        <w:rPr>
          <w:rFonts w:asciiTheme="minorHAnsi" w:hAnsiTheme="minorHAnsi" w:cstheme="minorHAnsi"/>
          <w:sz w:val="22"/>
          <w:szCs w:val="22"/>
        </w:rPr>
      </w:pPr>
    </w:p>
    <w:p w14:paraId="647BDF25" w14:textId="77777777" w:rsidR="00246F93" w:rsidRDefault="00246F93" w:rsidP="00246F93">
      <w:pPr>
        <w:pStyle w:val="Prrafodelista"/>
        <w:ind w:left="426"/>
        <w:jc w:val="both"/>
        <w:rPr>
          <w:rFonts w:asciiTheme="minorHAnsi" w:hAnsiTheme="minorHAnsi" w:cstheme="minorHAnsi"/>
          <w:sz w:val="22"/>
          <w:szCs w:val="22"/>
        </w:rPr>
      </w:pPr>
    </w:p>
    <w:p w14:paraId="7FF7CD92" w14:textId="77777777" w:rsidR="00246F93" w:rsidRPr="00E05216" w:rsidRDefault="00246F93" w:rsidP="00246F93">
      <w:pPr>
        <w:pStyle w:val="Prrafodelista"/>
        <w:numPr>
          <w:ilvl w:val="0"/>
          <w:numId w:val="13"/>
        </w:numPr>
        <w:ind w:left="426"/>
        <w:contextualSpacing/>
        <w:jc w:val="both"/>
        <w:rPr>
          <w:rFonts w:asciiTheme="minorHAnsi" w:hAnsiTheme="minorHAnsi" w:cstheme="minorHAnsi"/>
          <w:b/>
          <w:bCs/>
          <w:sz w:val="22"/>
          <w:szCs w:val="22"/>
        </w:rPr>
      </w:pPr>
      <w:r w:rsidRPr="00E05216">
        <w:rPr>
          <w:rFonts w:asciiTheme="minorHAnsi" w:hAnsiTheme="minorHAnsi" w:cstheme="minorHAnsi"/>
          <w:b/>
          <w:bCs/>
          <w:sz w:val="22"/>
          <w:szCs w:val="22"/>
        </w:rPr>
        <w:lastRenderedPageBreak/>
        <w:t>Las tensiones geopolíticas por los ataques a buques comerciales en el Mar Rojo y la ofensiva de Israel contra Hamás</w:t>
      </w:r>
    </w:p>
    <w:p w14:paraId="6096578B" w14:textId="77777777" w:rsidR="00246F93" w:rsidRPr="00E05216" w:rsidRDefault="00246F93" w:rsidP="00246F93">
      <w:pPr>
        <w:jc w:val="both"/>
        <w:rPr>
          <w:rFonts w:asciiTheme="minorHAnsi" w:hAnsiTheme="minorHAnsi" w:cstheme="minorHAnsi"/>
          <w:b/>
          <w:bCs/>
          <w:sz w:val="22"/>
          <w:szCs w:val="22"/>
        </w:rPr>
      </w:pPr>
    </w:p>
    <w:p w14:paraId="02A952EE"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 xml:space="preserve">Las noticias manifiestan que Israel quiere seguir adelante y ampliar su operación a </w:t>
      </w:r>
      <w:proofErr w:type="spellStart"/>
      <w:r w:rsidRPr="00E05216">
        <w:rPr>
          <w:rFonts w:asciiTheme="minorHAnsi" w:hAnsiTheme="minorHAnsi" w:cstheme="minorHAnsi"/>
          <w:sz w:val="22"/>
          <w:szCs w:val="22"/>
        </w:rPr>
        <w:t>Ráfah</w:t>
      </w:r>
      <w:proofErr w:type="spellEnd"/>
      <w:r w:rsidRPr="00E05216">
        <w:rPr>
          <w:rFonts w:asciiTheme="minorHAnsi" w:hAnsiTheme="minorHAnsi" w:cstheme="minorHAnsi"/>
          <w:sz w:val="22"/>
          <w:szCs w:val="22"/>
        </w:rPr>
        <w:t>, en el sur de la Franja de Gaza. Este suceso representa una amenaza para alcanzar el posible acuerdo de alto el fuego; y podría aumentar el riesgo de una guerra de mayor alcance, afectando el suministro de petróleo y combustibles. Israel se refirió a </w:t>
      </w:r>
      <w:proofErr w:type="spellStart"/>
      <w:r w:rsidRPr="00E05216">
        <w:rPr>
          <w:rFonts w:asciiTheme="minorHAnsi" w:hAnsiTheme="minorHAnsi" w:cstheme="minorHAnsi"/>
          <w:sz w:val="22"/>
          <w:szCs w:val="22"/>
        </w:rPr>
        <w:t>Ráfah</w:t>
      </w:r>
      <w:proofErr w:type="spellEnd"/>
      <w:r w:rsidRPr="00E05216">
        <w:rPr>
          <w:rFonts w:asciiTheme="minorHAnsi" w:hAnsiTheme="minorHAnsi" w:cstheme="minorHAnsi"/>
          <w:sz w:val="22"/>
          <w:szCs w:val="22"/>
        </w:rPr>
        <w:t xml:space="preserve"> como el último bastión importante de Hamás después de siete meses de guerra, y ha señalado que la invasión es necesaria para derrotar al grupo islamista. En este contexto, el ejército israelí pidió a los civiles palestinos que evacuaran </w:t>
      </w:r>
      <w:proofErr w:type="spellStart"/>
      <w:r w:rsidRPr="00E05216">
        <w:rPr>
          <w:rFonts w:asciiTheme="minorHAnsi" w:hAnsiTheme="minorHAnsi" w:cstheme="minorHAnsi"/>
          <w:sz w:val="22"/>
          <w:szCs w:val="22"/>
        </w:rPr>
        <w:t>Ráfah</w:t>
      </w:r>
      <w:proofErr w:type="spellEnd"/>
      <w:r w:rsidRPr="00E05216">
        <w:rPr>
          <w:rFonts w:asciiTheme="minorHAnsi" w:hAnsiTheme="minorHAnsi" w:cstheme="minorHAnsi"/>
          <w:sz w:val="22"/>
          <w:szCs w:val="22"/>
        </w:rPr>
        <w:t xml:space="preserve"> en el marco de una operación de alcance limitado. </w:t>
      </w:r>
    </w:p>
    <w:p w14:paraId="34DF295C" w14:textId="77777777" w:rsidR="00246F93" w:rsidRPr="00E05216" w:rsidRDefault="00246F93" w:rsidP="00246F93">
      <w:pPr>
        <w:ind w:left="426"/>
        <w:jc w:val="both"/>
        <w:rPr>
          <w:rFonts w:asciiTheme="minorHAnsi" w:hAnsiTheme="minorHAnsi" w:cstheme="minorHAnsi"/>
          <w:sz w:val="22"/>
          <w:szCs w:val="22"/>
        </w:rPr>
      </w:pPr>
    </w:p>
    <w:p w14:paraId="70429167"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 xml:space="preserve">Los </w:t>
      </w:r>
      <w:proofErr w:type="spellStart"/>
      <w:r w:rsidRPr="00E05216">
        <w:rPr>
          <w:rFonts w:asciiTheme="minorHAnsi" w:hAnsiTheme="minorHAnsi" w:cstheme="minorHAnsi"/>
          <w:sz w:val="22"/>
          <w:szCs w:val="22"/>
        </w:rPr>
        <w:t>hutíes</w:t>
      </w:r>
      <w:proofErr w:type="spellEnd"/>
      <w:r w:rsidRPr="00E05216">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w:t>
      </w:r>
    </w:p>
    <w:p w14:paraId="44D10B3D" w14:textId="77777777" w:rsidR="00246F93" w:rsidRPr="00E05216" w:rsidRDefault="00246F93" w:rsidP="00246F93">
      <w:pPr>
        <w:ind w:left="426"/>
        <w:jc w:val="both"/>
        <w:rPr>
          <w:rFonts w:asciiTheme="minorHAnsi" w:hAnsiTheme="minorHAnsi" w:cstheme="minorHAnsi"/>
          <w:b/>
          <w:bCs/>
          <w:sz w:val="22"/>
          <w:szCs w:val="22"/>
        </w:rPr>
      </w:pPr>
    </w:p>
    <w:p w14:paraId="22A8EF84"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Según los análisis de Reuters, la abundante oferta de algunos de los principales tipos de crudo está limitando el impacto de los conflictos en Oriente Medio sobre los precios futuros del petróleo. Fuentes de Reuters señalan que la reacción del mercado es un ejemplo de que sólo es razonable esperar un alza prolongada del precio del petróleo si el estrecho de Ormuz fuese interrumpido o Arabia Saudita se viera directamente involucrada en el conflicto.</w:t>
      </w:r>
    </w:p>
    <w:p w14:paraId="45F951F3" w14:textId="77777777" w:rsidR="00246F93" w:rsidRPr="00E05216" w:rsidRDefault="00246F93" w:rsidP="00246F93">
      <w:pPr>
        <w:jc w:val="both"/>
        <w:rPr>
          <w:rFonts w:asciiTheme="minorHAnsi" w:hAnsiTheme="minorHAnsi" w:cstheme="minorHAnsi"/>
          <w:sz w:val="22"/>
          <w:szCs w:val="22"/>
        </w:rPr>
      </w:pPr>
    </w:p>
    <w:p w14:paraId="08C9BD8F" w14:textId="77777777" w:rsidR="00246F93" w:rsidRPr="00E05216" w:rsidRDefault="00246F93" w:rsidP="00246F93">
      <w:pPr>
        <w:pStyle w:val="Prrafodelista"/>
        <w:numPr>
          <w:ilvl w:val="0"/>
          <w:numId w:val="13"/>
        </w:numPr>
        <w:ind w:left="426"/>
        <w:contextualSpacing/>
        <w:jc w:val="both"/>
        <w:rPr>
          <w:rFonts w:asciiTheme="minorHAnsi" w:hAnsiTheme="minorHAnsi" w:cstheme="minorHAnsi"/>
          <w:b/>
          <w:bCs/>
          <w:sz w:val="22"/>
          <w:szCs w:val="22"/>
        </w:rPr>
      </w:pPr>
      <w:r w:rsidRPr="00E05216">
        <w:rPr>
          <w:rFonts w:asciiTheme="minorHAnsi" w:hAnsiTheme="minorHAnsi" w:cstheme="minorHAnsi"/>
          <w:b/>
          <w:bCs/>
          <w:sz w:val="22"/>
          <w:szCs w:val="22"/>
        </w:rPr>
        <w:t>La decisión de la Reserva Federal de Estados Unidos de mantener las tasas de interés</w:t>
      </w:r>
    </w:p>
    <w:p w14:paraId="3E79C81A" w14:textId="77777777" w:rsidR="00246F93" w:rsidRPr="00E05216" w:rsidRDefault="00246F93" w:rsidP="00246F93">
      <w:pPr>
        <w:pStyle w:val="Prrafodelista"/>
        <w:ind w:left="426"/>
        <w:jc w:val="both"/>
        <w:rPr>
          <w:rFonts w:asciiTheme="minorHAnsi" w:hAnsiTheme="minorHAnsi" w:cstheme="minorHAnsi"/>
          <w:b/>
          <w:bCs/>
          <w:sz w:val="22"/>
          <w:szCs w:val="22"/>
        </w:rPr>
      </w:pPr>
    </w:p>
    <w:p w14:paraId="60FE6D47" w14:textId="77777777" w:rsidR="00246F93" w:rsidRPr="00E05216"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La Reserva Federal señaló que las elevadas cifras de inflación podrían retrasar los recortes de los tipos de interés, lo cual a su vez afectaría el crecimiento económico, reduciendo la demanda de crudo y productos de petróleo. Los agentes de bolsa temen que los tipos de interés altos a largo plazo limiten el crecimiento económico en Estados Unidos y en otras economías del mundo.</w:t>
      </w:r>
    </w:p>
    <w:p w14:paraId="1BB322D9" w14:textId="77777777" w:rsidR="00246F93" w:rsidRPr="00E05216" w:rsidRDefault="00246F93" w:rsidP="00246F93">
      <w:pPr>
        <w:ind w:left="426"/>
        <w:jc w:val="both"/>
        <w:rPr>
          <w:rFonts w:asciiTheme="minorHAnsi" w:hAnsiTheme="minorHAnsi" w:cstheme="minorHAnsi"/>
          <w:sz w:val="22"/>
          <w:szCs w:val="22"/>
        </w:rPr>
      </w:pPr>
    </w:p>
    <w:p w14:paraId="424CA172"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Durante la primera semana del periodo de evaluación, las compañías energéticas estadounidenses redujeron el número de plataformas de petróleo y gas natural operativas por segunda semana consecutiva, al nivel más bajo desde enero del año 2022.</w:t>
      </w:r>
    </w:p>
    <w:p w14:paraId="10DA5840" w14:textId="77777777" w:rsidR="00246F93" w:rsidRPr="00E05216" w:rsidRDefault="00246F93" w:rsidP="00246F93">
      <w:pPr>
        <w:pStyle w:val="Prrafodelista"/>
        <w:ind w:left="426"/>
        <w:jc w:val="both"/>
        <w:rPr>
          <w:rFonts w:asciiTheme="minorHAnsi" w:hAnsiTheme="minorHAnsi" w:cstheme="minorHAnsi"/>
          <w:sz w:val="22"/>
          <w:szCs w:val="22"/>
        </w:rPr>
      </w:pPr>
    </w:p>
    <w:p w14:paraId="23784DD1" w14:textId="77777777" w:rsidR="00246F93" w:rsidRPr="00E05216" w:rsidRDefault="00246F93" w:rsidP="00246F93">
      <w:pPr>
        <w:pStyle w:val="Prrafodelista"/>
        <w:numPr>
          <w:ilvl w:val="0"/>
          <w:numId w:val="13"/>
        </w:numPr>
        <w:ind w:left="426"/>
        <w:contextualSpacing/>
        <w:jc w:val="both"/>
        <w:rPr>
          <w:rFonts w:asciiTheme="minorHAnsi" w:hAnsiTheme="minorHAnsi" w:cstheme="minorHAnsi"/>
          <w:b/>
          <w:sz w:val="22"/>
          <w:szCs w:val="22"/>
        </w:rPr>
      </w:pPr>
      <w:r w:rsidRPr="00E05216">
        <w:rPr>
          <w:rFonts w:asciiTheme="minorHAnsi" w:hAnsiTheme="minorHAnsi" w:cstheme="minorHAnsi"/>
          <w:b/>
          <w:bCs/>
          <w:sz w:val="22"/>
          <w:szCs w:val="22"/>
        </w:rPr>
        <w:t>La necesidad de una política monetaria más restrictiva en EE.UU. a raíz de la persistente inflación y las</w:t>
      </w:r>
      <w:r w:rsidRPr="00E05216">
        <w:rPr>
          <w:rFonts w:asciiTheme="minorHAnsi" w:hAnsiTheme="minorHAnsi" w:cstheme="minorHAnsi"/>
          <w:b/>
          <w:sz w:val="22"/>
          <w:szCs w:val="22"/>
        </w:rPr>
        <w:t xml:space="preserve"> señales de contracción de la demanda de combustibles en dicho país</w:t>
      </w:r>
    </w:p>
    <w:p w14:paraId="594E181A" w14:textId="77777777" w:rsidR="00246F93" w:rsidRPr="00E05216" w:rsidRDefault="00246F93" w:rsidP="00246F93">
      <w:pPr>
        <w:pStyle w:val="Prrafodelista"/>
        <w:ind w:left="426"/>
        <w:jc w:val="both"/>
        <w:rPr>
          <w:rFonts w:asciiTheme="minorHAnsi" w:hAnsiTheme="minorHAnsi" w:cstheme="minorHAnsi"/>
          <w:b/>
          <w:sz w:val="22"/>
          <w:szCs w:val="22"/>
        </w:rPr>
      </w:pPr>
    </w:p>
    <w:p w14:paraId="23FF7ABC"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Las minutas de la Reserva Federal de Estados Unidos mostraron la preocupación de los funcionarios por la posibilidad de que los avances relacionados con la inflación se hayan estancado y sea necesario un periodo más largo de política monetaria restrictiva para controlar la inflación en el país.</w:t>
      </w:r>
    </w:p>
    <w:p w14:paraId="1B14373F" w14:textId="77777777" w:rsidR="00246F93" w:rsidRPr="00E05216" w:rsidRDefault="00246F93" w:rsidP="00246F93">
      <w:pPr>
        <w:ind w:left="426"/>
        <w:jc w:val="both"/>
        <w:rPr>
          <w:rFonts w:asciiTheme="minorHAnsi" w:hAnsiTheme="minorHAnsi" w:cstheme="minorHAnsi"/>
          <w:sz w:val="22"/>
          <w:szCs w:val="22"/>
        </w:rPr>
      </w:pPr>
    </w:p>
    <w:p w14:paraId="71982128"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t>Los inversores, esperaban un recorte de las tasas en junio, pero ahora estiman que es más probable que el ciclo de relajación comience en setiembre, después de una tercera lectura consecutiva de la inflación al consumidor más alta de lo previsto.</w:t>
      </w:r>
    </w:p>
    <w:p w14:paraId="743D015A" w14:textId="77777777" w:rsidR="00246F93" w:rsidRPr="00E05216" w:rsidRDefault="00246F93" w:rsidP="00246F93">
      <w:pPr>
        <w:jc w:val="both"/>
        <w:rPr>
          <w:rFonts w:asciiTheme="minorHAnsi" w:hAnsiTheme="minorHAnsi" w:cstheme="minorHAnsi"/>
          <w:b/>
          <w:sz w:val="22"/>
          <w:szCs w:val="22"/>
        </w:rPr>
      </w:pPr>
    </w:p>
    <w:p w14:paraId="6369C36B" w14:textId="77777777" w:rsidR="00246F93" w:rsidRPr="00E05216" w:rsidRDefault="00246F93" w:rsidP="00246F93">
      <w:pPr>
        <w:ind w:left="426"/>
        <w:jc w:val="both"/>
        <w:rPr>
          <w:rFonts w:asciiTheme="minorHAnsi" w:hAnsiTheme="minorHAnsi" w:cstheme="minorHAnsi"/>
          <w:sz w:val="22"/>
          <w:szCs w:val="22"/>
        </w:rPr>
      </w:pPr>
      <w:r w:rsidRPr="00E05216">
        <w:rPr>
          <w:rFonts w:asciiTheme="minorHAnsi" w:hAnsiTheme="minorHAnsi" w:cstheme="minorHAnsi"/>
          <w:sz w:val="22"/>
          <w:szCs w:val="22"/>
        </w:rPr>
        <w:lastRenderedPageBreak/>
        <w:t>La preocupación por la demanda de combustibles en Estados Unidos surge a raíz del enfriamiento de la actividad empresarial en abril 2024 y el aumento de los índices de inflación a un nivel superior a lo esperado.</w:t>
      </w:r>
    </w:p>
    <w:p w14:paraId="6B7AC519" w14:textId="77777777" w:rsidR="00246F93" w:rsidRPr="00E05216" w:rsidRDefault="00246F93" w:rsidP="00246F93">
      <w:pPr>
        <w:ind w:left="426"/>
        <w:jc w:val="both"/>
        <w:rPr>
          <w:rFonts w:asciiTheme="minorHAnsi" w:hAnsiTheme="minorHAnsi" w:cstheme="minorHAnsi"/>
          <w:sz w:val="22"/>
          <w:szCs w:val="22"/>
        </w:rPr>
      </w:pPr>
    </w:p>
    <w:p w14:paraId="5FE83921" w14:textId="63BB7BC1" w:rsidR="00246F93" w:rsidRPr="00E05216" w:rsidRDefault="00246F93" w:rsidP="00246F93">
      <w:pPr>
        <w:pStyle w:val="Prrafodelista"/>
        <w:numPr>
          <w:ilvl w:val="0"/>
          <w:numId w:val="13"/>
        </w:numPr>
        <w:ind w:left="426"/>
        <w:contextualSpacing/>
        <w:jc w:val="both"/>
        <w:rPr>
          <w:rFonts w:asciiTheme="minorHAnsi" w:hAnsiTheme="minorHAnsi" w:cstheme="minorHAnsi"/>
          <w:b/>
          <w:bCs/>
          <w:sz w:val="22"/>
          <w:szCs w:val="22"/>
        </w:rPr>
      </w:pPr>
      <w:r w:rsidRPr="00E05216">
        <w:rPr>
          <w:rFonts w:asciiTheme="minorHAnsi" w:hAnsiTheme="minorHAnsi" w:cstheme="minorHAnsi"/>
          <w:b/>
          <w:bCs/>
          <w:sz w:val="22"/>
          <w:szCs w:val="22"/>
        </w:rPr>
        <w:t>La disminución de la producción petrolera de la OPEP en unos 100</w:t>
      </w:r>
      <w:r>
        <w:rPr>
          <w:rFonts w:asciiTheme="minorHAnsi" w:hAnsiTheme="minorHAnsi" w:cstheme="minorHAnsi"/>
          <w:b/>
          <w:bCs/>
          <w:sz w:val="22"/>
          <w:szCs w:val="22"/>
        </w:rPr>
        <w:t xml:space="preserve"> mil</w:t>
      </w:r>
      <w:r w:rsidRPr="00E05216">
        <w:rPr>
          <w:rFonts w:asciiTheme="minorHAnsi" w:hAnsiTheme="minorHAnsi" w:cstheme="minorHAnsi"/>
          <w:b/>
          <w:bCs/>
          <w:sz w:val="22"/>
          <w:szCs w:val="22"/>
        </w:rPr>
        <w:t xml:space="preserve"> bpd intermensuales, en el mes de abril 2024 </w:t>
      </w:r>
    </w:p>
    <w:p w14:paraId="6AE49A4D" w14:textId="2A879147" w:rsidR="00246F93"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b/>
          <w:bCs/>
          <w:sz w:val="22"/>
          <w:szCs w:val="22"/>
        </w:rPr>
        <w:br/>
      </w:r>
      <w:r w:rsidRPr="00E05216">
        <w:rPr>
          <w:rFonts w:asciiTheme="minorHAnsi" w:hAnsiTheme="minorHAnsi" w:cstheme="minorHAnsi"/>
          <w:sz w:val="22"/>
          <w:szCs w:val="22"/>
        </w:rPr>
        <w:t>La producción de petróleo de la OPEP cayó debido a las menores exportaciones de Irán, Irak y Nigeria en un contexto de recortes voluntarios de la oferta de parte de algunos miembros de la Organización.</w:t>
      </w:r>
    </w:p>
    <w:p w14:paraId="2DDD156E" w14:textId="77777777" w:rsidR="00246F93" w:rsidRPr="00E05216" w:rsidRDefault="00246F93" w:rsidP="00246F93">
      <w:pPr>
        <w:pStyle w:val="Prrafodelista"/>
        <w:ind w:left="426"/>
        <w:jc w:val="both"/>
        <w:rPr>
          <w:rFonts w:asciiTheme="minorHAnsi" w:hAnsiTheme="minorHAnsi" w:cstheme="minorHAnsi"/>
          <w:sz w:val="22"/>
          <w:szCs w:val="22"/>
        </w:rPr>
      </w:pPr>
    </w:p>
    <w:p w14:paraId="5F006AB7" w14:textId="63BB3B85" w:rsidR="00246F93" w:rsidRPr="00E05216"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En abril 2024, la OPEP registró una producción de unos 26,49 millones de barriles de petróleo por día (bpd), unos 100</w:t>
      </w:r>
      <w:r>
        <w:rPr>
          <w:rFonts w:asciiTheme="minorHAnsi" w:hAnsiTheme="minorHAnsi" w:cstheme="minorHAnsi"/>
          <w:sz w:val="22"/>
          <w:szCs w:val="22"/>
        </w:rPr>
        <w:t xml:space="preserve"> mil</w:t>
      </w:r>
      <w:r w:rsidRPr="00E05216">
        <w:rPr>
          <w:rFonts w:asciiTheme="minorHAnsi" w:hAnsiTheme="minorHAnsi" w:cstheme="minorHAnsi"/>
          <w:sz w:val="22"/>
          <w:szCs w:val="22"/>
        </w:rPr>
        <w:t xml:space="preserve"> bpd menos que el total revisado de marzo 2024.</w:t>
      </w:r>
    </w:p>
    <w:p w14:paraId="2E0ADA4E" w14:textId="77777777" w:rsidR="00246F93" w:rsidRPr="00E05216" w:rsidRDefault="00246F93" w:rsidP="00246F93">
      <w:pPr>
        <w:pStyle w:val="Prrafodelista"/>
        <w:ind w:left="426"/>
        <w:jc w:val="both"/>
        <w:rPr>
          <w:rFonts w:asciiTheme="minorHAnsi" w:hAnsiTheme="minorHAnsi" w:cstheme="minorHAnsi"/>
          <w:sz w:val="22"/>
          <w:szCs w:val="22"/>
        </w:rPr>
      </w:pPr>
    </w:p>
    <w:p w14:paraId="7165A46C" w14:textId="77777777" w:rsidR="00246F93" w:rsidRPr="00E05216" w:rsidRDefault="00246F93" w:rsidP="00246F93">
      <w:pPr>
        <w:pStyle w:val="Prrafodelista"/>
        <w:ind w:left="426"/>
        <w:jc w:val="both"/>
        <w:rPr>
          <w:rFonts w:asciiTheme="minorHAnsi" w:hAnsiTheme="minorHAnsi" w:cstheme="minorHAnsi"/>
          <w:sz w:val="22"/>
          <w:szCs w:val="22"/>
        </w:rPr>
      </w:pPr>
      <w:r w:rsidRPr="00E05216">
        <w:rPr>
          <w:rFonts w:asciiTheme="minorHAnsi" w:hAnsiTheme="minorHAnsi" w:cstheme="minorHAnsi"/>
          <w:sz w:val="22"/>
          <w:szCs w:val="22"/>
        </w:rPr>
        <w:t>Las mayores reducciones de producción en abril correspondieron a Irán, Nigeria e Irak.</w:t>
      </w:r>
      <w:r w:rsidRPr="00E05216">
        <w:rPr>
          <w:rFonts w:asciiTheme="minorHAnsi" w:hAnsiTheme="minorHAnsi" w:cstheme="minorHAnsi"/>
          <w:sz w:val="22"/>
          <w:szCs w:val="22"/>
        </w:rPr>
        <w:br/>
        <w:t xml:space="preserve">La producción de Irán, exento de cuotas, disminuyó respecto a la cifra revisada al alza de marzo 2024. Irán registró uno de los mayores aumentos de producción de la OPEP en 2023, pese a las sanciones impuestas por Estados Unidos.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w:t>
      </w:r>
      <w:r w:rsidRPr="006C04F5">
        <w:rPr>
          <w:rFonts w:asciiTheme="minorHAnsi" w:hAnsiTheme="minorHAnsi" w:cstheme="minorHAnsi"/>
          <w:sz w:val="22"/>
          <w:szCs w:val="22"/>
        </w:rPr>
        <w:lastRenderedPageBreak/>
        <w:t>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3BDFA959">
            <wp:extent cx="5398536" cy="2311879"/>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58977" cy="2337762"/>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A48758E"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246F93">
        <w:rPr>
          <w:rFonts w:asciiTheme="minorHAnsi" w:hAnsiTheme="minorHAnsi" w:cstheme="minorHAnsi"/>
          <w:sz w:val="22"/>
          <w:szCs w:val="22"/>
        </w:rPr>
        <w:t>13</w:t>
      </w:r>
      <w:r>
        <w:rPr>
          <w:rFonts w:asciiTheme="minorHAnsi" w:hAnsiTheme="minorHAnsi" w:cstheme="minorHAnsi"/>
          <w:sz w:val="22"/>
          <w:szCs w:val="22"/>
        </w:rPr>
        <w:t xml:space="preserve"> de </w:t>
      </w:r>
      <w:r w:rsidR="00DE7674">
        <w:rPr>
          <w:rFonts w:asciiTheme="minorHAnsi" w:hAnsiTheme="minorHAnsi" w:cstheme="minorHAnsi"/>
          <w:sz w:val="22"/>
          <w:szCs w:val="22"/>
        </w:rPr>
        <w:t>mayo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246F93">
        <w:rPr>
          <w:rFonts w:asciiTheme="minorHAnsi" w:hAnsiTheme="minorHAnsi" w:cstheme="minorHAnsi"/>
          <w:sz w:val="22"/>
          <w:szCs w:val="22"/>
        </w:rPr>
        <w:t>20</w:t>
      </w:r>
      <w:r w:rsidRPr="00DE7674">
        <w:rPr>
          <w:rFonts w:asciiTheme="minorHAnsi" w:hAnsiTheme="minorHAnsi" w:cstheme="minorHAnsi"/>
          <w:sz w:val="22"/>
          <w:szCs w:val="22"/>
        </w:rPr>
        <w:t xml:space="preserve"> de </w:t>
      </w:r>
      <w:r w:rsidR="004B78EA" w:rsidRPr="00DE7674">
        <w:rPr>
          <w:rFonts w:asciiTheme="minorHAnsi" w:hAnsiTheme="minorHAnsi" w:cstheme="minorHAnsi"/>
          <w:sz w:val="22"/>
          <w:szCs w:val="22"/>
        </w:rPr>
        <w:t>mayo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3BFAED81"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246F93">
        <w:rPr>
          <w:rFonts w:asciiTheme="minorHAnsi" w:hAnsiTheme="minorHAnsi" w:cstheme="minorHAnsi"/>
          <w:sz w:val="22"/>
          <w:szCs w:val="22"/>
        </w:rPr>
        <w:t>10</w:t>
      </w:r>
      <w:r w:rsidR="00C7098F" w:rsidRPr="00A75228">
        <w:rPr>
          <w:rFonts w:asciiTheme="minorHAnsi" w:hAnsiTheme="minorHAnsi" w:cstheme="minorHAnsi"/>
          <w:sz w:val="22"/>
          <w:szCs w:val="22"/>
        </w:rPr>
        <w:t>.0</w:t>
      </w:r>
      <w:r w:rsidR="00DE7674">
        <w:rPr>
          <w:rFonts w:asciiTheme="minorHAnsi" w:hAnsiTheme="minorHAnsi" w:cstheme="minorHAnsi"/>
          <w:sz w:val="22"/>
          <w:szCs w:val="22"/>
        </w:rPr>
        <w:t>5</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w:t>
      </w:r>
      <w:r w:rsidR="00246F93">
        <w:rPr>
          <w:rFonts w:asciiTheme="minorHAnsi" w:hAnsiTheme="minorHAnsi" w:cstheme="minorHAnsi"/>
          <w:sz w:val="22"/>
          <w:szCs w:val="22"/>
        </w:rPr>
        <w:t>7</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9A567C">
        <w:rPr>
          <w:rFonts w:asciiTheme="minorHAnsi" w:hAnsiTheme="minorHAnsi" w:cstheme="minorHAnsi"/>
          <w:sz w:val="22"/>
          <w:szCs w:val="22"/>
        </w:rPr>
        <w:t>1</w:t>
      </w:r>
      <w:r w:rsidR="00246F93">
        <w:rPr>
          <w:rFonts w:asciiTheme="minorHAnsi" w:hAnsiTheme="minorHAnsi" w:cstheme="minorHAnsi"/>
          <w:sz w:val="22"/>
          <w:szCs w:val="22"/>
        </w:rPr>
        <w:t>7</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w:t>
      </w:r>
      <w:r w:rsidR="00246F93">
        <w:rPr>
          <w:rFonts w:asciiTheme="minorHAnsi" w:hAnsiTheme="minorHAnsi" w:cstheme="minorHAnsi"/>
          <w:sz w:val="22"/>
          <w:szCs w:val="22"/>
        </w:rPr>
        <w:t>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w:t>
      </w:r>
      <w:r w:rsidR="00246F93">
        <w:rPr>
          <w:rFonts w:asciiTheme="minorHAnsi" w:hAnsiTheme="minorHAnsi" w:cstheme="minorHAnsi"/>
          <w:sz w:val="22"/>
          <w:szCs w:val="22"/>
        </w:rPr>
        <w:t>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xml:space="preserve">),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246F93">
        <w:rPr>
          <w:rFonts w:asciiTheme="minorHAnsi" w:hAnsiTheme="minorHAnsi" w:cstheme="minorHAnsi"/>
          <w:sz w:val="22"/>
          <w:szCs w:val="22"/>
        </w:rPr>
        <w:t>2</w:t>
      </w:r>
      <w:r w:rsidR="00DE7674">
        <w:rPr>
          <w:rFonts w:asciiTheme="minorHAnsi" w:hAnsiTheme="minorHAnsi" w:cstheme="minorHAnsi"/>
          <w:sz w:val="22"/>
          <w:szCs w:val="22"/>
        </w:rPr>
        <w:t>3</w:t>
      </w:r>
      <w:r w:rsidR="00557C48" w:rsidRPr="00A75228">
        <w:rPr>
          <w:rFonts w:asciiTheme="minorHAnsi" w:hAnsiTheme="minorHAnsi" w:cstheme="minorHAnsi"/>
          <w:sz w:val="22"/>
          <w:szCs w:val="22"/>
        </w:rPr>
        <w:t xml:space="preserve"> S/</w:t>
      </w:r>
      <w:proofErr w:type="spellStart"/>
      <w:r w:rsidR="00557C48" w:rsidRPr="00A75228">
        <w:rPr>
          <w:rFonts w:asciiTheme="minorHAnsi" w:hAnsiTheme="minorHAnsi" w:cstheme="minorHAnsi"/>
          <w:sz w:val="22"/>
          <w:szCs w:val="22"/>
        </w:rPr>
        <w:t>Gln</w:t>
      </w:r>
      <w:proofErr w:type="spellEnd"/>
      <w:r w:rsidR="00557C48" w:rsidRPr="00A75228">
        <w:rPr>
          <w:rFonts w:asciiTheme="minorHAnsi" w:hAnsiTheme="minorHAnsi" w:cstheme="minorHAnsi"/>
          <w:sz w:val="22"/>
          <w:szCs w:val="22"/>
        </w:rPr>
        <w:t>)</w:t>
      </w:r>
      <w:r w:rsidR="00246F93">
        <w:rPr>
          <w:rFonts w:asciiTheme="minorHAnsi" w:hAnsiTheme="minorHAnsi" w:cstheme="minorHAnsi"/>
          <w:sz w:val="22"/>
          <w:szCs w:val="22"/>
        </w:rPr>
        <w:t xml:space="preserve"> y los residuales R6 </w:t>
      </w:r>
      <w:r w:rsidR="00246F93" w:rsidRPr="00A75228">
        <w:rPr>
          <w:rFonts w:asciiTheme="minorHAnsi" w:hAnsiTheme="minorHAnsi" w:cstheme="minorHAnsi"/>
          <w:sz w:val="22"/>
          <w:szCs w:val="22"/>
        </w:rPr>
        <w:t>(</w:t>
      </w:r>
      <w:r w:rsidR="00246F93">
        <w:rPr>
          <w:rFonts w:asciiTheme="minorHAnsi" w:hAnsiTheme="minorHAnsi" w:cstheme="minorHAnsi"/>
          <w:sz w:val="22"/>
          <w:szCs w:val="22"/>
        </w:rPr>
        <w:t>+</w:t>
      </w:r>
      <w:r w:rsidR="00246F93" w:rsidRPr="00A75228">
        <w:rPr>
          <w:rFonts w:asciiTheme="minorHAnsi" w:hAnsiTheme="minorHAnsi" w:cstheme="minorHAnsi"/>
          <w:sz w:val="22"/>
          <w:szCs w:val="22"/>
        </w:rPr>
        <w:t>0,</w:t>
      </w:r>
      <w:r w:rsidR="00246F93">
        <w:rPr>
          <w:rFonts w:asciiTheme="minorHAnsi" w:hAnsiTheme="minorHAnsi" w:cstheme="minorHAnsi"/>
          <w:sz w:val="22"/>
          <w:szCs w:val="22"/>
        </w:rPr>
        <w:t>08</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246F93">
        <w:rPr>
          <w:rFonts w:asciiTheme="minorHAnsi" w:hAnsiTheme="minorHAnsi" w:cstheme="minorHAnsi"/>
          <w:sz w:val="22"/>
          <w:szCs w:val="22"/>
        </w:rPr>
        <w:t xml:space="preserve"> y </w:t>
      </w:r>
      <w:r w:rsidR="00246F93">
        <w:rPr>
          <w:rFonts w:asciiTheme="minorHAnsi" w:hAnsiTheme="minorHAnsi" w:cstheme="minorHAnsi"/>
          <w:sz w:val="22"/>
          <w:szCs w:val="22"/>
        </w:rPr>
        <w:t>R</w:t>
      </w:r>
      <w:r w:rsidR="00246F93">
        <w:rPr>
          <w:rFonts w:asciiTheme="minorHAnsi" w:hAnsiTheme="minorHAnsi" w:cstheme="minorHAnsi"/>
          <w:sz w:val="22"/>
          <w:szCs w:val="22"/>
        </w:rPr>
        <w:t xml:space="preserve">500 </w:t>
      </w:r>
      <w:r w:rsidR="00246F93" w:rsidRPr="00A75228">
        <w:rPr>
          <w:rFonts w:asciiTheme="minorHAnsi" w:hAnsiTheme="minorHAnsi" w:cstheme="minorHAnsi"/>
          <w:sz w:val="22"/>
          <w:szCs w:val="22"/>
        </w:rPr>
        <w:t>(</w:t>
      </w:r>
      <w:r w:rsidR="00246F93">
        <w:rPr>
          <w:rFonts w:asciiTheme="minorHAnsi" w:hAnsiTheme="minorHAnsi" w:cstheme="minorHAnsi"/>
          <w:sz w:val="22"/>
          <w:szCs w:val="22"/>
        </w:rPr>
        <w:t>+</w:t>
      </w:r>
      <w:r w:rsidR="00246F93" w:rsidRPr="00A75228">
        <w:rPr>
          <w:rFonts w:asciiTheme="minorHAnsi" w:hAnsiTheme="minorHAnsi" w:cstheme="minorHAnsi"/>
          <w:sz w:val="22"/>
          <w:szCs w:val="22"/>
        </w:rPr>
        <w:t>0,</w:t>
      </w:r>
      <w:r w:rsidR="00246F93">
        <w:rPr>
          <w:rFonts w:asciiTheme="minorHAnsi" w:hAnsiTheme="minorHAnsi" w:cstheme="minorHAnsi"/>
          <w:sz w:val="22"/>
          <w:szCs w:val="22"/>
        </w:rPr>
        <w:t>08</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FA3CC3">
        <w:rPr>
          <w:rFonts w:asciiTheme="minorHAnsi" w:hAnsiTheme="minorHAnsi" w:cstheme="minorHAnsi"/>
          <w:sz w:val="22"/>
          <w:szCs w:val="22"/>
          <w:lang w:val="es-PE"/>
        </w:rPr>
        <w:t>.</w:t>
      </w: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0E70A1B0" w:rsidR="000264C9" w:rsidRDefault="000264C9" w:rsidP="00313709">
      <w:pPr>
        <w:jc w:val="both"/>
        <w:rPr>
          <w:rFonts w:asciiTheme="minorHAnsi" w:hAnsiTheme="minorHAnsi" w:cstheme="minorHAnsi"/>
          <w:sz w:val="22"/>
          <w:szCs w:val="22"/>
        </w:rPr>
      </w:pPr>
    </w:p>
    <w:p w14:paraId="11F79510" w14:textId="621E3C29" w:rsidR="00246F93" w:rsidRDefault="00246F93" w:rsidP="00313709">
      <w:pPr>
        <w:jc w:val="both"/>
        <w:rPr>
          <w:rFonts w:asciiTheme="minorHAnsi" w:hAnsiTheme="minorHAnsi" w:cstheme="minorHAnsi"/>
          <w:sz w:val="22"/>
          <w:szCs w:val="22"/>
        </w:rPr>
      </w:pPr>
    </w:p>
    <w:p w14:paraId="3CF6D752" w14:textId="64AF4A3D" w:rsidR="00246F93" w:rsidRDefault="00246F93" w:rsidP="00313709">
      <w:pPr>
        <w:jc w:val="both"/>
        <w:rPr>
          <w:rFonts w:asciiTheme="minorHAnsi" w:hAnsiTheme="minorHAnsi" w:cstheme="minorHAnsi"/>
          <w:sz w:val="22"/>
          <w:szCs w:val="22"/>
        </w:rPr>
      </w:pPr>
    </w:p>
    <w:p w14:paraId="33C0041E" w14:textId="686AB356" w:rsidR="00246F93" w:rsidRDefault="00246F93" w:rsidP="00313709">
      <w:pPr>
        <w:jc w:val="both"/>
        <w:rPr>
          <w:rFonts w:asciiTheme="minorHAnsi" w:hAnsiTheme="minorHAnsi" w:cstheme="minorHAnsi"/>
          <w:sz w:val="22"/>
          <w:szCs w:val="22"/>
        </w:rPr>
      </w:pPr>
    </w:p>
    <w:p w14:paraId="606ECC2C" w14:textId="159B9D56" w:rsidR="00246F93" w:rsidRDefault="00246F93"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1D9F4EFB"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DE7674">
        <w:rPr>
          <w:rFonts w:asciiTheme="minorHAnsi" w:hAnsiTheme="minorHAnsi" w:cstheme="minorHAnsi"/>
          <w:sz w:val="22"/>
          <w:szCs w:val="22"/>
        </w:rPr>
        <w:t>2</w:t>
      </w:r>
      <w:r w:rsidR="00246F93">
        <w:rPr>
          <w:rFonts w:asciiTheme="minorHAnsi" w:hAnsiTheme="minorHAnsi" w:cstheme="minorHAnsi"/>
          <w:sz w:val="22"/>
          <w:szCs w:val="22"/>
        </w:rPr>
        <w:t>9</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82E58">
        <w:rPr>
          <w:rFonts w:asciiTheme="minorHAnsi" w:hAnsiTheme="minorHAnsi" w:cstheme="minorHAnsi"/>
          <w:sz w:val="22"/>
          <w:szCs w:val="22"/>
        </w:rPr>
        <w:t>4</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246F93">
        <w:rPr>
          <w:rFonts w:asciiTheme="minorHAnsi" w:hAnsiTheme="minorHAnsi" w:cstheme="minorHAnsi"/>
          <w:sz w:val="22"/>
          <w:szCs w:val="22"/>
        </w:rPr>
        <w:t>1</w:t>
      </w:r>
      <w:r w:rsidR="00DE7674">
        <w:rPr>
          <w:rFonts w:asciiTheme="minorHAnsi" w:hAnsiTheme="minorHAnsi" w:cstheme="minorHAnsi"/>
          <w:sz w:val="22"/>
          <w:szCs w:val="22"/>
        </w:rPr>
        <w:t>0</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DE7674">
        <w:rPr>
          <w:rFonts w:asciiTheme="minorHAnsi" w:hAnsiTheme="minorHAnsi" w:cstheme="minorHAnsi"/>
          <w:sz w:val="22"/>
          <w:szCs w:val="22"/>
        </w:rPr>
        <w:t>5</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753331E"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246F93">
        <w:rPr>
          <w:rFonts w:ascii="Calibri" w:hAnsi="Calibri" w:cs="Arial"/>
          <w:b/>
          <w:bCs/>
          <w:i/>
          <w:sz w:val="22"/>
          <w:szCs w:val="22"/>
          <w:lang w:eastAsia="es-PE"/>
        </w:rPr>
        <w:t>13</w:t>
      </w:r>
      <w:r>
        <w:rPr>
          <w:rFonts w:ascii="Calibri" w:hAnsi="Calibri" w:cs="Arial"/>
          <w:b/>
          <w:bCs/>
          <w:i/>
          <w:sz w:val="22"/>
          <w:szCs w:val="22"/>
          <w:lang w:eastAsia="es-PE"/>
        </w:rPr>
        <w:t>-</w:t>
      </w:r>
      <w:r w:rsidR="00FF75D8">
        <w:rPr>
          <w:rFonts w:ascii="Calibri" w:hAnsi="Calibri" w:cs="Arial"/>
          <w:b/>
          <w:bCs/>
          <w:i/>
          <w:sz w:val="22"/>
          <w:szCs w:val="22"/>
          <w:lang w:eastAsia="es-PE"/>
        </w:rPr>
        <w:t>0</w:t>
      </w:r>
      <w:r w:rsidR="00DE7674">
        <w:rPr>
          <w:rFonts w:ascii="Calibri" w:hAnsi="Calibri" w:cs="Arial"/>
          <w:b/>
          <w:bCs/>
          <w:i/>
          <w:sz w:val="22"/>
          <w:szCs w:val="22"/>
          <w:lang w:eastAsia="es-PE"/>
        </w:rPr>
        <w:t>5</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3C4B1B2A" w:rsidR="00A75228" w:rsidRPr="00CC2A8A" w:rsidRDefault="00246F93" w:rsidP="00336251">
      <w:pPr>
        <w:pBdr>
          <w:top w:val="single" w:sz="4" w:space="1" w:color="auto"/>
          <w:bottom w:val="single" w:sz="4" w:space="1" w:color="auto"/>
        </w:pBdr>
        <w:jc w:val="center"/>
        <w:rPr>
          <w:rFonts w:ascii="Calibri" w:hAnsi="Calibri" w:cs="Arial"/>
          <w:bCs/>
          <w:sz w:val="32"/>
          <w:szCs w:val="32"/>
        </w:rPr>
      </w:pPr>
      <w:r w:rsidRPr="00854526">
        <w:rPr>
          <w:noProof/>
        </w:rPr>
        <w:drawing>
          <wp:inline distT="0" distB="0" distL="0" distR="0" wp14:anchorId="285DFFB6" wp14:editId="35E186A1">
            <wp:extent cx="5490845" cy="2916555"/>
            <wp:effectExtent l="0" t="0" r="0" b="0"/>
            <wp:docPr id="781146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46421" name=""/>
                    <pic:cNvPicPr/>
                  </pic:nvPicPr>
                  <pic:blipFill>
                    <a:blip r:embed="rId14"/>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3B0682D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246F93">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FA3CC3">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3E5D83F"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246F93">
        <w:rPr>
          <w:rFonts w:asciiTheme="minorHAnsi" w:hAnsiTheme="minorHAnsi" w:cstheme="minorHAnsi"/>
          <w:sz w:val="22"/>
          <w:szCs w:val="22"/>
        </w:rPr>
        <w:t>13</w:t>
      </w:r>
      <w:r>
        <w:rPr>
          <w:rFonts w:asciiTheme="minorHAnsi" w:hAnsiTheme="minorHAnsi" w:cstheme="minorHAnsi"/>
          <w:sz w:val="22"/>
          <w:szCs w:val="22"/>
        </w:rPr>
        <w:t xml:space="preserve"> de </w:t>
      </w:r>
      <w:r w:rsidR="001173C5">
        <w:rPr>
          <w:rFonts w:asciiTheme="minorHAnsi" w:hAnsiTheme="minorHAnsi" w:cstheme="minorHAnsi"/>
          <w:sz w:val="22"/>
          <w:szCs w:val="22"/>
        </w:rPr>
        <w:t>mayo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879613C"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173C5">
        <w:rPr>
          <w:rFonts w:asciiTheme="minorHAnsi" w:hAnsiTheme="minorHAnsi" w:cstheme="minorHAnsi"/>
          <w:sz w:val="22"/>
          <w:szCs w:val="22"/>
        </w:rPr>
        <w:t>9</w:t>
      </w:r>
      <w:r w:rsidR="00A75228">
        <w:rPr>
          <w:rFonts w:asciiTheme="minorHAnsi" w:hAnsiTheme="minorHAnsi" w:cstheme="minorHAnsi"/>
          <w:sz w:val="22"/>
          <w:szCs w:val="22"/>
        </w:rPr>
        <w:t>,</w:t>
      </w:r>
      <w:r w:rsidR="00246F93">
        <w:rPr>
          <w:rFonts w:asciiTheme="minorHAnsi" w:hAnsiTheme="minorHAnsi" w:cstheme="minorHAnsi"/>
          <w:sz w:val="22"/>
          <w:szCs w:val="22"/>
        </w:rPr>
        <w:t>80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3B3427EE"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A3CC3">
        <w:rPr>
          <w:rFonts w:asciiTheme="minorHAnsi" w:hAnsiTheme="minorHAnsi" w:cstheme="minorHAnsi"/>
          <w:sz w:val="22"/>
          <w:szCs w:val="22"/>
          <w:lang w:val="en-US"/>
        </w:rPr>
        <w:t>9</w:t>
      </w:r>
      <w:r w:rsidR="00A75228">
        <w:rPr>
          <w:rFonts w:asciiTheme="minorHAnsi" w:hAnsiTheme="minorHAnsi" w:cstheme="minorHAnsi"/>
          <w:sz w:val="22"/>
          <w:szCs w:val="22"/>
          <w:lang w:val="en-US"/>
        </w:rPr>
        <w:t>,</w:t>
      </w:r>
      <w:r w:rsidR="00246F93">
        <w:rPr>
          <w:rFonts w:asciiTheme="minorHAnsi" w:hAnsiTheme="minorHAnsi" w:cstheme="minorHAnsi"/>
          <w:sz w:val="22"/>
          <w:szCs w:val="22"/>
          <w:lang w:val="en-US"/>
        </w:rPr>
        <w:t>80</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246F93">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246F93">
        <w:rPr>
          <w:rFonts w:asciiTheme="minorHAnsi" w:hAnsiTheme="minorHAnsi" w:cstheme="minorHAnsi"/>
          <w:sz w:val="22"/>
          <w:szCs w:val="22"/>
          <w:lang w:val="en-US"/>
        </w:rPr>
        <w:t>01</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14F31768"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246F93">
        <w:rPr>
          <w:rFonts w:asciiTheme="minorHAnsi" w:hAnsiTheme="minorHAnsi" w:cstheme="minorHAnsi"/>
          <w:sz w:val="22"/>
          <w:szCs w:val="22"/>
          <w:lang w:val="en-US"/>
        </w:rPr>
        <w:t>94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CEE33E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1173C5">
        <w:rPr>
          <w:rFonts w:asciiTheme="minorHAnsi" w:hAnsiTheme="minorHAnsi" w:cstheme="minorHAnsi"/>
          <w:sz w:val="22"/>
          <w:szCs w:val="22"/>
        </w:rPr>
        <w:t>0</w:t>
      </w:r>
      <w:r w:rsidR="00246F93">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0A7096E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246F93">
        <w:rPr>
          <w:rFonts w:asciiTheme="minorHAnsi" w:hAnsiTheme="minorHAnsi" w:cstheme="minorHAnsi"/>
          <w:sz w:val="22"/>
          <w:szCs w:val="22"/>
        </w:rPr>
        <w:t>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246F93">
        <w:rPr>
          <w:rFonts w:asciiTheme="minorHAnsi" w:hAnsiTheme="minorHAnsi" w:cstheme="minorHAnsi"/>
          <w:sz w:val="22"/>
          <w:szCs w:val="22"/>
        </w:rPr>
        <w:t>79</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C1F9BE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246F93">
        <w:rPr>
          <w:rFonts w:asciiTheme="minorHAnsi" w:hAnsiTheme="minorHAnsi" w:cstheme="minorHAnsi"/>
          <w:sz w:val="22"/>
          <w:szCs w:val="22"/>
        </w:rPr>
        <w:t>98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6845CF">
        <w:rPr>
          <w:rFonts w:asciiTheme="minorHAnsi" w:hAnsiTheme="minorHAnsi" w:cstheme="minorHAnsi"/>
          <w:sz w:val="22"/>
          <w:szCs w:val="22"/>
        </w:rPr>
        <w:t>0</w:t>
      </w:r>
      <w:r w:rsidR="00A75228">
        <w:rPr>
          <w:rFonts w:asciiTheme="minorHAnsi" w:hAnsiTheme="minorHAnsi" w:cstheme="minorHAnsi"/>
          <w:sz w:val="22"/>
          <w:szCs w:val="22"/>
        </w:rPr>
        <w:t>,</w:t>
      </w:r>
      <w:r w:rsidR="006845CF">
        <w:rPr>
          <w:rFonts w:asciiTheme="minorHAnsi" w:hAnsiTheme="minorHAnsi" w:cstheme="minorHAnsi"/>
          <w:sz w:val="22"/>
          <w:szCs w:val="22"/>
        </w:rPr>
        <w:t>67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33D67C6B"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6845CF">
        <w:rPr>
          <w:rFonts w:asciiTheme="minorHAnsi" w:hAnsiTheme="minorHAnsi" w:cstheme="minorHAnsi"/>
          <w:sz w:val="22"/>
          <w:szCs w:val="22"/>
        </w:rPr>
        <w:t>04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3DF78860" w14:textId="5C37A251" w:rsidR="001173C5" w:rsidRDefault="001173C5" w:rsidP="00E812D9">
      <w:pPr>
        <w:ind w:left="426" w:hanging="426"/>
        <w:jc w:val="both"/>
        <w:rPr>
          <w:rFonts w:asciiTheme="minorHAnsi" w:hAnsiTheme="minorHAnsi" w:cstheme="minorHAnsi"/>
          <w:b/>
          <w:sz w:val="22"/>
          <w:szCs w:val="22"/>
          <w:u w:val="single"/>
        </w:rPr>
      </w:pPr>
    </w:p>
    <w:p w14:paraId="5D5AD64A" w14:textId="00DBBF0F" w:rsidR="001173C5" w:rsidRDefault="001173C5"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A1D551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6845CF">
        <w:rPr>
          <w:rFonts w:asciiTheme="minorHAnsi" w:hAnsiTheme="minorHAnsi" w:cstheme="minorHAnsi"/>
          <w:sz w:val="22"/>
          <w:szCs w:val="22"/>
        </w:rPr>
        <w:t>78</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16DF4501"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A3CC3">
        <w:rPr>
          <w:rFonts w:asciiTheme="minorHAnsi" w:hAnsiTheme="minorHAnsi" w:cstheme="minorHAnsi"/>
          <w:sz w:val="22"/>
          <w:szCs w:val="22"/>
          <w:lang w:eastAsia="en-US"/>
        </w:rPr>
        <w:t>2</w:t>
      </w:r>
      <w:r w:rsidR="006845CF">
        <w:rPr>
          <w:rFonts w:asciiTheme="minorHAnsi" w:hAnsiTheme="minorHAnsi" w:cstheme="minorHAnsi"/>
          <w:sz w:val="22"/>
          <w:szCs w:val="22"/>
          <w:lang w:eastAsia="en-US"/>
        </w:rPr>
        <w:t>8</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w:t>
      </w:r>
      <w:r w:rsidR="006845CF">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04AF73C3" w:rsidR="007744B2" w:rsidRDefault="006845CF" w:rsidP="004F74EE">
      <w:pPr>
        <w:pBdr>
          <w:top w:val="single" w:sz="4" w:space="1" w:color="auto"/>
          <w:bottom w:val="single" w:sz="4" w:space="1" w:color="auto"/>
        </w:pBdr>
        <w:jc w:val="center"/>
        <w:rPr>
          <w:rFonts w:ascii="Calibri" w:hAnsi="Calibri" w:cs="Calibri"/>
          <w:sz w:val="22"/>
          <w:szCs w:val="22"/>
          <w:lang w:val="es-PE" w:eastAsia="en-US"/>
        </w:rPr>
      </w:pPr>
      <w:r w:rsidRPr="00671CBC">
        <w:rPr>
          <w:noProof/>
        </w:rPr>
        <w:drawing>
          <wp:inline distT="0" distB="0" distL="0" distR="0" wp14:anchorId="59F8A00F" wp14:editId="55F65129">
            <wp:extent cx="8080497" cy="3045124"/>
            <wp:effectExtent l="0" t="0" r="0" b="3175"/>
            <wp:docPr id="6071909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90941" name=""/>
                    <pic:cNvPicPr/>
                  </pic:nvPicPr>
                  <pic:blipFill rotWithShape="1">
                    <a:blip r:embed="rId19"/>
                    <a:srcRect b="4306"/>
                    <a:stretch/>
                  </pic:blipFill>
                  <pic:spPr bwMode="auto">
                    <a:xfrm>
                      <a:off x="0" y="0"/>
                      <a:ext cx="8092933" cy="3049810"/>
                    </a:xfrm>
                    <a:prstGeom prst="rect">
                      <a:avLst/>
                    </a:prstGeom>
                    <a:ln>
                      <a:noFill/>
                    </a:ln>
                    <a:extLst>
                      <a:ext uri="{53640926-AAD7-44D8-BBD7-CCE9431645EC}">
                        <a14:shadowObscured xmlns:a14="http://schemas.microsoft.com/office/drawing/2010/main"/>
                      </a:ext>
                    </a:extLst>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3B04C40B" w:rsidR="0089632A" w:rsidRDefault="006845CF" w:rsidP="00957F6B">
            <w:pPr>
              <w:ind w:left="-618" w:right="-654"/>
              <w:jc w:val="center"/>
              <w:rPr>
                <w:rFonts w:asciiTheme="minorHAnsi" w:hAnsiTheme="minorHAnsi" w:cstheme="minorHAnsi"/>
              </w:rPr>
            </w:pPr>
            <w:r w:rsidRPr="00671CBC">
              <w:rPr>
                <w:rFonts w:asciiTheme="minorHAnsi" w:hAnsiTheme="minorHAnsi" w:cstheme="minorHAnsi"/>
                <w:noProof/>
              </w:rPr>
              <w:drawing>
                <wp:inline distT="0" distB="0" distL="0" distR="0" wp14:anchorId="40E1B2B6" wp14:editId="2D91CC5B">
                  <wp:extent cx="3779520" cy="2506980"/>
                  <wp:effectExtent l="0" t="0" r="0" b="7620"/>
                  <wp:docPr id="12168570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9520" cy="2506980"/>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CAA018A" w:rsidR="00EF3BE9" w:rsidRPr="00977837" w:rsidRDefault="006845CF" w:rsidP="00977837">
            <w:pPr>
              <w:ind w:left="-618" w:right="-654"/>
              <w:jc w:val="center"/>
              <w:rPr>
                <w:rFonts w:asciiTheme="minorHAnsi" w:hAnsiTheme="minorHAnsi" w:cstheme="minorHAnsi"/>
                <w:noProof/>
              </w:rPr>
            </w:pPr>
            <w:r>
              <w:rPr>
                <w:noProof/>
              </w:rPr>
              <w:drawing>
                <wp:inline distT="0" distB="0" distL="0" distR="0" wp14:anchorId="7109CC51" wp14:editId="0FE22C17">
                  <wp:extent cx="5314315" cy="2717320"/>
                  <wp:effectExtent l="0" t="0" r="635" b="6985"/>
                  <wp:docPr id="1228352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35214" name=""/>
                          <pic:cNvPicPr/>
                        </pic:nvPicPr>
                        <pic:blipFill>
                          <a:blip r:embed="rId23"/>
                          <a:stretch>
                            <a:fillRect/>
                          </a:stretch>
                        </pic:blipFill>
                        <pic:spPr>
                          <a:xfrm>
                            <a:off x="0" y="0"/>
                            <a:ext cx="5316496" cy="2718435"/>
                          </a:xfrm>
                          <a:prstGeom prst="rect">
                            <a:avLst/>
                          </a:prstGeom>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8943873" w14:textId="789790C4" w:rsidR="007744B2" w:rsidRPr="00737F8F" w:rsidRDefault="006845CF"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71CBC">
        <w:rPr>
          <w:noProof/>
        </w:rPr>
        <w:drawing>
          <wp:inline distT="0" distB="0" distL="0" distR="0" wp14:anchorId="6999A523" wp14:editId="5DC9CFE6">
            <wp:extent cx="5638800" cy="2286000"/>
            <wp:effectExtent l="0" t="0" r="0" b="0"/>
            <wp:docPr id="205565988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2369" cy="2287447"/>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1964D4D1" w:rsidR="007F3FCB" w:rsidRDefault="006845CF" w:rsidP="00604758">
      <w:pPr>
        <w:spacing w:line="0" w:lineRule="atLeast"/>
        <w:ind w:right="-567"/>
        <w:jc w:val="both"/>
        <w:rPr>
          <w:noProof/>
        </w:rPr>
      </w:pPr>
      <w:r w:rsidRPr="006845CF">
        <w:drawing>
          <wp:inline distT="0" distB="0" distL="0" distR="0" wp14:anchorId="1029EB8C" wp14:editId="42DF5122">
            <wp:extent cx="5850255" cy="2337758"/>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5466" cy="233984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4976577D" w:rsidR="00127A54" w:rsidRDefault="006845CF" w:rsidP="006220EA">
      <w:pPr>
        <w:rPr>
          <w:rFonts w:asciiTheme="minorHAnsi" w:hAnsiTheme="minorHAnsi" w:cstheme="minorHAnsi"/>
          <w:i/>
          <w:sz w:val="18"/>
          <w:szCs w:val="18"/>
        </w:rPr>
      </w:pPr>
      <w:r w:rsidRPr="006845CF">
        <w:drawing>
          <wp:inline distT="0" distB="0" distL="0" distR="0" wp14:anchorId="3FFD9159" wp14:editId="2545A301">
            <wp:extent cx="5850255" cy="728069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748" cy="7281308"/>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06C8BFCA" w:rsidR="00BF4B4A" w:rsidRPr="00C2751F" w:rsidRDefault="006845CF" w:rsidP="005048C1">
      <w:pPr>
        <w:spacing w:line="0" w:lineRule="atLeast"/>
        <w:ind w:right="-567"/>
        <w:jc w:val="both"/>
        <w:rPr>
          <w:noProof/>
          <w:lang w:val="es-PE" w:eastAsia="es-PE"/>
        </w:rPr>
      </w:pPr>
      <w:r w:rsidRPr="006845CF">
        <w:drawing>
          <wp:inline distT="0" distB="0" distL="0" distR="0" wp14:anchorId="45521319" wp14:editId="5610B64C">
            <wp:extent cx="5850255" cy="6055744"/>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1147" cy="6056667"/>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1F6D915F" w14:textId="77777777" w:rsidR="004B08F7" w:rsidRDefault="004B08F7" w:rsidP="004B08F7">
      <w:pPr>
        <w:jc w:val="center"/>
        <w:rPr>
          <w:rFonts w:asciiTheme="minorHAnsi" w:hAnsiTheme="minorHAnsi" w:cstheme="minorHAnsi"/>
          <w:sz w:val="22"/>
          <w:szCs w:val="22"/>
        </w:rPr>
      </w:pPr>
      <w:r>
        <w:rPr>
          <w:noProof/>
        </w:rPr>
        <w:drawing>
          <wp:inline distT="0" distB="0" distL="0" distR="0" wp14:anchorId="08EE3463" wp14:editId="7BB22419">
            <wp:extent cx="5586876" cy="2982942"/>
            <wp:effectExtent l="19050" t="19050" r="13970" b="27305"/>
            <wp:docPr id="240980436"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0765" cy="2990358"/>
                    </a:xfrm>
                    <a:prstGeom prst="rect">
                      <a:avLst/>
                    </a:prstGeom>
                    <a:noFill/>
                    <a:ln>
                      <a:solidFill>
                        <a:schemeClr val="accent1"/>
                      </a:solidFill>
                    </a:ln>
                  </pic:spPr>
                </pic:pic>
              </a:graphicData>
            </a:graphic>
          </wp:inline>
        </w:drawing>
      </w:r>
    </w:p>
    <w:p w14:paraId="496EA441" w14:textId="45C3B487" w:rsidR="004B08F7" w:rsidRDefault="004B08F7" w:rsidP="004B08F7">
      <w:pPr>
        <w:jc w:val="center"/>
        <w:rPr>
          <w:rFonts w:asciiTheme="minorHAnsi" w:hAnsiTheme="minorHAnsi" w:cstheme="minorHAnsi"/>
          <w:sz w:val="22"/>
          <w:szCs w:val="22"/>
        </w:rPr>
      </w:pPr>
    </w:p>
    <w:p w14:paraId="7FF171AF" w14:textId="7A02D45D" w:rsidR="004B08F7" w:rsidRDefault="004B08F7" w:rsidP="004B08F7">
      <w:pPr>
        <w:jc w:val="center"/>
        <w:rPr>
          <w:rFonts w:asciiTheme="minorHAnsi" w:hAnsiTheme="minorHAnsi" w:cstheme="minorHAnsi"/>
          <w:sz w:val="22"/>
          <w:szCs w:val="22"/>
        </w:rPr>
      </w:pPr>
    </w:p>
    <w:p w14:paraId="5999DD6F" w14:textId="77777777" w:rsidR="004B08F7" w:rsidRDefault="004B08F7" w:rsidP="004B08F7">
      <w:pPr>
        <w:jc w:val="center"/>
        <w:rPr>
          <w:rFonts w:asciiTheme="minorHAnsi" w:hAnsiTheme="minorHAnsi" w:cstheme="minorHAnsi"/>
          <w:sz w:val="22"/>
          <w:szCs w:val="22"/>
        </w:rPr>
      </w:pPr>
    </w:p>
    <w:p w14:paraId="34A03B0A" w14:textId="77777777" w:rsidR="004B08F7" w:rsidRDefault="004B08F7" w:rsidP="004B08F7">
      <w:pPr>
        <w:jc w:val="center"/>
        <w:rPr>
          <w:rFonts w:asciiTheme="minorHAnsi" w:hAnsiTheme="minorHAnsi" w:cstheme="minorHAnsi"/>
          <w:sz w:val="22"/>
          <w:szCs w:val="22"/>
        </w:rPr>
      </w:pPr>
      <w:r>
        <w:rPr>
          <w:noProof/>
        </w:rPr>
        <w:drawing>
          <wp:inline distT="0" distB="0" distL="0" distR="0" wp14:anchorId="344CEBD4" wp14:editId="499A7693">
            <wp:extent cx="5554564" cy="2965689"/>
            <wp:effectExtent l="19050" t="19050" r="27305" b="25400"/>
            <wp:docPr id="1306910468"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76637" cy="2977474"/>
                    </a:xfrm>
                    <a:prstGeom prst="rect">
                      <a:avLst/>
                    </a:prstGeom>
                    <a:noFill/>
                    <a:ln>
                      <a:solidFill>
                        <a:schemeClr val="accent1"/>
                      </a:solidFill>
                    </a:ln>
                  </pic:spPr>
                </pic:pic>
              </a:graphicData>
            </a:graphic>
          </wp:inline>
        </w:drawing>
      </w:r>
    </w:p>
    <w:p w14:paraId="0205B7EB" w14:textId="77777777" w:rsidR="004B08F7" w:rsidRDefault="004B08F7" w:rsidP="004B08F7">
      <w:pPr>
        <w:jc w:val="center"/>
        <w:rPr>
          <w:rFonts w:asciiTheme="minorHAnsi" w:hAnsiTheme="minorHAnsi" w:cstheme="minorHAnsi"/>
          <w:b/>
          <w:iCs/>
          <w:u w:val="single"/>
        </w:rPr>
      </w:pPr>
    </w:p>
    <w:p w14:paraId="02D614DA" w14:textId="77777777" w:rsidR="004B08F7" w:rsidRDefault="004B08F7" w:rsidP="004B08F7">
      <w:pPr>
        <w:jc w:val="center"/>
        <w:rPr>
          <w:rFonts w:asciiTheme="minorHAnsi" w:hAnsiTheme="minorHAnsi" w:cstheme="minorHAnsi"/>
          <w:b/>
          <w:iCs/>
          <w:u w:val="single"/>
        </w:rPr>
      </w:pPr>
    </w:p>
    <w:p w14:paraId="6AD3E21F" w14:textId="402F9F4F" w:rsidR="004B08F7" w:rsidRDefault="004B08F7" w:rsidP="004B08F7">
      <w:pPr>
        <w:jc w:val="center"/>
        <w:rPr>
          <w:rFonts w:asciiTheme="minorHAnsi" w:hAnsiTheme="minorHAnsi" w:cstheme="minorHAnsi"/>
          <w:b/>
          <w:iCs/>
          <w:u w:val="single"/>
        </w:rPr>
      </w:pPr>
    </w:p>
    <w:p w14:paraId="7DFF7509" w14:textId="4C39C438" w:rsidR="004B08F7" w:rsidRDefault="004B08F7" w:rsidP="004B08F7">
      <w:pPr>
        <w:jc w:val="center"/>
        <w:rPr>
          <w:rFonts w:asciiTheme="minorHAnsi" w:hAnsiTheme="minorHAnsi" w:cstheme="minorHAnsi"/>
          <w:b/>
          <w:iCs/>
          <w:u w:val="single"/>
        </w:rPr>
      </w:pPr>
    </w:p>
    <w:p w14:paraId="5F296C30" w14:textId="53285117" w:rsidR="004B08F7" w:rsidRDefault="004B08F7" w:rsidP="004B08F7">
      <w:pPr>
        <w:jc w:val="center"/>
        <w:rPr>
          <w:rFonts w:asciiTheme="minorHAnsi" w:hAnsiTheme="minorHAnsi" w:cstheme="minorHAnsi"/>
          <w:b/>
          <w:iCs/>
          <w:u w:val="single"/>
        </w:rPr>
      </w:pPr>
    </w:p>
    <w:p w14:paraId="4CBBCF86" w14:textId="5C151E4C" w:rsidR="004B08F7" w:rsidRDefault="004B08F7" w:rsidP="004B08F7">
      <w:pPr>
        <w:jc w:val="center"/>
        <w:rPr>
          <w:rFonts w:asciiTheme="minorHAnsi" w:hAnsiTheme="minorHAnsi" w:cstheme="minorHAnsi"/>
          <w:b/>
          <w:iCs/>
          <w:u w:val="single"/>
        </w:rPr>
      </w:pPr>
    </w:p>
    <w:p w14:paraId="3138228D" w14:textId="51924600" w:rsidR="004B08F7" w:rsidRDefault="004B08F7" w:rsidP="004B08F7">
      <w:pPr>
        <w:jc w:val="center"/>
        <w:rPr>
          <w:rFonts w:asciiTheme="minorHAnsi" w:hAnsiTheme="minorHAnsi" w:cstheme="minorHAnsi"/>
          <w:b/>
          <w:iCs/>
          <w:u w:val="single"/>
        </w:rPr>
      </w:pPr>
    </w:p>
    <w:p w14:paraId="7394527A" w14:textId="77777777" w:rsidR="004B08F7" w:rsidRDefault="004B08F7" w:rsidP="004B08F7">
      <w:pPr>
        <w:jc w:val="center"/>
        <w:rPr>
          <w:rFonts w:asciiTheme="minorHAnsi" w:hAnsiTheme="minorHAnsi" w:cstheme="minorHAnsi"/>
          <w:b/>
          <w:iCs/>
          <w:u w:val="single"/>
        </w:rPr>
      </w:pPr>
    </w:p>
    <w:p w14:paraId="306D5836" w14:textId="69EAABF6" w:rsidR="004B08F7" w:rsidRDefault="004B08F7" w:rsidP="004B08F7">
      <w:pPr>
        <w:jc w:val="center"/>
        <w:rPr>
          <w:rFonts w:asciiTheme="minorHAnsi" w:hAnsiTheme="minorHAnsi" w:cstheme="minorHAnsi"/>
          <w:b/>
          <w:iCs/>
          <w:u w:val="single"/>
        </w:rPr>
      </w:pPr>
      <w:r>
        <w:rPr>
          <w:noProof/>
        </w:rPr>
        <w:drawing>
          <wp:inline distT="0" distB="0" distL="0" distR="0" wp14:anchorId="48E2CA6B" wp14:editId="74538C43">
            <wp:extent cx="5586876" cy="2982943"/>
            <wp:effectExtent l="19050" t="19050" r="13970" b="27305"/>
            <wp:docPr id="1342031535"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5408" cy="2998177"/>
                    </a:xfrm>
                    <a:prstGeom prst="rect">
                      <a:avLst/>
                    </a:prstGeom>
                    <a:noFill/>
                    <a:ln>
                      <a:solidFill>
                        <a:schemeClr val="accent1"/>
                      </a:solidFill>
                    </a:ln>
                  </pic:spPr>
                </pic:pic>
              </a:graphicData>
            </a:graphic>
          </wp:inline>
        </w:drawing>
      </w:r>
    </w:p>
    <w:p w14:paraId="6DDDDF0B" w14:textId="5D96A35D" w:rsidR="004B08F7" w:rsidRDefault="004B08F7" w:rsidP="004B08F7">
      <w:pPr>
        <w:jc w:val="center"/>
        <w:rPr>
          <w:rFonts w:asciiTheme="minorHAnsi" w:hAnsiTheme="minorHAnsi" w:cstheme="minorHAnsi"/>
          <w:b/>
          <w:iCs/>
          <w:u w:val="single"/>
        </w:rPr>
      </w:pPr>
    </w:p>
    <w:p w14:paraId="77061A65" w14:textId="77777777" w:rsidR="004B08F7" w:rsidRDefault="004B08F7" w:rsidP="004B08F7">
      <w:pPr>
        <w:jc w:val="center"/>
        <w:rPr>
          <w:rFonts w:asciiTheme="minorHAnsi" w:hAnsiTheme="minorHAnsi" w:cstheme="minorHAnsi"/>
          <w:b/>
          <w:iCs/>
          <w:u w:val="single"/>
        </w:rPr>
      </w:pPr>
    </w:p>
    <w:p w14:paraId="73C28827" w14:textId="77777777" w:rsidR="004B08F7" w:rsidRDefault="004B08F7" w:rsidP="004B08F7">
      <w:pPr>
        <w:jc w:val="center"/>
        <w:rPr>
          <w:rFonts w:asciiTheme="minorHAnsi" w:hAnsiTheme="minorHAnsi" w:cstheme="minorHAnsi"/>
          <w:b/>
          <w:iCs/>
          <w:u w:val="single"/>
        </w:rPr>
      </w:pPr>
      <w:r>
        <w:rPr>
          <w:noProof/>
        </w:rPr>
        <w:drawing>
          <wp:inline distT="0" distB="0" distL="0" distR="0" wp14:anchorId="202DABB8" wp14:editId="21DBFC8D">
            <wp:extent cx="5570722" cy="2974316"/>
            <wp:effectExtent l="19050" t="19050" r="11430" b="17145"/>
            <wp:docPr id="966623287"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96763" cy="2988220"/>
                    </a:xfrm>
                    <a:prstGeom prst="rect">
                      <a:avLst/>
                    </a:prstGeom>
                    <a:noFill/>
                    <a:ln>
                      <a:solidFill>
                        <a:schemeClr val="accent1"/>
                      </a:solidFill>
                    </a:ln>
                  </pic:spPr>
                </pic:pic>
              </a:graphicData>
            </a:graphic>
          </wp:inline>
        </w:drawing>
      </w:r>
    </w:p>
    <w:p w14:paraId="3916FD9B" w14:textId="2D1806F3" w:rsidR="001173C5" w:rsidRDefault="001173C5" w:rsidP="001173C5">
      <w:pPr>
        <w:jc w:val="center"/>
        <w:rPr>
          <w:rFonts w:asciiTheme="minorHAnsi" w:hAnsiTheme="minorHAnsi" w:cstheme="minorHAnsi"/>
          <w:sz w:val="22"/>
          <w:szCs w:val="22"/>
        </w:rPr>
      </w:pPr>
    </w:p>
    <w:p w14:paraId="0DCF508D" w14:textId="5D8F8B58" w:rsidR="001173C5" w:rsidRDefault="001173C5" w:rsidP="001173C5">
      <w:pPr>
        <w:jc w:val="center"/>
        <w:rPr>
          <w:rFonts w:asciiTheme="minorHAnsi" w:hAnsiTheme="minorHAnsi" w:cstheme="minorHAnsi"/>
          <w:sz w:val="22"/>
          <w:szCs w:val="22"/>
        </w:rPr>
      </w:pPr>
    </w:p>
    <w:p w14:paraId="66E1A5E1" w14:textId="77777777" w:rsidR="001173C5" w:rsidRDefault="001173C5" w:rsidP="001173C5">
      <w:pPr>
        <w:jc w:val="center"/>
        <w:rPr>
          <w:rFonts w:asciiTheme="minorHAnsi" w:hAnsiTheme="minorHAnsi" w:cstheme="minorHAnsi"/>
          <w:sz w:val="22"/>
          <w:szCs w:val="22"/>
        </w:rPr>
      </w:pPr>
    </w:p>
    <w:p w14:paraId="420BEAF1" w14:textId="72A20A4B" w:rsidR="001173C5" w:rsidRDefault="001173C5" w:rsidP="001173C5">
      <w:pPr>
        <w:jc w:val="center"/>
        <w:rPr>
          <w:rFonts w:asciiTheme="minorHAnsi" w:hAnsiTheme="minorHAnsi" w:cstheme="minorHAnsi"/>
          <w:sz w:val="22"/>
          <w:szCs w:val="22"/>
        </w:rPr>
      </w:pPr>
    </w:p>
    <w:p w14:paraId="5E40EBE7" w14:textId="77777777" w:rsidR="001173C5" w:rsidRDefault="001173C5" w:rsidP="001173C5">
      <w:pPr>
        <w:jc w:val="center"/>
        <w:rPr>
          <w:rFonts w:asciiTheme="minorHAnsi" w:hAnsiTheme="minorHAnsi" w:cstheme="minorHAnsi"/>
          <w:b/>
          <w:iCs/>
          <w:u w:val="single"/>
        </w:rPr>
      </w:pPr>
    </w:p>
    <w:p w14:paraId="7BA6DA46" w14:textId="4D71C453" w:rsidR="001173C5" w:rsidRDefault="001173C5" w:rsidP="001173C5">
      <w:pPr>
        <w:jc w:val="center"/>
        <w:rPr>
          <w:rFonts w:asciiTheme="minorHAnsi" w:hAnsiTheme="minorHAnsi" w:cstheme="minorHAnsi"/>
          <w:b/>
          <w:iCs/>
          <w:u w:val="single"/>
        </w:rPr>
      </w:pPr>
    </w:p>
    <w:p w14:paraId="4B10BC12" w14:textId="5339B6D3" w:rsidR="001173C5" w:rsidRDefault="001173C5" w:rsidP="001173C5">
      <w:pPr>
        <w:jc w:val="center"/>
        <w:rPr>
          <w:rFonts w:asciiTheme="minorHAnsi" w:hAnsiTheme="minorHAnsi" w:cstheme="minorHAnsi"/>
          <w:b/>
          <w:iCs/>
          <w:u w:val="single"/>
        </w:rPr>
      </w:pPr>
    </w:p>
    <w:p w14:paraId="6827A6C0" w14:textId="5434F561" w:rsidR="001173C5" w:rsidRDefault="001173C5" w:rsidP="001173C5">
      <w:pPr>
        <w:jc w:val="center"/>
        <w:rPr>
          <w:rFonts w:asciiTheme="minorHAnsi" w:hAnsiTheme="minorHAnsi" w:cstheme="minorHAnsi"/>
          <w:b/>
          <w:iCs/>
          <w:u w:val="single"/>
        </w:rPr>
      </w:pPr>
    </w:p>
    <w:p w14:paraId="0EB67E15" w14:textId="77777777" w:rsidR="001173C5" w:rsidRDefault="001173C5" w:rsidP="001173C5">
      <w:pPr>
        <w:jc w:val="center"/>
        <w:rPr>
          <w:rFonts w:asciiTheme="minorHAnsi" w:hAnsiTheme="minorHAnsi" w:cstheme="minorHAnsi"/>
          <w:b/>
          <w:iCs/>
          <w:u w:val="single"/>
        </w:rPr>
      </w:pPr>
    </w:p>
    <w:p w14:paraId="5C0BD621" w14:textId="20857F58" w:rsidR="001173C5" w:rsidRDefault="001173C5" w:rsidP="001173C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B08F7"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115D0C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20</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C29382D"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20</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33763AC"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E5B4D86"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91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9148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png"/><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emf"/><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18</Pages>
  <Words>4042</Words>
  <Characters>22235</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2024-04-24T20:19:00Z</cp:lastPrinted>
  <dcterms:created xsi:type="dcterms:W3CDTF">2024-05-15T20:26:00Z</dcterms:created>
  <dcterms:modified xsi:type="dcterms:W3CDTF">2024-05-15T21:21:00Z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