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3AB9876" w14:textId="5D526F71"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 xml:space="preserve">INFORME N° PR </w:t>
      </w:r>
      <w:r w:rsidR="002A50E6">
        <w:rPr>
          <w:rFonts w:asciiTheme="minorHAnsi" w:hAnsiTheme="minorHAnsi" w:cstheme="minorHAnsi"/>
          <w:sz w:val="32"/>
          <w:szCs w:val="28"/>
          <w:u w:val="single"/>
          <w:lang w:val="it-IT"/>
        </w:rPr>
        <w:t>-</w:t>
      </w:r>
      <w:r w:rsidR="005B53D4">
        <w:rPr>
          <w:rFonts w:asciiTheme="minorHAnsi" w:hAnsiTheme="minorHAnsi" w:cstheme="minorHAnsi"/>
          <w:sz w:val="32"/>
          <w:szCs w:val="28"/>
          <w:u w:val="single"/>
          <w:lang w:val="it-IT"/>
        </w:rPr>
        <w:t>1</w:t>
      </w:r>
      <w:r w:rsidR="00250238">
        <w:rPr>
          <w:rFonts w:asciiTheme="minorHAnsi" w:hAnsiTheme="minorHAnsi" w:cstheme="minorHAnsi"/>
          <w:sz w:val="32"/>
          <w:szCs w:val="28"/>
          <w:u w:val="single"/>
          <w:lang w:val="it-IT"/>
        </w:rPr>
        <w:t>1</w:t>
      </w:r>
      <w:r w:rsidRPr="00352B3A">
        <w:rPr>
          <w:rFonts w:asciiTheme="minorHAnsi" w:hAnsiTheme="minorHAnsi" w:cstheme="minorHAnsi"/>
          <w:sz w:val="32"/>
          <w:szCs w:val="28"/>
          <w:u w:val="single"/>
          <w:lang w:val="it-IT"/>
        </w:rPr>
        <w:t>-2023-DGN/GRT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458CADF9" w:rsidR="00AF270F" w:rsidRDefault="00AF270F" w:rsidP="00027D8A">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250238">
        <w:rPr>
          <w:rFonts w:asciiTheme="minorHAnsi" w:hAnsiTheme="minorHAnsi" w:cstheme="minorHAnsi"/>
          <w:b/>
          <w:bCs/>
          <w:sz w:val="28"/>
          <w:szCs w:val="28"/>
        </w:rPr>
        <w:t>13</w:t>
      </w:r>
      <w:r w:rsidR="00D13504" w:rsidRPr="00FB18F8">
        <w:rPr>
          <w:rFonts w:asciiTheme="minorHAnsi" w:hAnsiTheme="minorHAnsi" w:cstheme="minorHAnsi"/>
          <w:b/>
          <w:bCs/>
          <w:sz w:val="28"/>
          <w:szCs w:val="28"/>
        </w:rPr>
        <w:t>/</w:t>
      </w:r>
      <w:r w:rsidR="00C823A9">
        <w:rPr>
          <w:rFonts w:asciiTheme="minorHAnsi" w:hAnsiTheme="minorHAnsi" w:cstheme="minorHAnsi"/>
          <w:b/>
          <w:bCs/>
          <w:sz w:val="28"/>
          <w:szCs w:val="28"/>
        </w:rPr>
        <w:t>0</w:t>
      </w:r>
      <w:r w:rsidR="005B53D4">
        <w:rPr>
          <w:rFonts w:asciiTheme="minorHAnsi" w:hAnsiTheme="minorHAnsi" w:cstheme="minorHAnsi"/>
          <w:b/>
          <w:bCs/>
          <w:sz w:val="28"/>
          <w:szCs w:val="28"/>
        </w:rPr>
        <w:t>3</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981FBB">
        <w:rPr>
          <w:rFonts w:asciiTheme="minorHAnsi" w:hAnsiTheme="minorHAnsi" w:cstheme="minorHAnsi"/>
          <w:b/>
          <w:bCs/>
          <w:sz w:val="28"/>
          <w:szCs w:val="28"/>
        </w:rPr>
        <w:t>3</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bookmarkStart w:id="0" w:name="_GoBack"/>
      <w:bookmarkEnd w:id="0"/>
    </w:p>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77777777"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En la Gráfica N°1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GRAFICA N°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7B039DA3" w14:textId="6C9ECD04" w:rsidR="00E53D92" w:rsidRPr="002B3648" w:rsidRDefault="00670C8F" w:rsidP="002A55A4">
      <w:pPr>
        <w:pBdr>
          <w:top w:val="single" w:sz="4" w:space="1" w:color="auto"/>
          <w:bottom w:val="single" w:sz="4" w:space="1" w:color="auto"/>
        </w:pBdr>
        <w:tabs>
          <w:tab w:val="left" w:pos="284"/>
        </w:tabs>
        <w:ind w:left="142"/>
        <w:jc w:val="both"/>
        <w:rPr>
          <w:rFonts w:asciiTheme="minorHAnsi" w:hAnsiTheme="minorHAnsi" w:cstheme="minorHAnsi"/>
          <w:sz w:val="22"/>
          <w:szCs w:val="22"/>
        </w:rPr>
      </w:pPr>
      <w:r>
        <w:rPr>
          <w:rFonts w:asciiTheme="minorHAnsi" w:hAnsiTheme="minorHAnsi" w:cstheme="minorHAnsi"/>
          <w:noProof/>
          <w:sz w:val="22"/>
          <w:szCs w:val="22"/>
          <w:lang w:val="es-PE" w:eastAsia="es-PE"/>
        </w:rPr>
        <w:drawing>
          <wp:inline distT="0" distB="0" distL="0" distR="0" wp14:anchorId="6E3D51B4" wp14:editId="7C19E57B">
            <wp:extent cx="5422900" cy="3503656"/>
            <wp:effectExtent l="0" t="0" r="6350" b="190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37047" cy="3512796"/>
                    </a:xfrm>
                    <a:prstGeom prst="rect">
                      <a:avLst/>
                    </a:prstGeom>
                    <a:noFill/>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384966B8"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65F46842" w14:textId="77777777" w:rsidR="00973DE9" w:rsidRDefault="00973DE9" w:rsidP="00973DE9">
      <w:pPr>
        <w:jc w:val="both"/>
        <w:rPr>
          <w:rFonts w:asciiTheme="minorHAnsi" w:hAnsiTheme="minorHAnsi" w:cstheme="minorHAnsi"/>
          <w:sz w:val="22"/>
          <w:szCs w:val="22"/>
        </w:rPr>
      </w:pPr>
      <w:r>
        <w:rPr>
          <w:rFonts w:asciiTheme="minorHAnsi" w:hAnsiTheme="minorHAnsi" w:cstheme="minorHAnsi"/>
          <w:sz w:val="22"/>
          <w:szCs w:val="22"/>
        </w:rPr>
        <w:lastRenderedPageBreak/>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 variante Delta del Coronavirus, que retrasó, a nivel 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6C50A32F" w14:textId="77777777" w:rsidR="00973DE9" w:rsidRDefault="00973DE9" w:rsidP="00973DE9">
      <w:pPr>
        <w:jc w:val="both"/>
        <w:rPr>
          <w:rFonts w:asciiTheme="minorHAnsi" w:hAnsiTheme="minorHAnsi" w:cstheme="minorHAnsi"/>
          <w:sz w:val="22"/>
          <w:szCs w:val="22"/>
        </w:rPr>
      </w:pPr>
      <w:r>
        <w:rPr>
          <w:rFonts w:asciiTheme="minorHAnsi" w:hAnsiTheme="minorHAnsi" w:cstheme="minorHAnsi"/>
          <w:sz w:val="22"/>
          <w:szCs w:val="22"/>
        </w:rPr>
        <w:t xml:space="preserve">  </w:t>
      </w:r>
    </w:p>
    <w:p w14:paraId="08E44F05" w14:textId="77777777" w:rsidR="00250238" w:rsidRDefault="00250238" w:rsidP="00C5275D">
      <w:pPr>
        <w:jc w:val="both"/>
        <w:rPr>
          <w:rFonts w:asciiTheme="minorHAnsi" w:hAnsiTheme="minorHAnsi" w:cstheme="minorHAnsi"/>
          <w:sz w:val="22"/>
          <w:szCs w:val="22"/>
        </w:rPr>
      </w:pPr>
      <w:r w:rsidRPr="00250238">
        <w:rPr>
          <w:rFonts w:asciiTheme="minorHAnsi" w:hAnsiTheme="minorHAnsi" w:cstheme="minorHAnsi"/>
          <w:sz w:val="22"/>
          <w:szCs w:val="22"/>
        </w:rPr>
        <w:t xml:space="preserve">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el GLP y el Residual 3%. </w:t>
      </w:r>
    </w:p>
    <w:p w14:paraId="197DAF93" w14:textId="77777777" w:rsidR="00250238" w:rsidRDefault="00250238" w:rsidP="00C5275D">
      <w:pPr>
        <w:jc w:val="both"/>
        <w:rPr>
          <w:rFonts w:asciiTheme="minorHAnsi" w:hAnsiTheme="minorHAnsi" w:cstheme="minorHAnsi"/>
          <w:sz w:val="22"/>
          <w:szCs w:val="22"/>
        </w:rPr>
      </w:pPr>
    </w:p>
    <w:p w14:paraId="73F420EC" w14:textId="1F30D487" w:rsidR="00FA2319" w:rsidRDefault="00250238" w:rsidP="00C5275D">
      <w:pPr>
        <w:jc w:val="both"/>
        <w:rPr>
          <w:rFonts w:asciiTheme="minorHAnsi" w:hAnsiTheme="minorHAnsi" w:cstheme="minorHAnsi"/>
          <w:sz w:val="22"/>
          <w:szCs w:val="22"/>
        </w:rPr>
      </w:pPr>
      <w:r w:rsidRPr="00250238">
        <w:rPr>
          <w:rFonts w:asciiTheme="minorHAnsi" w:hAnsiTheme="minorHAnsi" w:cstheme="minorHAnsi"/>
          <w:sz w:val="22"/>
          <w:szCs w:val="22"/>
        </w:rPr>
        <w:t>Asimismo, al cierre de la última semana del periodo de evaluación, el precio del crudo WTI se ubicó en 75</w:t>
      </w:r>
      <w:r w:rsidR="0079059A">
        <w:rPr>
          <w:rFonts w:asciiTheme="minorHAnsi" w:hAnsiTheme="minorHAnsi" w:cstheme="minorHAnsi"/>
          <w:sz w:val="22"/>
          <w:szCs w:val="22"/>
        </w:rPr>
        <w:t>,</w:t>
      </w:r>
      <w:r w:rsidRPr="00250238">
        <w:rPr>
          <w:rFonts w:asciiTheme="minorHAnsi" w:hAnsiTheme="minorHAnsi" w:cstheme="minorHAnsi"/>
          <w:sz w:val="22"/>
          <w:szCs w:val="22"/>
        </w:rPr>
        <w:t>94 US$/</w:t>
      </w:r>
      <w:proofErr w:type="spellStart"/>
      <w:r w:rsidRPr="00250238">
        <w:rPr>
          <w:rFonts w:asciiTheme="minorHAnsi" w:hAnsiTheme="minorHAnsi" w:cstheme="minorHAnsi"/>
          <w:sz w:val="22"/>
          <w:szCs w:val="22"/>
        </w:rPr>
        <w:t>Bl</w:t>
      </w:r>
      <w:proofErr w:type="spellEnd"/>
      <w:r w:rsidRPr="00250238">
        <w:rPr>
          <w:rFonts w:asciiTheme="minorHAnsi" w:hAnsiTheme="minorHAnsi" w:cstheme="minorHAnsi"/>
          <w:sz w:val="22"/>
          <w:szCs w:val="22"/>
        </w:rPr>
        <w:t>, las gasolinas registraron un precio superior a 100 US$/</w:t>
      </w:r>
      <w:proofErr w:type="spellStart"/>
      <w:r w:rsidRPr="00250238">
        <w:rPr>
          <w:rFonts w:asciiTheme="minorHAnsi" w:hAnsiTheme="minorHAnsi" w:cstheme="minorHAnsi"/>
          <w:sz w:val="22"/>
          <w:szCs w:val="22"/>
        </w:rPr>
        <w:t>Bl</w:t>
      </w:r>
      <w:proofErr w:type="spellEnd"/>
      <w:r w:rsidRPr="00250238">
        <w:rPr>
          <w:rFonts w:asciiTheme="minorHAnsi" w:hAnsiTheme="minorHAnsi" w:cstheme="minorHAnsi"/>
          <w:sz w:val="22"/>
          <w:szCs w:val="22"/>
        </w:rPr>
        <w:t xml:space="preserve"> y los destilados medios registraron niveles por encima de los 115 US$/</w:t>
      </w:r>
      <w:proofErr w:type="spellStart"/>
      <w:r w:rsidRPr="00250238">
        <w:rPr>
          <w:rFonts w:asciiTheme="minorHAnsi" w:hAnsiTheme="minorHAnsi" w:cstheme="minorHAnsi"/>
          <w:sz w:val="22"/>
          <w:szCs w:val="22"/>
        </w:rPr>
        <w:t>Bl</w:t>
      </w:r>
      <w:proofErr w:type="spellEnd"/>
      <w:r w:rsidRPr="00250238">
        <w:rPr>
          <w:rFonts w:asciiTheme="minorHAnsi" w:hAnsiTheme="minorHAnsi" w:cstheme="minorHAnsi"/>
          <w:sz w:val="22"/>
          <w:szCs w:val="22"/>
        </w:rPr>
        <w:t>. Para el mismo periodo, el precio del GLP cerró la semana en 36</w:t>
      </w:r>
      <w:r w:rsidR="0079059A">
        <w:rPr>
          <w:rFonts w:asciiTheme="minorHAnsi" w:hAnsiTheme="minorHAnsi" w:cstheme="minorHAnsi"/>
          <w:sz w:val="22"/>
          <w:szCs w:val="22"/>
        </w:rPr>
        <w:t>,</w:t>
      </w:r>
      <w:r w:rsidRPr="00250238">
        <w:rPr>
          <w:rFonts w:asciiTheme="minorHAnsi" w:hAnsiTheme="minorHAnsi" w:cstheme="minorHAnsi"/>
          <w:sz w:val="22"/>
          <w:szCs w:val="22"/>
        </w:rPr>
        <w:t>53 US$/</w:t>
      </w:r>
      <w:proofErr w:type="spellStart"/>
      <w:r w:rsidRPr="00250238">
        <w:rPr>
          <w:rFonts w:asciiTheme="minorHAnsi" w:hAnsiTheme="minorHAnsi" w:cstheme="minorHAnsi"/>
          <w:sz w:val="22"/>
          <w:szCs w:val="22"/>
        </w:rPr>
        <w:t>Bl</w:t>
      </w:r>
      <w:proofErr w:type="spellEnd"/>
      <w:r w:rsidRPr="00250238">
        <w:rPr>
          <w:rFonts w:asciiTheme="minorHAnsi" w:hAnsiTheme="minorHAnsi" w:cstheme="minorHAnsi"/>
          <w:sz w:val="22"/>
          <w:szCs w:val="22"/>
        </w:rPr>
        <w:t>.</w:t>
      </w:r>
      <w:r w:rsidR="00277E11">
        <w:rPr>
          <w:rFonts w:asciiTheme="minorHAnsi" w:hAnsiTheme="minorHAnsi" w:cstheme="minorHAnsi"/>
          <w:sz w:val="22"/>
          <w:szCs w:val="22"/>
        </w:rPr>
        <w:t xml:space="preserve"> </w:t>
      </w:r>
    </w:p>
    <w:p w14:paraId="07D94F10" w14:textId="77777777" w:rsidR="00FA2319" w:rsidRDefault="00FA2319" w:rsidP="00C5275D">
      <w:pPr>
        <w:jc w:val="both"/>
        <w:rPr>
          <w:rFonts w:asciiTheme="minorHAnsi" w:hAnsiTheme="minorHAnsi" w:cstheme="minorHAnsi"/>
          <w:sz w:val="22"/>
          <w:szCs w:val="22"/>
        </w:rPr>
      </w:pPr>
    </w:p>
    <w:p w14:paraId="301BF1D1" w14:textId="1686D174" w:rsidR="00C5275D" w:rsidRDefault="007769B8" w:rsidP="00C5275D">
      <w:pPr>
        <w:jc w:val="both"/>
        <w:rPr>
          <w:rFonts w:asciiTheme="minorHAnsi" w:hAnsiTheme="minorHAnsi" w:cstheme="minorHAnsi"/>
          <w:sz w:val="22"/>
          <w:szCs w:val="22"/>
        </w:rPr>
      </w:pPr>
      <w:r>
        <w:rPr>
          <w:rFonts w:asciiTheme="minorHAnsi" w:hAnsiTheme="minorHAnsi" w:cstheme="minorHAnsi"/>
          <w:sz w:val="22"/>
          <w:szCs w:val="22"/>
        </w:rPr>
        <w:t>A</w:t>
      </w:r>
      <w:r w:rsidR="00C5275D" w:rsidRPr="00C5275D">
        <w:rPr>
          <w:rFonts w:asciiTheme="minorHAnsi" w:hAnsiTheme="minorHAnsi" w:cstheme="minorHAnsi"/>
          <w:sz w:val="22"/>
          <w:szCs w:val="22"/>
        </w:rPr>
        <w:t xml:space="preserve">l </w:t>
      </w:r>
      <w:r w:rsidR="0079059A" w:rsidRPr="0079059A">
        <w:rPr>
          <w:rFonts w:asciiTheme="minorHAnsi" w:hAnsiTheme="minorHAnsi" w:cstheme="minorHAnsi"/>
          <w:sz w:val="22"/>
          <w:szCs w:val="22"/>
        </w:rPr>
        <w:t>cierre de la última semana del periodo de evaluación, el precio del crudo WTI se ubicó en 75</w:t>
      </w:r>
      <w:r w:rsidR="0079059A">
        <w:rPr>
          <w:rFonts w:asciiTheme="minorHAnsi" w:hAnsiTheme="minorHAnsi" w:cstheme="minorHAnsi"/>
          <w:sz w:val="22"/>
          <w:szCs w:val="22"/>
        </w:rPr>
        <w:t>,</w:t>
      </w:r>
      <w:r w:rsidR="0079059A" w:rsidRPr="0079059A">
        <w:rPr>
          <w:rFonts w:asciiTheme="minorHAnsi" w:hAnsiTheme="minorHAnsi" w:cstheme="minorHAnsi"/>
          <w:sz w:val="22"/>
          <w:szCs w:val="22"/>
        </w:rPr>
        <w:t>94 US$/</w:t>
      </w:r>
      <w:proofErr w:type="spellStart"/>
      <w:r w:rsidR="0079059A" w:rsidRPr="0079059A">
        <w:rPr>
          <w:rFonts w:asciiTheme="minorHAnsi" w:hAnsiTheme="minorHAnsi" w:cstheme="minorHAnsi"/>
          <w:sz w:val="22"/>
          <w:szCs w:val="22"/>
        </w:rPr>
        <w:t>Bl</w:t>
      </w:r>
      <w:proofErr w:type="spellEnd"/>
      <w:r w:rsidR="0079059A" w:rsidRPr="0079059A">
        <w:rPr>
          <w:rFonts w:asciiTheme="minorHAnsi" w:hAnsiTheme="minorHAnsi" w:cstheme="minorHAnsi"/>
          <w:sz w:val="22"/>
          <w:szCs w:val="22"/>
        </w:rPr>
        <w:t>, las gasolinas registraron un precio superior a 100 US$/</w:t>
      </w:r>
      <w:proofErr w:type="spellStart"/>
      <w:r w:rsidR="0079059A" w:rsidRPr="0079059A">
        <w:rPr>
          <w:rFonts w:asciiTheme="minorHAnsi" w:hAnsiTheme="minorHAnsi" w:cstheme="minorHAnsi"/>
          <w:sz w:val="22"/>
          <w:szCs w:val="22"/>
        </w:rPr>
        <w:t>Bl</w:t>
      </w:r>
      <w:proofErr w:type="spellEnd"/>
      <w:r w:rsidR="0079059A" w:rsidRPr="0079059A">
        <w:rPr>
          <w:rFonts w:asciiTheme="minorHAnsi" w:hAnsiTheme="minorHAnsi" w:cstheme="minorHAnsi"/>
          <w:sz w:val="22"/>
          <w:szCs w:val="22"/>
        </w:rPr>
        <w:t xml:space="preserve"> y los destilados medios registraron niveles por encima de los 115 US$/</w:t>
      </w:r>
      <w:proofErr w:type="spellStart"/>
      <w:r w:rsidR="0079059A" w:rsidRPr="0079059A">
        <w:rPr>
          <w:rFonts w:asciiTheme="minorHAnsi" w:hAnsiTheme="minorHAnsi" w:cstheme="minorHAnsi"/>
          <w:sz w:val="22"/>
          <w:szCs w:val="22"/>
        </w:rPr>
        <w:t>Bl</w:t>
      </w:r>
      <w:proofErr w:type="spellEnd"/>
      <w:r w:rsidR="0079059A" w:rsidRPr="0079059A">
        <w:rPr>
          <w:rFonts w:asciiTheme="minorHAnsi" w:hAnsiTheme="minorHAnsi" w:cstheme="minorHAnsi"/>
          <w:sz w:val="22"/>
          <w:szCs w:val="22"/>
        </w:rPr>
        <w:t>. Para el mismo periodo, el precio del GLP cerró la semana en 36</w:t>
      </w:r>
      <w:r w:rsidR="0079059A">
        <w:rPr>
          <w:rFonts w:asciiTheme="minorHAnsi" w:hAnsiTheme="minorHAnsi" w:cstheme="minorHAnsi"/>
          <w:sz w:val="22"/>
          <w:szCs w:val="22"/>
        </w:rPr>
        <w:t>,</w:t>
      </w:r>
      <w:r w:rsidR="0079059A" w:rsidRPr="0079059A">
        <w:rPr>
          <w:rFonts w:asciiTheme="minorHAnsi" w:hAnsiTheme="minorHAnsi" w:cstheme="minorHAnsi"/>
          <w:sz w:val="22"/>
          <w:szCs w:val="22"/>
        </w:rPr>
        <w:t>53 US$/</w:t>
      </w:r>
      <w:proofErr w:type="spellStart"/>
      <w:r w:rsidR="0079059A" w:rsidRPr="0079059A">
        <w:rPr>
          <w:rFonts w:asciiTheme="minorHAnsi" w:hAnsiTheme="minorHAnsi" w:cstheme="minorHAnsi"/>
          <w:sz w:val="22"/>
          <w:szCs w:val="22"/>
        </w:rPr>
        <w:t>Bl</w:t>
      </w:r>
      <w:proofErr w:type="spellEnd"/>
      <w:r w:rsidR="00C5275D" w:rsidRPr="00C5275D">
        <w:rPr>
          <w:rFonts w:asciiTheme="minorHAnsi" w:hAnsiTheme="minorHAnsi" w:cstheme="minorHAnsi"/>
          <w:sz w:val="22"/>
          <w:szCs w:val="22"/>
        </w:rPr>
        <w:t>.</w:t>
      </w:r>
    </w:p>
    <w:p w14:paraId="36A818AD" w14:textId="77777777" w:rsidR="00C5275D" w:rsidRDefault="00C5275D" w:rsidP="00277E11">
      <w:pPr>
        <w:jc w:val="both"/>
        <w:rPr>
          <w:rFonts w:asciiTheme="minorHAnsi" w:hAnsiTheme="minorHAnsi" w:cstheme="minorHAnsi"/>
          <w:sz w:val="22"/>
          <w:szCs w:val="22"/>
        </w:rPr>
      </w:pPr>
    </w:p>
    <w:p w14:paraId="2E6D5F31" w14:textId="77777777" w:rsidR="0079059A" w:rsidRDefault="0079059A" w:rsidP="0079059A">
      <w:pPr>
        <w:jc w:val="both"/>
        <w:rPr>
          <w:rFonts w:asciiTheme="minorHAnsi" w:hAnsiTheme="minorHAnsi" w:cstheme="minorHAnsi"/>
          <w:bCs/>
          <w:sz w:val="22"/>
          <w:szCs w:val="22"/>
        </w:rPr>
      </w:pPr>
      <w:r w:rsidRPr="00431A8E">
        <w:rPr>
          <w:rFonts w:asciiTheme="minorHAnsi" w:hAnsiTheme="minorHAnsi" w:cstheme="minorHAnsi"/>
          <w:sz w:val="22"/>
          <w:szCs w:val="22"/>
        </w:rPr>
        <w:t xml:space="preserve">En las semanas del </w:t>
      </w:r>
      <w:r>
        <w:rPr>
          <w:rFonts w:asciiTheme="minorHAnsi" w:hAnsiTheme="minorHAnsi" w:cstheme="minorHAnsi"/>
          <w:sz w:val="22"/>
          <w:szCs w:val="22"/>
        </w:rPr>
        <w:t>24</w:t>
      </w:r>
      <w:r w:rsidRPr="00431A8E">
        <w:rPr>
          <w:rFonts w:asciiTheme="minorHAnsi" w:hAnsiTheme="minorHAnsi" w:cstheme="minorHAnsi"/>
          <w:sz w:val="22"/>
          <w:szCs w:val="22"/>
        </w:rPr>
        <w:t>.</w:t>
      </w:r>
      <w:r>
        <w:rPr>
          <w:rFonts w:asciiTheme="minorHAnsi" w:hAnsiTheme="minorHAnsi" w:cstheme="minorHAnsi"/>
          <w:sz w:val="22"/>
          <w:szCs w:val="22"/>
        </w:rPr>
        <w:t>02</w:t>
      </w:r>
      <w:r w:rsidRPr="00431A8E">
        <w:rPr>
          <w:rFonts w:asciiTheme="minorHAnsi" w:hAnsiTheme="minorHAnsi" w:cstheme="minorHAnsi"/>
          <w:sz w:val="22"/>
          <w:szCs w:val="22"/>
        </w:rPr>
        <w:t>.202</w:t>
      </w:r>
      <w:r>
        <w:rPr>
          <w:rFonts w:asciiTheme="minorHAnsi" w:hAnsiTheme="minorHAnsi" w:cstheme="minorHAnsi"/>
          <w:sz w:val="22"/>
          <w:szCs w:val="22"/>
        </w:rPr>
        <w:t>3</w:t>
      </w:r>
      <w:r w:rsidRPr="00431A8E">
        <w:rPr>
          <w:rFonts w:asciiTheme="minorHAnsi" w:hAnsiTheme="minorHAnsi" w:cstheme="minorHAnsi"/>
          <w:sz w:val="22"/>
          <w:szCs w:val="22"/>
        </w:rPr>
        <w:t xml:space="preserve"> al </w:t>
      </w:r>
      <w:r>
        <w:rPr>
          <w:rFonts w:asciiTheme="minorHAnsi" w:hAnsiTheme="minorHAnsi" w:cstheme="minorHAnsi"/>
          <w:sz w:val="22"/>
          <w:szCs w:val="22"/>
        </w:rPr>
        <w:t>10</w:t>
      </w:r>
      <w:r w:rsidRPr="00431A8E">
        <w:rPr>
          <w:rFonts w:asciiTheme="minorHAnsi" w:hAnsiTheme="minorHAnsi" w:cstheme="minorHAnsi"/>
          <w:sz w:val="22"/>
          <w:szCs w:val="22"/>
        </w:rPr>
        <w:t>.0</w:t>
      </w:r>
      <w:r>
        <w:rPr>
          <w:rFonts w:asciiTheme="minorHAnsi" w:hAnsiTheme="minorHAnsi" w:cstheme="minorHAnsi"/>
          <w:sz w:val="22"/>
          <w:szCs w:val="22"/>
        </w:rPr>
        <w:t>3</w:t>
      </w:r>
      <w:r w:rsidRPr="00431A8E">
        <w:rPr>
          <w:rFonts w:asciiTheme="minorHAnsi" w:hAnsiTheme="minorHAnsi" w:cstheme="minorHAnsi"/>
          <w:sz w:val="22"/>
          <w:szCs w:val="22"/>
        </w:rPr>
        <w:t>.202</w:t>
      </w:r>
      <w:r>
        <w:rPr>
          <w:rFonts w:asciiTheme="minorHAnsi" w:hAnsiTheme="minorHAnsi" w:cstheme="minorHAnsi"/>
          <w:sz w:val="22"/>
          <w:szCs w:val="22"/>
        </w:rPr>
        <w:t>3</w:t>
      </w:r>
      <w:r w:rsidRPr="00431A8E">
        <w:rPr>
          <w:rFonts w:asciiTheme="minorHAnsi" w:hAnsiTheme="minorHAnsi" w:cstheme="minorHAnsi"/>
          <w:sz w:val="22"/>
          <w:szCs w:val="22"/>
        </w:rPr>
        <w:t>, los principales factores que incidieron en la variación de los precios del petróleo crudo y combustibles fueron los siguientes:</w:t>
      </w:r>
    </w:p>
    <w:p w14:paraId="34E9B983" w14:textId="77777777" w:rsidR="0079059A" w:rsidRPr="00702238" w:rsidRDefault="0079059A" w:rsidP="0079059A">
      <w:pPr>
        <w:ind w:left="709"/>
        <w:rPr>
          <w:rFonts w:asciiTheme="minorHAnsi" w:hAnsiTheme="minorHAnsi" w:cstheme="minorHAnsi"/>
          <w:bCs/>
          <w:sz w:val="22"/>
          <w:szCs w:val="22"/>
        </w:rPr>
      </w:pPr>
    </w:p>
    <w:p w14:paraId="057EA0D9" w14:textId="77777777" w:rsidR="0079059A" w:rsidRPr="0089702E" w:rsidRDefault="0079059A" w:rsidP="0079059A">
      <w:pPr>
        <w:pStyle w:val="Prrafodelista"/>
        <w:numPr>
          <w:ilvl w:val="0"/>
          <w:numId w:val="13"/>
        </w:numPr>
        <w:ind w:left="426"/>
        <w:contextualSpacing/>
        <w:jc w:val="both"/>
        <w:rPr>
          <w:rFonts w:asciiTheme="minorHAnsi" w:hAnsiTheme="minorHAnsi" w:cstheme="minorHAnsi"/>
          <w:b/>
          <w:sz w:val="22"/>
          <w:szCs w:val="22"/>
        </w:rPr>
      </w:pPr>
      <w:r w:rsidRPr="0089702E">
        <w:rPr>
          <w:rFonts w:asciiTheme="minorHAnsi" w:hAnsiTheme="minorHAnsi" w:cstheme="minorHAnsi"/>
          <w:b/>
          <w:sz w:val="22"/>
          <w:szCs w:val="22"/>
        </w:rPr>
        <w:t>La disminución de los inventarios de crudo, propano y gasolinas; así como el aumento de las existencias de destilados, al 03 de marzo del 2023.</w:t>
      </w:r>
    </w:p>
    <w:p w14:paraId="65ED5888" w14:textId="77777777" w:rsidR="0079059A" w:rsidRPr="0089702E" w:rsidRDefault="0079059A" w:rsidP="0079059A">
      <w:pPr>
        <w:pStyle w:val="Prrafodelista"/>
        <w:ind w:left="426"/>
        <w:jc w:val="both"/>
        <w:rPr>
          <w:rFonts w:asciiTheme="minorHAnsi" w:hAnsiTheme="minorHAnsi" w:cstheme="minorHAnsi"/>
          <w:sz w:val="22"/>
          <w:szCs w:val="22"/>
        </w:rPr>
      </w:pPr>
    </w:p>
    <w:p w14:paraId="5D6A3FFB" w14:textId="77777777" w:rsidR="0079059A" w:rsidRPr="0089702E" w:rsidRDefault="0079059A" w:rsidP="0079059A">
      <w:pPr>
        <w:pStyle w:val="Prrafodelista"/>
        <w:ind w:left="426"/>
        <w:jc w:val="both"/>
        <w:rPr>
          <w:rFonts w:asciiTheme="minorHAnsi" w:hAnsiTheme="minorHAnsi" w:cstheme="minorHAnsi"/>
          <w:sz w:val="22"/>
          <w:szCs w:val="22"/>
        </w:rPr>
      </w:pPr>
      <w:r w:rsidRPr="0089702E">
        <w:rPr>
          <w:rFonts w:asciiTheme="minorHAnsi" w:hAnsiTheme="minorHAnsi" w:cstheme="minorHAnsi"/>
          <w:sz w:val="22"/>
          <w:szCs w:val="22"/>
        </w:rPr>
        <w:t>Los inventarios de petróleo en Estados Unidos cayeron en 1,7 millones barriles, ubicándose en un +7% por encima de la media de los últimos 5 años, lo que representa 478,5 millones de barriles.</w:t>
      </w:r>
    </w:p>
    <w:p w14:paraId="50257393" w14:textId="77777777" w:rsidR="0079059A" w:rsidRPr="0089702E" w:rsidRDefault="0079059A" w:rsidP="0079059A">
      <w:pPr>
        <w:pStyle w:val="Prrafodelista"/>
        <w:ind w:left="426"/>
        <w:jc w:val="both"/>
        <w:rPr>
          <w:rFonts w:asciiTheme="minorHAnsi" w:hAnsiTheme="minorHAnsi" w:cstheme="minorHAnsi"/>
          <w:sz w:val="22"/>
          <w:szCs w:val="22"/>
        </w:rPr>
      </w:pPr>
    </w:p>
    <w:p w14:paraId="47CF9DC0" w14:textId="77777777" w:rsidR="0079059A" w:rsidRPr="0089702E" w:rsidRDefault="0079059A" w:rsidP="0079059A">
      <w:pPr>
        <w:pStyle w:val="Prrafodelista"/>
        <w:ind w:left="426"/>
        <w:jc w:val="both"/>
        <w:rPr>
          <w:rFonts w:asciiTheme="minorHAnsi" w:hAnsiTheme="minorHAnsi" w:cstheme="minorHAnsi"/>
          <w:sz w:val="22"/>
          <w:szCs w:val="22"/>
        </w:rPr>
      </w:pPr>
      <w:r w:rsidRPr="0089702E">
        <w:rPr>
          <w:rFonts w:asciiTheme="minorHAnsi" w:hAnsiTheme="minorHAnsi" w:cstheme="minorHAnsi"/>
          <w:sz w:val="22"/>
          <w:szCs w:val="22"/>
        </w:rPr>
        <w:t>Los inventarios en WTI Cushing bajaron en 0,9 millones de barriles la semana pasada, hacía un total de 39,8 millones de barriles. Las existencias de gasolina se redujeron en 1,1 millones de barriles, reportando un total de 238,1 millones de barriles; mientras los inventarios de destilados, que incluyen al diésel y al combustible para calefacción, aumentaron 0,2 millones de barriles, con un total de 122,3 millones de barriles. Finalmente, las existencias de propano disminuyeron 0,54 millones de barriles, ubicándose en los 60.05 millones de barriles.</w:t>
      </w:r>
    </w:p>
    <w:p w14:paraId="02E3B64E" w14:textId="77777777" w:rsidR="0079059A" w:rsidRPr="0089702E" w:rsidRDefault="0079059A" w:rsidP="0079059A">
      <w:pPr>
        <w:pStyle w:val="Prrafodelista"/>
        <w:ind w:left="426"/>
        <w:jc w:val="both"/>
        <w:rPr>
          <w:rFonts w:asciiTheme="minorHAnsi" w:hAnsiTheme="minorHAnsi" w:cstheme="minorHAnsi"/>
          <w:sz w:val="22"/>
          <w:szCs w:val="22"/>
        </w:rPr>
      </w:pPr>
    </w:p>
    <w:p w14:paraId="74D582DC" w14:textId="77777777" w:rsidR="0079059A" w:rsidRPr="0089702E" w:rsidRDefault="0079059A" w:rsidP="0079059A">
      <w:pPr>
        <w:pStyle w:val="Prrafodelista"/>
        <w:numPr>
          <w:ilvl w:val="0"/>
          <w:numId w:val="13"/>
        </w:numPr>
        <w:ind w:left="426"/>
        <w:contextualSpacing/>
        <w:jc w:val="both"/>
        <w:rPr>
          <w:rFonts w:asciiTheme="minorHAnsi" w:hAnsiTheme="minorHAnsi" w:cstheme="minorHAnsi"/>
          <w:b/>
          <w:bCs/>
          <w:sz w:val="22"/>
          <w:szCs w:val="22"/>
        </w:rPr>
      </w:pPr>
      <w:r w:rsidRPr="0089702E">
        <w:rPr>
          <w:rFonts w:asciiTheme="minorHAnsi" w:hAnsiTheme="minorHAnsi" w:cstheme="minorHAnsi"/>
          <w:b/>
          <w:bCs/>
          <w:sz w:val="22"/>
          <w:szCs w:val="22"/>
        </w:rPr>
        <w:t>Las crecientes expectativas de subidas de las tasas de interés de parte de la FED.</w:t>
      </w:r>
    </w:p>
    <w:p w14:paraId="3E0A186D" w14:textId="77777777" w:rsidR="0079059A" w:rsidRPr="0089702E" w:rsidRDefault="0079059A" w:rsidP="0079059A">
      <w:pPr>
        <w:pStyle w:val="Prrafodelista"/>
        <w:ind w:left="426"/>
        <w:jc w:val="both"/>
        <w:rPr>
          <w:rFonts w:asciiTheme="minorHAnsi" w:hAnsiTheme="minorHAnsi" w:cstheme="minorHAnsi"/>
          <w:sz w:val="22"/>
          <w:szCs w:val="22"/>
        </w:rPr>
      </w:pPr>
      <w:r w:rsidRPr="0089702E">
        <w:rPr>
          <w:rFonts w:asciiTheme="minorHAnsi" w:hAnsiTheme="minorHAnsi" w:cstheme="minorHAnsi"/>
          <w:sz w:val="22"/>
          <w:szCs w:val="22"/>
        </w:rPr>
        <w:br/>
        <w:t>La perspectiva de nuevas subidas de tipos de interés continúa, asimismo, pesando sobre las previsiones de demanda de petróleo, según los analistas. En las pasadas dos jornadas, el crudo acumuló una caída cercana al 5 % por los temores a una posible recesión como consecuencia de la política monetaria de la Reserva Federal (</w:t>
      </w:r>
      <w:proofErr w:type="spellStart"/>
      <w:r w:rsidRPr="0089702E">
        <w:rPr>
          <w:rFonts w:asciiTheme="minorHAnsi" w:hAnsiTheme="minorHAnsi" w:cstheme="minorHAnsi"/>
          <w:sz w:val="22"/>
          <w:szCs w:val="22"/>
        </w:rPr>
        <w:t>Fed</w:t>
      </w:r>
      <w:proofErr w:type="spellEnd"/>
      <w:r w:rsidRPr="0089702E">
        <w:rPr>
          <w:rFonts w:asciiTheme="minorHAnsi" w:hAnsiTheme="minorHAnsi" w:cstheme="minorHAnsi"/>
          <w:sz w:val="22"/>
          <w:szCs w:val="22"/>
        </w:rPr>
        <w:t>). El testimonio del presidente del banco central, Jerome Powell, ante el Senado esta semana impulsó la posibilidad de aumentos más agresivos de las tasas de interés por parte del banco central, lo que podría conducir a una recesión.</w:t>
      </w:r>
    </w:p>
    <w:p w14:paraId="2457EABC" w14:textId="77777777" w:rsidR="0079059A" w:rsidRPr="0089702E" w:rsidRDefault="0079059A" w:rsidP="0079059A">
      <w:pPr>
        <w:pStyle w:val="Prrafodelista"/>
        <w:ind w:left="426"/>
        <w:jc w:val="both"/>
        <w:rPr>
          <w:rFonts w:asciiTheme="minorHAnsi" w:hAnsiTheme="minorHAnsi" w:cstheme="minorHAnsi"/>
          <w:sz w:val="22"/>
          <w:szCs w:val="22"/>
        </w:rPr>
      </w:pPr>
    </w:p>
    <w:p w14:paraId="5BD4FFAB" w14:textId="77777777" w:rsidR="0079059A" w:rsidRPr="0089702E" w:rsidRDefault="0079059A" w:rsidP="0079059A">
      <w:pPr>
        <w:pStyle w:val="Prrafodelista"/>
        <w:ind w:left="426"/>
        <w:jc w:val="both"/>
        <w:rPr>
          <w:rFonts w:asciiTheme="minorHAnsi" w:hAnsiTheme="minorHAnsi" w:cstheme="minorHAnsi"/>
          <w:sz w:val="22"/>
          <w:szCs w:val="22"/>
        </w:rPr>
      </w:pPr>
      <w:r w:rsidRPr="0089702E">
        <w:rPr>
          <w:rFonts w:asciiTheme="minorHAnsi" w:hAnsiTheme="minorHAnsi" w:cstheme="minorHAnsi"/>
          <w:sz w:val="22"/>
          <w:szCs w:val="22"/>
        </w:rPr>
        <w:lastRenderedPageBreak/>
        <w:t>El precio del crudo de referencia en Estados Unidos, que la semana pasada subió un 4 % animado por la recuperación de China tras las severas medidas de seguridad contra la propagación de la covid-19, cayó en reacción a las palabras de Powell.</w:t>
      </w:r>
    </w:p>
    <w:p w14:paraId="15612701" w14:textId="77777777" w:rsidR="0079059A" w:rsidRPr="0089702E" w:rsidRDefault="0079059A" w:rsidP="0079059A">
      <w:pPr>
        <w:pStyle w:val="Prrafodelista"/>
        <w:ind w:left="426"/>
        <w:jc w:val="both"/>
        <w:rPr>
          <w:rFonts w:asciiTheme="minorHAnsi" w:hAnsiTheme="minorHAnsi" w:cstheme="minorHAnsi"/>
          <w:sz w:val="22"/>
          <w:szCs w:val="22"/>
        </w:rPr>
      </w:pPr>
    </w:p>
    <w:p w14:paraId="4B2209B6" w14:textId="77777777" w:rsidR="0079059A" w:rsidRPr="0089702E" w:rsidRDefault="0079059A" w:rsidP="0079059A">
      <w:pPr>
        <w:pStyle w:val="Prrafodelista"/>
        <w:numPr>
          <w:ilvl w:val="0"/>
          <w:numId w:val="13"/>
        </w:numPr>
        <w:ind w:left="426"/>
        <w:contextualSpacing/>
        <w:jc w:val="both"/>
        <w:rPr>
          <w:rFonts w:asciiTheme="minorHAnsi" w:hAnsiTheme="minorHAnsi" w:cstheme="minorHAnsi"/>
          <w:b/>
          <w:bCs/>
          <w:sz w:val="22"/>
          <w:szCs w:val="22"/>
        </w:rPr>
      </w:pPr>
      <w:r w:rsidRPr="0089702E">
        <w:rPr>
          <w:rFonts w:asciiTheme="minorHAnsi" w:hAnsiTheme="minorHAnsi" w:cstheme="minorHAnsi"/>
          <w:b/>
          <w:bCs/>
          <w:sz w:val="22"/>
          <w:szCs w:val="22"/>
        </w:rPr>
        <w:t>Previsiones sobre el crecimiento económico de China, luego de la eliminación de las estrictas restricciones por el COVID</w:t>
      </w:r>
    </w:p>
    <w:p w14:paraId="73DB555E" w14:textId="77777777" w:rsidR="0079059A" w:rsidRPr="0089702E" w:rsidRDefault="0079059A" w:rsidP="0079059A">
      <w:pPr>
        <w:jc w:val="both"/>
        <w:rPr>
          <w:rFonts w:asciiTheme="minorHAnsi" w:hAnsiTheme="minorHAnsi" w:cstheme="minorHAnsi"/>
          <w:b/>
          <w:bCs/>
          <w:sz w:val="22"/>
          <w:szCs w:val="22"/>
        </w:rPr>
      </w:pPr>
    </w:p>
    <w:p w14:paraId="4066F793" w14:textId="77777777" w:rsidR="0079059A" w:rsidRPr="0089702E" w:rsidRDefault="0079059A" w:rsidP="0079059A">
      <w:pPr>
        <w:pStyle w:val="Prrafodelista"/>
        <w:ind w:left="426"/>
        <w:jc w:val="both"/>
        <w:rPr>
          <w:rFonts w:asciiTheme="minorHAnsi" w:hAnsiTheme="minorHAnsi" w:cstheme="minorHAnsi"/>
          <w:sz w:val="22"/>
          <w:szCs w:val="22"/>
        </w:rPr>
      </w:pPr>
      <w:r w:rsidRPr="0089702E">
        <w:rPr>
          <w:rFonts w:asciiTheme="minorHAnsi" w:hAnsiTheme="minorHAnsi" w:cstheme="minorHAnsi"/>
          <w:sz w:val="22"/>
          <w:szCs w:val="22"/>
        </w:rPr>
        <w:t xml:space="preserve">El crudo estadounidense comenzó la jornada a la baja después de que el primer ministro de China, Li </w:t>
      </w:r>
      <w:proofErr w:type="spellStart"/>
      <w:r w:rsidRPr="0089702E">
        <w:rPr>
          <w:rFonts w:asciiTheme="minorHAnsi" w:hAnsiTheme="minorHAnsi" w:cstheme="minorHAnsi"/>
          <w:sz w:val="22"/>
          <w:szCs w:val="22"/>
        </w:rPr>
        <w:t>Keqiang</w:t>
      </w:r>
      <w:proofErr w:type="spellEnd"/>
      <w:r w:rsidRPr="0089702E">
        <w:rPr>
          <w:rFonts w:asciiTheme="minorHAnsi" w:hAnsiTheme="minorHAnsi" w:cstheme="minorHAnsi"/>
          <w:sz w:val="22"/>
          <w:szCs w:val="22"/>
        </w:rPr>
        <w:t>, anunciara el domingo 5 un objetivo de crecimiento económico de en torno a un 5 % para 2023, que los analistas de EE.UU. consideraron bajo.</w:t>
      </w:r>
    </w:p>
    <w:p w14:paraId="4934A921" w14:textId="77777777" w:rsidR="0079059A" w:rsidRPr="0089702E" w:rsidRDefault="0079059A" w:rsidP="0079059A">
      <w:pPr>
        <w:pStyle w:val="Prrafodelista"/>
        <w:ind w:left="426"/>
        <w:jc w:val="both"/>
        <w:rPr>
          <w:rFonts w:asciiTheme="minorHAnsi" w:hAnsiTheme="minorHAnsi" w:cstheme="minorHAnsi"/>
          <w:sz w:val="22"/>
          <w:szCs w:val="22"/>
        </w:rPr>
      </w:pPr>
    </w:p>
    <w:p w14:paraId="044931F5" w14:textId="77777777" w:rsidR="0079059A" w:rsidRPr="0089702E" w:rsidRDefault="0079059A" w:rsidP="0079059A">
      <w:pPr>
        <w:pStyle w:val="Prrafodelista"/>
        <w:ind w:left="426"/>
        <w:jc w:val="both"/>
        <w:rPr>
          <w:rFonts w:asciiTheme="minorHAnsi" w:hAnsiTheme="minorHAnsi" w:cstheme="minorHAnsi"/>
          <w:sz w:val="22"/>
          <w:szCs w:val="22"/>
        </w:rPr>
      </w:pPr>
      <w:r w:rsidRPr="0089702E">
        <w:rPr>
          <w:rFonts w:asciiTheme="minorHAnsi" w:hAnsiTheme="minorHAnsi" w:cstheme="minorHAnsi"/>
          <w:sz w:val="22"/>
          <w:szCs w:val="22"/>
        </w:rPr>
        <w:t xml:space="preserve">La meta sigue la línea de lo establecido el año pasado -entre un 5 y un 5,5 %-, aunque finalmente China creció un 3 % tras las duras restricciones de su política de 'cero </w:t>
      </w:r>
      <w:proofErr w:type="spellStart"/>
      <w:r w:rsidRPr="0089702E">
        <w:rPr>
          <w:rFonts w:asciiTheme="minorHAnsi" w:hAnsiTheme="minorHAnsi" w:cstheme="minorHAnsi"/>
          <w:sz w:val="22"/>
          <w:szCs w:val="22"/>
        </w:rPr>
        <w:t>covid</w:t>
      </w:r>
      <w:proofErr w:type="spellEnd"/>
      <w:r w:rsidRPr="0089702E">
        <w:rPr>
          <w:rFonts w:asciiTheme="minorHAnsi" w:hAnsiTheme="minorHAnsi" w:cstheme="minorHAnsi"/>
          <w:sz w:val="22"/>
          <w:szCs w:val="22"/>
        </w:rPr>
        <w:t>' ante las peores olas de contagios.</w:t>
      </w:r>
    </w:p>
    <w:p w14:paraId="070E24C0" w14:textId="77777777" w:rsidR="0079059A" w:rsidRPr="0089702E" w:rsidRDefault="0079059A" w:rsidP="0079059A">
      <w:pPr>
        <w:pStyle w:val="Prrafodelista"/>
        <w:ind w:left="426"/>
        <w:jc w:val="both"/>
        <w:rPr>
          <w:rFonts w:asciiTheme="minorHAnsi" w:hAnsiTheme="minorHAnsi" w:cstheme="minorHAnsi"/>
          <w:sz w:val="22"/>
          <w:szCs w:val="22"/>
        </w:rPr>
      </w:pPr>
    </w:p>
    <w:p w14:paraId="44A49BB0" w14:textId="77777777" w:rsidR="0079059A" w:rsidRPr="0089702E" w:rsidRDefault="0079059A" w:rsidP="0079059A">
      <w:pPr>
        <w:pStyle w:val="Prrafodelista"/>
        <w:numPr>
          <w:ilvl w:val="0"/>
          <w:numId w:val="13"/>
        </w:numPr>
        <w:ind w:left="426"/>
        <w:contextualSpacing/>
        <w:jc w:val="both"/>
        <w:rPr>
          <w:rFonts w:asciiTheme="minorHAnsi" w:hAnsiTheme="minorHAnsi" w:cstheme="minorHAnsi"/>
          <w:b/>
          <w:bCs/>
          <w:sz w:val="22"/>
          <w:szCs w:val="22"/>
        </w:rPr>
      </w:pPr>
      <w:r w:rsidRPr="0089702E">
        <w:rPr>
          <w:rFonts w:asciiTheme="minorHAnsi" w:hAnsiTheme="minorHAnsi" w:cstheme="minorHAnsi"/>
          <w:b/>
          <w:bCs/>
          <w:sz w:val="22"/>
          <w:szCs w:val="22"/>
        </w:rPr>
        <w:t>Previsiones de la producción rusa y del crecimiento de Estados Unidos y Europa</w:t>
      </w:r>
    </w:p>
    <w:p w14:paraId="79F582C7" w14:textId="1CEAF994" w:rsidR="0079059A" w:rsidRDefault="0079059A" w:rsidP="0079059A">
      <w:pPr>
        <w:pStyle w:val="Prrafodelista"/>
        <w:ind w:left="426"/>
        <w:jc w:val="both"/>
        <w:rPr>
          <w:rFonts w:asciiTheme="minorHAnsi" w:hAnsiTheme="minorHAnsi" w:cstheme="minorHAnsi"/>
          <w:sz w:val="22"/>
          <w:szCs w:val="22"/>
        </w:rPr>
      </w:pPr>
      <w:r w:rsidRPr="0089702E">
        <w:rPr>
          <w:rFonts w:asciiTheme="minorHAnsi" w:hAnsiTheme="minorHAnsi" w:cstheme="minorHAnsi"/>
          <w:sz w:val="22"/>
          <w:szCs w:val="22"/>
        </w:rPr>
        <w:t>El banco Barclays recortó sus previsiones de precios del petróleo para 2023, debido en parte a una producción de Rusia más resistente de lo esperado, diciendo que el mercado podría entrar en déficit en la segunda mitad del año debido a la creciente demanda de China. Barclays recortó sus proyecciones para el precio promedio del petróleo Brent en 2023 a 92,00 dólares por barril, desde los 98,00 dólares.</w:t>
      </w:r>
    </w:p>
    <w:p w14:paraId="7D757110" w14:textId="77777777" w:rsidR="00AF5121" w:rsidRPr="0089702E" w:rsidRDefault="00AF5121" w:rsidP="0079059A">
      <w:pPr>
        <w:pStyle w:val="Prrafodelista"/>
        <w:ind w:left="426"/>
        <w:jc w:val="both"/>
        <w:rPr>
          <w:rFonts w:asciiTheme="minorHAnsi" w:hAnsiTheme="minorHAnsi" w:cstheme="minorHAnsi"/>
          <w:sz w:val="22"/>
          <w:szCs w:val="22"/>
        </w:rPr>
      </w:pPr>
    </w:p>
    <w:p w14:paraId="5AA7164F" w14:textId="4E46810D" w:rsidR="0079059A" w:rsidRPr="0089702E" w:rsidRDefault="0079059A" w:rsidP="0079059A">
      <w:pPr>
        <w:pStyle w:val="Prrafodelista"/>
        <w:ind w:left="426"/>
        <w:jc w:val="both"/>
        <w:rPr>
          <w:rFonts w:asciiTheme="minorHAnsi" w:hAnsiTheme="minorHAnsi" w:cstheme="minorHAnsi"/>
          <w:sz w:val="22"/>
          <w:szCs w:val="22"/>
        </w:rPr>
      </w:pPr>
      <w:r w:rsidRPr="0089702E">
        <w:rPr>
          <w:rFonts w:asciiTheme="minorHAnsi" w:hAnsiTheme="minorHAnsi" w:cstheme="minorHAnsi"/>
          <w:sz w:val="22"/>
          <w:szCs w:val="22"/>
        </w:rPr>
        <w:t>Además, Barclays revisó 150</w:t>
      </w:r>
      <w:r w:rsidR="00AF5121">
        <w:rPr>
          <w:rFonts w:asciiTheme="minorHAnsi" w:hAnsiTheme="minorHAnsi" w:cstheme="minorHAnsi"/>
          <w:sz w:val="22"/>
          <w:szCs w:val="22"/>
        </w:rPr>
        <w:t xml:space="preserve"> mil</w:t>
      </w:r>
      <w:r w:rsidRPr="0089702E">
        <w:rPr>
          <w:rFonts w:asciiTheme="minorHAnsi" w:hAnsiTheme="minorHAnsi" w:cstheme="minorHAnsi"/>
          <w:sz w:val="22"/>
          <w:szCs w:val="22"/>
        </w:rPr>
        <w:t xml:space="preserve"> bpd al alza su estimación de la demanda para 2023, debido en parte a unas perspectivas de crecimiento algo mejores para Estados Unidos y Europa.</w:t>
      </w:r>
    </w:p>
    <w:p w14:paraId="570FC504" w14:textId="77777777" w:rsidR="0079059A" w:rsidRPr="0089702E" w:rsidRDefault="0079059A" w:rsidP="0079059A">
      <w:pPr>
        <w:pStyle w:val="Prrafodelista"/>
        <w:ind w:left="426"/>
        <w:jc w:val="both"/>
        <w:rPr>
          <w:rFonts w:asciiTheme="minorHAnsi" w:hAnsiTheme="minorHAnsi" w:cstheme="minorHAnsi"/>
          <w:sz w:val="22"/>
          <w:szCs w:val="22"/>
        </w:rPr>
      </w:pPr>
      <w:r w:rsidRPr="0089702E">
        <w:rPr>
          <w:rFonts w:asciiTheme="minorHAnsi" w:hAnsiTheme="minorHAnsi" w:cstheme="minorHAnsi"/>
          <w:sz w:val="22"/>
          <w:szCs w:val="22"/>
        </w:rPr>
        <w:t>Según el informe, persiste el riesgo de desaceleración de la actividad económica en general, debido al estancamiento de la actividad industrial y al continuo endurecimiento de las condiciones monetarias.</w:t>
      </w:r>
    </w:p>
    <w:p w14:paraId="13060F03" w14:textId="77777777" w:rsidR="0079059A" w:rsidRPr="0089702E" w:rsidRDefault="0079059A" w:rsidP="0079059A">
      <w:pPr>
        <w:pStyle w:val="Prrafodelista"/>
        <w:ind w:left="426"/>
        <w:jc w:val="both"/>
        <w:rPr>
          <w:rFonts w:asciiTheme="minorHAnsi" w:hAnsiTheme="minorHAnsi" w:cstheme="minorHAnsi"/>
          <w:sz w:val="22"/>
          <w:szCs w:val="22"/>
        </w:rPr>
      </w:pPr>
    </w:p>
    <w:p w14:paraId="6A7A906C" w14:textId="77777777" w:rsidR="0079059A" w:rsidRPr="0089702E" w:rsidRDefault="0079059A" w:rsidP="0079059A">
      <w:pPr>
        <w:pStyle w:val="Prrafodelista"/>
        <w:numPr>
          <w:ilvl w:val="0"/>
          <w:numId w:val="13"/>
        </w:numPr>
        <w:ind w:left="426"/>
        <w:contextualSpacing/>
        <w:jc w:val="both"/>
        <w:rPr>
          <w:rFonts w:asciiTheme="minorHAnsi" w:hAnsiTheme="minorHAnsi" w:cstheme="minorHAnsi"/>
          <w:b/>
          <w:bCs/>
          <w:sz w:val="22"/>
          <w:szCs w:val="22"/>
        </w:rPr>
      </w:pPr>
      <w:r w:rsidRPr="0089702E">
        <w:rPr>
          <w:rFonts w:asciiTheme="minorHAnsi" w:hAnsiTheme="minorHAnsi" w:cstheme="minorHAnsi"/>
          <w:b/>
          <w:bCs/>
          <w:sz w:val="22"/>
          <w:szCs w:val="22"/>
        </w:rPr>
        <w:t>La visión optimista sobre el crecimiento de la demanda petrolera en 2023 a un nivel de 1,9 millones de barriles por día.</w:t>
      </w:r>
    </w:p>
    <w:p w14:paraId="7B03711F" w14:textId="77777777" w:rsidR="0079059A" w:rsidRPr="0089702E" w:rsidRDefault="0079059A" w:rsidP="0079059A">
      <w:pPr>
        <w:pStyle w:val="Prrafodelista"/>
        <w:ind w:left="426"/>
        <w:jc w:val="both"/>
        <w:rPr>
          <w:rFonts w:asciiTheme="minorHAnsi" w:hAnsiTheme="minorHAnsi" w:cstheme="minorHAnsi"/>
          <w:b/>
          <w:bCs/>
          <w:sz w:val="22"/>
          <w:szCs w:val="22"/>
        </w:rPr>
      </w:pPr>
    </w:p>
    <w:p w14:paraId="4E17B60F" w14:textId="77777777" w:rsidR="0079059A" w:rsidRPr="0089702E" w:rsidRDefault="0079059A" w:rsidP="0079059A">
      <w:pPr>
        <w:pStyle w:val="Prrafodelista"/>
        <w:ind w:left="426"/>
        <w:jc w:val="both"/>
        <w:rPr>
          <w:rFonts w:asciiTheme="minorHAnsi" w:hAnsiTheme="minorHAnsi" w:cstheme="minorHAnsi"/>
          <w:sz w:val="22"/>
          <w:szCs w:val="22"/>
        </w:rPr>
      </w:pPr>
      <w:r w:rsidRPr="0089702E">
        <w:rPr>
          <w:rFonts w:asciiTheme="minorHAnsi" w:hAnsiTheme="minorHAnsi" w:cstheme="minorHAnsi"/>
          <w:sz w:val="22"/>
          <w:szCs w:val="22"/>
        </w:rPr>
        <w:t>La multinacional Morgan Stanley espera que el consumo mundial de crudo en 2023 aumente en torno a 1,9 millones de barriles diarios (bpd), frente a su anterior previsión de 1,4 millones de bpd. Asimismo, también elevó su estimación de crecimiento de la demanda mundial de petróleo 2023 en torno a un +36%, citando el creciente impulso de la reapertura china y la recuperación de la aviación, pero señalando el aumento de la oferta rusa como factor compensatorio.</w:t>
      </w:r>
    </w:p>
    <w:p w14:paraId="7EB04AC4" w14:textId="77777777" w:rsidR="0079059A" w:rsidRPr="0089702E" w:rsidRDefault="0079059A" w:rsidP="0079059A">
      <w:pPr>
        <w:pStyle w:val="Prrafodelista"/>
        <w:ind w:left="426"/>
        <w:jc w:val="both"/>
        <w:rPr>
          <w:rFonts w:asciiTheme="minorHAnsi" w:hAnsiTheme="minorHAnsi" w:cstheme="minorHAnsi"/>
          <w:sz w:val="22"/>
          <w:szCs w:val="22"/>
        </w:rPr>
      </w:pPr>
    </w:p>
    <w:p w14:paraId="4C3141EE" w14:textId="77777777" w:rsidR="0079059A" w:rsidRPr="0089702E" w:rsidRDefault="0079059A" w:rsidP="0079059A">
      <w:pPr>
        <w:pStyle w:val="Prrafodelista"/>
        <w:ind w:left="426"/>
        <w:jc w:val="both"/>
        <w:rPr>
          <w:rFonts w:asciiTheme="minorHAnsi" w:hAnsiTheme="minorHAnsi" w:cstheme="minorHAnsi"/>
          <w:sz w:val="22"/>
          <w:szCs w:val="22"/>
        </w:rPr>
      </w:pPr>
      <w:r w:rsidRPr="0089702E">
        <w:rPr>
          <w:rFonts w:asciiTheme="minorHAnsi" w:hAnsiTheme="minorHAnsi" w:cstheme="minorHAnsi"/>
          <w:sz w:val="22"/>
          <w:szCs w:val="22"/>
        </w:rPr>
        <w:t>Asimismo, la Agencia Internacional de la Energía y la Organización de Países Exportadores de Petróleo, también tienen expectativas de una mayor demanda China para el año 2023.</w:t>
      </w:r>
    </w:p>
    <w:p w14:paraId="0B18F734" w14:textId="7A0F3A7D" w:rsidR="007F6458" w:rsidRPr="007F6458" w:rsidRDefault="007F6458" w:rsidP="007F6458">
      <w:pPr>
        <w:ind w:left="426"/>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737F9596" w14:textId="1F56795B" w:rsidR="004A3F00" w:rsidRDefault="004A3F00" w:rsidP="00F02322">
      <w:pPr>
        <w:pStyle w:val="Textonotapie"/>
        <w:numPr>
          <w:ilvl w:val="0"/>
          <w:numId w:val="2"/>
        </w:numPr>
        <w:spacing w:before="0" w:after="0"/>
        <w:ind w:left="568" w:hanging="426"/>
        <w:rPr>
          <w:rFonts w:asciiTheme="minorHAnsi" w:hAnsiTheme="minorHAnsi" w:cstheme="minorHAnsi"/>
          <w:sz w:val="22"/>
          <w:szCs w:val="22"/>
        </w:rPr>
      </w:pPr>
      <w:bookmarkStart w:id="1" w:name="_Hlk104155325"/>
      <w:r w:rsidRPr="004A3F00">
        <w:rPr>
          <w:rFonts w:asciiTheme="minorHAnsi" w:hAnsiTheme="minorHAnsi" w:cstheme="minorHAnsi"/>
          <w:sz w:val="22"/>
          <w:szCs w:val="22"/>
        </w:rPr>
        <w:t>Mediante el </w:t>
      </w:r>
      <w:hyperlink r:id="rId9" w:history="1">
        <w:r w:rsidRPr="004A3F00">
          <w:rPr>
            <w:rFonts w:asciiTheme="minorHAnsi" w:hAnsiTheme="minorHAnsi" w:cstheme="minorHAnsi"/>
            <w:sz w:val="22"/>
            <w:szCs w:val="22"/>
          </w:rPr>
          <w:t>Decreto Supremo N° 023-2021-EM</w:t>
        </w:r>
      </w:hyperlink>
      <w:r w:rsidRPr="004A3F00">
        <w:rPr>
          <w:rFonts w:asciiTheme="minorHAnsi" w:hAnsiTheme="minorHAnsi" w:cstheme="minorHAnsi"/>
          <w:sz w:val="22"/>
          <w:szCs w:val="22"/>
        </w:rPr>
        <w:t> publicado</w:t>
      </w:r>
      <w:r w:rsidR="005E4916">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sidR="005E4916">
        <w:rPr>
          <w:rFonts w:asciiTheme="minorHAnsi" w:hAnsiTheme="minorHAnsi" w:cstheme="minorHAnsi"/>
          <w:sz w:val="22"/>
          <w:szCs w:val="22"/>
        </w:rPr>
        <w:t xml:space="preserve"> Peruano», </w:t>
      </w:r>
      <w:r w:rsidR="008A748B">
        <w:rPr>
          <w:rFonts w:asciiTheme="minorHAnsi" w:hAnsiTheme="minorHAnsi" w:cstheme="minorHAnsi"/>
          <w:sz w:val="22"/>
          <w:szCs w:val="22"/>
        </w:rPr>
        <w:t xml:space="preserve">se </w:t>
      </w:r>
      <w:r w:rsidR="005E4916">
        <w:rPr>
          <w:rFonts w:asciiTheme="minorHAnsi" w:hAnsiTheme="minorHAnsi" w:cstheme="minorHAnsi"/>
          <w:sz w:val="22"/>
          <w:szCs w:val="22"/>
        </w:rPr>
        <w:t>incluyó a</w:t>
      </w:r>
      <w:r w:rsidRPr="004A3F00">
        <w:rPr>
          <w:rFonts w:asciiTheme="minorHAnsi" w:hAnsiTheme="minorHAnsi" w:cstheme="minorHAnsi"/>
          <w:sz w:val="22"/>
          <w:szCs w:val="22"/>
        </w:rPr>
        <w:t>l Gas Licuado de Petróleo destinado para envasado (</w:t>
      </w:r>
      <w:hyperlink r:id="rId10"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537A5786" w14:textId="77777777" w:rsidR="008A748B" w:rsidRDefault="008A748B" w:rsidP="00F02322">
      <w:pPr>
        <w:pStyle w:val="Textonotapie"/>
        <w:spacing w:before="0" w:after="0"/>
        <w:ind w:left="568" w:hanging="426"/>
        <w:rPr>
          <w:rFonts w:asciiTheme="minorHAnsi" w:hAnsiTheme="minorHAnsi" w:cstheme="minorHAnsi"/>
          <w:sz w:val="22"/>
          <w:szCs w:val="22"/>
        </w:rPr>
      </w:pPr>
    </w:p>
    <w:bookmarkEnd w:id="1"/>
    <w:p w14:paraId="475EEA7C" w14:textId="20615074" w:rsidR="008A748B" w:rsidRDefault="00303B42" w:rsidP="00F02322">
      <w:pPr>
        <w:pStyle w:val="Textonotapie"/>
        <w:numPr>
          <w:ilvl w:val="0"/>
          <w:numId w:val="2"/>
        </w:numPr>
        <w:spacing w:before="0" w:after="0"/>
        <w:ind w:left="568" w:hanging="426"/>
        <w:rPr>
          <w:rFonts w:asciiTheme="minorHAnsi" w:hAnsiTheme="minorHAnsi" w:cstheme="minorHAnsi"/>
          <w:sz w:val="22"/>
          <w:szCs w:val="22"/>
        </w:rPr>
      </w:pPr>
      <w:r>
        <w:rPr>
          <w:rFonts w:asciiTheme="minorHAnsi" w:hAnsiTheme="minorHAnsi" w:cstheme="minorHAnsi"/>
          <w:sz w:val="22"/>
          <w:szCs w:val="22"/>
        </w:rPr>
        <w:lastRenderedPageBreak/>
        <w:t>Según</w:t>
      </w:r>
      <w:r w:rsidR="008A748B" w:rsidRPr="00FD6B4B">
        <w:rPr>
          <w:rFonts w:asciiTheme="minorHAnsi" w:hAnsiTheme="minorHAnsi" w:cstheme="minorHAnsi"/>
          <w:sz w:val="22"/>
          <w:szCs w:val="22"/>
        </w:rPr>
        <w:t xml:space="preserve"> el </w:t>
      </w:r>
      <w:hyperlink r:id="rId11" w:history="1">
        <w:r w:rsidR="008A748B" w:rsidRPr="00FD6B4B">
          <w:rPr>
            <w:rFonts w:asciiTheme="minorHAnsi" w:hAnsiTheme="minorHAnsi" w:cstheme="minorHAnsi"/>
            <w:sz w:val="22"/>
            <w:szCs w:val="22"/>
          </w:rPr>
          <w:t>Decreto Supremo N° 02</w:t>
        </w:r>
        <w:r w:rsidR="003A1313" w:rsidRPr="00FD6B4B">
          <w:rPr>
            <w:rFonts w:asciiTheme="minorHAnsi" w:hAnsiTheme="minorHAnsi" w:cstheme="minorHAnsi"/>
            <w:sz w:val="22"/>
            <w:szCs w:val="22"/>
          </w:rPr>
          <w:t>5</w:t>
        </w:r>
        <w:r w:rsidR="008A748B" w:rsidRPr="00FD6B4B">
          <w:rPr>
            <w:rFonts w:asciiTheme="minorHAnsi" w:hAnsiTheme="minorHAnsi" w:cstheme="minorHAnsi"/>
            <w:sz w:val="22"/>
            <w:szCs w:val="22"/>
          </w:rPr>
          <w:t>-2021-EM</w:t>
        </w:r>
      </w:hyperlink>
      <w:r w:rsidR="008A748B" w:rsidRPr="00FD6B4B">
        <w:rPr>
          <w:rFonts w:asciiTheme="minorHAnsi" w:hAnsiTheme="minorHAnsi" w:cstheme="minorHAnsi"/>
          <w:sz w:val="22"/>
          <w:szCs w:val="22"/>
        </w:rPr>
        <w:t xml:space="preserve"> publicado el </w:t>
      </w:r>
      <w:r w:rsidR="003A1313" w:rsidRPr="00FD6B4B">
        <w:rPr>
          <w:rFonts w:asciiTheme="minorHAnsi" w:hAnsiTheme="minorHAnsi" w:cstheme="minorHAnsi"/>
          <w:sz w:val="22"/>
          <w:szCs w:val="22"/>
        </w:rPr>
        <w:t>09</w:t>
      </w:r>
      <w:r w:rsidR="008A748B" w:rsidRPr="00FD6B4B">
        <w:rPr>
          <w:rFonts w:asciiTheme="minorHAnsi" w:hAnsiTheme="minorHAnsi" w:cstheme="minorHAnsi"/>
          <w:sz w:val="22"/>
          <w:szCs w:val="22"/>
        </w:rPr>
        <w:t>.</w:t>
      </w:r>
      <w:r w:rsidR="003A1313" w:rsidRPr="00FD6B4B">
        <w:rPr>
          <w:rFonts w:asciiTheme="minorHAnsi" w:hAnsiTheme="minorHAnsi" w:cstheme="minorHAnsi"/>
          <w:sz w:val="22"/>
          <w:szCs w:val="22"/>
        </w:rPr>
        <w:t>11</w:t>
      </w:r>
      <w:r w:rsidR="008A748B" w:rsidRPr="00FD6B4B">
        <w:rPr>
          <w:rFonts w:asciiTheme="minorHAnsi" w:hAnsiTheme="minorHAnsi" w:cstheme="minorHAnsi"/>
          <w:sz w:val="22"/>
          <w:szCs w:val="22"/>
        </w:rPr>
        <w:t xml:space="preserve">.2021 en el Diario Oficial «El Peruano», se incluyó al </w:t>
      </w:r>
      <w:r w:rsidR="005140D6" w:rsidRPr="00FD6B4B">
        <w:rPr>
          <w:rFonts w:asciiTheme="minorHAnsi" w:hAnsiTheme="minorHAnsi" w:cstheme="minorHAnsi"/>
          <w:sz w:val="22"/>
          <w:szCs w:val="22"/>
        </w:rPr>
        <w:t>Diésel</w:t>
      </w:r>
      <w:r w:rsidR="00FD6B4B" w:rsidRPr="00FD6B4B">
        <w:rPr>
          <w:rFonts w:asciiTheme="minorHAnsi" w:hAnsiTheme="minorHAnsi" w:cstheme="minorHAnsi"/>
          <w:sz w:val="22"/>
          <w:szCs w:val="22"/>
        </w:rPr>
        <w:t xml:space="preserve"> BX destinado al uso vehicular en </w:t>
      </w:r>
      <w:r w:rsidR="008A748B" w:rsidRPr="00FD6B4B">
        <w:rPr>
          <w:rFonts w:asciiTheme="minorHAnsi" w:hAnsiTheme="minorHAnsi" w:cstheme="minorHAnsi"/>
          <w:sz w:val="22"/>
          <w:szCs w:val="22"/>
        </w:rPr>
        <w:t>la lista de productos afectos al FEPC.</w:t>
      </w:r>
    </w:p>
    <w:p w14:paraId="4A22C02B" w14:textId="77777777" w:rsidR="00FD6B4B" w:rsidRDefault="00FD6B4B" w:rsidP="00F02322">
      <w:pPr>
        <w:pStyle w:val="Prrafodelista"/>
        <w:ind w:left="568" w:hanging="426"/>
        <w:rPr>
          <w:rFonts w:asciiTheme="minorHAnsi" w:hAnsiTheme="minorHAnsi" w:cstheme="minorHAnsi"/>
          <w:sz w:val="22"/>
          <w:szCs w:val="22"/>
        </w:rPr>
      </w:pPr>
    </w:p>
    <w:p w14:paraId="4824E2EF" w14:textId="16F88408" w:rsidR="00FD6B4B" w:rsidRDefault="00FD6B4B" w:rsidP="00F02322">
      <w:pPr>
        <w:pStyle w:val="Textonotapie"/>
        <w:numPr>
          <w:ilvl w:val="0"/>
          <w:numId w:val="2"/>
        </w:numPr>
        <w:spacing w:before="0" w:after="0"/>
        <w:ind w:left="568" w:hanging="426"/>
        <w:rPr>
          <w:rFonts w:asciiTheme="minorHAnsi" w:hAnsiTheme="minorHAnsi" w:cstheme="minorHAnsi"/>
          <w:sz w:val="22"/>
          <w:szCs w:val="22"/>
        </w:rPr>
      </w:pPr>
      <w:r w:rsidRPr="00422783">
        <w:rPr>
          <w:rFonts w:asciiTheme="minorHAnsi" w:hAnsiTheme="minorHAnsi" w:cstheme="minorHAnsi"/>
          <w:sz w:val="22"/>
          <w:szCs w:val="22"/>
        </w:rPr>
        <w:t>Mediante el </w:t>
      </w:r>
      <w:hyperlink r:id="rId12" w:history="1">
        <w:r w:rsidRPr="00422783">
          <w:rPr>
            <w:rFonts w:asciiTheme="minorHAnsi" w:hAnsiTheme="minorHAnsi" w:cstheme="minorHAnsi"/>
            <w:sz w:val="22"/>
            <w:szCs w:val="22"/>
          </w:rPr>
          <w:t>Decreto Supremo N° 002-2022-EM</w:t>
        </w:r>
      </w:hyperlink>
      <w:r w:rsidRPr="00422783">
        <w:rPr>
          <w:rFonts w:asciiTheme="minorHAnsi" w:hAnsiTheme="minorHAnsi" w:cstheme="minorHAnsi"/>
          <w:sz w:val="22"/>
          <w:szCs w:val="22"/>
        </w:rPr>
        <w:t xml:space="preserve"> publicado el </w:t>
      </w:r>
      <w:r w:rsidR="00422783" w:rsidRPr="00422783">
        <w:rPr>
          <w:rFonts w:asciiTheme="minorHAnsi" w:hAnsiTheme="minorHAnsi" w:cstheme="minorHAnsi"/>
          <w:sz w:val="22"/>
          <w:szCs w:val="22"/>
        </w:rPr>
        <w:t>28</w:t>
      </w:r>
      <w:r w:rsidRPr="00422783">
        <w:rPr>
          <w:rFonts w:asciiTheme="minorHAnsi" w:hAnsiTheme="minorHAnsi" w:cstheme="minorHAnsi"/>
          <w:sz w:val="22"/>
          <w:szCs w:val="22"/>
        </w:rPr>
        <w:t>.</w:t>
      </w:r>
      <w:r w:rsidR="00422783" w:rsidRPr="00422783">
        <w:rPr>
          <w:rFonts w:asciiTheme="minorHAnsi" w:hAnsiTheme="minorHAnsi" w:cstheme="minorHAnsi"/>
          <w:sz w:val="22"/>
          <w:szCs w:val="22"/>
        </w:rPr>
        <w:t>03</w:t>
      </w:r>
      <w:r w:rsidRPr="00422783">
        <w:rPr>
          <w:rFonts w:asciiTheme="minorHAnsi" w:hAnsiTheme="minorHAnsi" w:cstheme="minorHAnsi"/>
          <w:sz w:val="22"/>
          <w:szCs w:val="22"/>
        </w:rPr>
        <w:t>.</w:t>
      </w:r>
      <w:r w:rsidR="00422783" w:rsidRPr="00422783">
        <w:rPr>
          <w:rFonts w:asciiTheme="minorHAnsi" w:hAnsiTheme="minorHAnsi" w:cstheme="minorHAnsi"/>
          <w:sz w:val="22"/>
          <w:szCs w:val="22"/>
        </w:rPr>
        <w:t>2022</w:t>
      </w:r>
      <w:r w:rsidRPr="00422783">
        <w:rPr>
          <w:rFonts w:asciiTheme="minorHAnsi" w:hAnsiTheme="minorHAnsi" w:cstheme="minorHAnsi"/>
          <w:sz w:val="22"/>
          <w:szCs w:val="22"/>
        </w:rPr>
        <w:t xml:space="preserve"> en el Diario Oficial «El Peruano», se incluyó </w:t>
      </w:r>
      <w:r w:rsidR="00422783" w:rsidRPr="00422783">
        <w:rPr>
          <w:rFonts w:asciiTheme="minorHAnsi" w:hAnsiTheme="minorHAnsi" w:cstheme="minorHAnsi"/>
          <w:sz w:val="22"/>
          <w:szCs w:val="22"/>
        </w:rPr>
        <w:t xml:space="preserve">a las Gasolinas de 84 y 90 octanos, al Gasohol de 84 octanos y al Gas Licuado de Petróleo destinado para </w:t>
      </w:r>
      <w:r w:rsidR="00567AE0">
        <w:rPr>
          <w:rFonts w:asciiTheme="minorHAnsi" w:hAnsiTheme="minorHAnsi" w:cstheme="minorHAnsi"/>
          <w:sz w:val="22"/>
          <w:szCs w:val="22"/>
        </w:rPr>
        <w:t>g</w:t>
      </w:r>
      <w:r w:rsidR="00422783" w:rsidRPr="00422783">
        <w:rPr>
          <w:rFonts w:asciiTheme="minorHAnsi" w:hAnsiTheme="minorHAnsi" w:cstheme="minorHAnsi"/>
          <w:sz w:val="22"/>
          <w:szCs w:val="22"/>
        </w:rPr>
        <w:t xml:space="preserve">ranel (GLP-G), </w:t>
      </w:r>
      <w:r w:rsidRPr="00422783">
        <w:rPr>
          <w:rFonts w:asciiTheme="minorHAnsi" w:hAnsiTheme="minorHAnsi" w:cstheme="minorHAnsi"/>
          <w:sz w:val="22"/>
          <w:szCs w:val="22"/>
        </w:rPr>
        <w:t>en la lista de productos afectos al FEPC</w:t>
      </w:r>
      <w:r w:rsidR="009427C6">
        <w:rPr>
          <w:rFonts w:asciiTheme="minorHAnsi" w:hAnsiTheme="minorHAnsi" w:cstheme="minorHAnsi"/>
          <w:sz w:val="22"/>
          <w:szCs w:val="22"/>
        </w:rPr>
        <w:t>.</w:t>
      </w:r>
      <w:r w:rsidR="00422783" w:rsidRPr="00422783">
        <w:rPr>
          <w:rFonts w:asciiTheme="minorHAnsi" w:hAnsiTheme="minorHAnsi" w:cstheme="minorHAnsi"/>
          <w:sz w:val="22"/>
          <w:szCs w:val="22"/>
        </w:rPr>
        <w:t xml:space="preserve"> Dicha inclusión se realiz</w:t>
      </w:r>
      <w:r w:rsidR="003C6C63">
        <w:rPr>
          <w:rFonts w:asciiTheme="minorHAnsi" w:hAnsiTheme="minorHAnsi" w:cstheme="minorHAnsi"/>
          <w:sz w:val="22"/>
          <w:szCs w:val="22"/>
        </w:rPr>
        <w:t>ó</w:t>
      </w:r>
      <w:r w:rsidR="00422783" w:rsidRPr="00422783">
        <w:rPr>
          <w:rFonts w:asciiTheme="minorHAnsi" w:hAnsiTheme="minorHAnsi" w:cstheme="minorHAnsi"/>
          <w:sz w:val="22"/>
          <w:szCs w:val="22"/>
        </w:rPr>
        <w:t xml:space="preserve"> por un plazo de noventa (90) días calendario, contado</w:t>
      </w:r>
      <w:r w:rsidR="00303B42">
        <w:rPr>
          <w:rFonts w:asciiTheme="minorHAnsi" w:hAnsiTheme="minorHAnsi" w:cstheme="minorHAnsi"/>
          <w:sz w:val="22"/>
          <w:szCs w:val="22"/>
        </w:rPr>
        <w:t>s</w:t>
      </w:r>
      <w:r w:rsidR="00422783" w:rsidRPr="00422783">
        <w:rPr>
          <w:rFonts w:asciiTheme="minorHAnsi" w:hAnsiTheme="minorHAnsi" w:cstheme="minorHAnsi"/>
          <w:sz w:val="22"/>
          <w:szCs w:val="22"/>
        </w:rPr>
        <w:t xml:space="preserve"> a partir de la entrada en vigencia de </w:t>
      </w:r>
      <w:r w:rsidR="003C6C63">
        <w:rPr>
          <w:rFonts w:asciiTheme="minorHAnsi" w:hAnsiTheme="minorHAnsi" w:cstheme="minorHAnsi"/>
          <w:sz w:val="22"/>
          <w:szCs w:val="22"/>
        </w:rPr>
        <w:t>dicha Norma</w:t>
      </w:r>
      <w:r w:rsidR="00422783" w:rsidRPr="00422783">
        <w:rPr>
          <w:rFonts w:asciiTheme="minorHAnsi" w:hAnsiTheme="minorHAnsi" w:cstheme="minorHAnsi"/>
          <w:sz w:val="22"/>
          <w:szCs w:val="22"/>
        </w:rPr>
        <w:t>.</w:t>
      </w:r>
    </w:p>
    <w:p w14:paraId="797D6CA1" w14:textId="77777777" w:rsidR="00313709" w:rsidRDefault="00313709" w:rsidP="00F02322">
      <w:pPr>
        <w:pStyle w:val="Textonotapie"/>
        <w:spacing w:before="0" w:after="0"/>
        <w:ind w:left="568" w:hanging="426"/>
        <w:rPr>
          <w:rFonts w:asciiTheme="minorHAnsi" w:hAnsiTheme="minorHAnsi" w:cstheme="minorHAnsi"/>
          <w:sz w:val="22"/>
          <w:szCs w:val="22"/>
        </w:rPr>
      </w:pPr>
    </w:p>
    <w:p w14:paraId="3F78A2E0" w14:textId="0BEAEC8B" w:rsidR="0020425C" w:rsidRDefault="003C6C63" w:rsidP="00F02322">
      <w:pPr>
        <w:pStyle w:val="Textonotapie"/>
        <w:numPr>
          <w:ilvl w:val="0"/>
          <w:numId w:val="2"/>
        </w:numPr>
        <w:spacing w:before="0" w:after="0"/>
        <w:ind w:left="568" w:hanging="426"/>
        <w:rPr>
          <w:rFonts w:asciiTheme="minorHAnsi" w:hAnsiTheme="minorHAnsi" w:cstheme="minorHAnsi"/>
          <w:sz w:val="22"/>
          <w:szCs w:val="22"/>
        </w:rPr>
      </w:pPr>
      <w:r w:rsidRPr="0020425C">
        <w:rPr>
          <w:rFonts w:asciiTheme="minorHAnsi" w:hAnsiTheme="minorHAnsi" w:cstheme="minorHAnsi"/>
          <w:sz w:val="22"/>
          <w:szCs w:val="22"/>
        </w:rPr>
        <w:t>Asimis</w:t>
      </w:r>
      <w:r w:rsidR="00303B42" w:rsidRPr="0020425C">
        <w:rPr>
          <w:rFonts w:asciiTheme="minorHAnsi" w:hAnsiTheme="minorHAnsi" w:cstheme="minorHAnsi"/>
          <w:sz w:val="22"/>
          <w:szCs w:val="22"/>
        </w:rPr>
        <w:t>mo, mediante el Decreto Supremo</w:t>
      </w:r>
      <w:r w:rsidRPr="0020425C">
        <w:rPr>
          <w:rFonts w:asciiTheme="minorHAnsi" w:hAnsiTheme="minorHAnsi" w:cstheme="minorHAnsi"/>
          <w:sz w:val="22"/>
          <w:szCs w:val="22"/>
        </w:rPr>
        <w:t xml:space="preserve"> N° 002-2022-EM, se incluyó al </w:t>
      </w:r>
      <w:r w:rsidR="00955351" w:rsidRPr="0020425C">
        <w:rPr>
          <w:rFonts w:asciiTheme="minorHAnsi" w:hAnsiTheme="minorHAnsi" w:cstheme="minorHAnsi"/>
          <w:sz w:val="22"/>
          <w:szCs w:val="22"/>
        </w:rPr>
        <w:t>Diésel</w:t>
      </w:r>
      <w:r w:rsidRPr="0020425C">
        <w:rPr>
          <w:rFonts w:asciiTheme="minorHAnsi" w:hAnsiTheme="minorHAnsi" w:cstheme="minorHAnsi"/>
          <w:sz w:val="22"/>
          <w:szCs w:val="22"/>
        </w:rPr>
        <w:t xml:space="preserve"> 2 destinado al uso vehicular, en la lista de productos afectos al FEPC</w:t>
      </w:r>
      <w:r w:rsidR="009427C6" w:rsidRPr="0020425C">
        <w:rPr>
          <w:rFonts w:asciiTheme="minorHAnsi" w:hAnsiTheme="minorHAnsi" w:cstheme="minorHAnsi"/>
          <w:sz w:val="22"/>
          <w:szCs w:val="22"/>
        </w:rPr>
        <w:t>. Dicha inclusión se realiz</w:t>
      </w:r>
      <w:r w:rsidR="00567AE0" w:rsidRPr="0020425C">
        <w:rPr>
          <w:rFonts w:asciiTheme="minorHAnsi" w:hAnsiTheme="minorHAnsi" w:cstheme="minorHAnsi"/>
          <w:sz w:val="22"/>
          <w:szCs w:val="22"/>
        </w:rPr>
        <w:t>ó</w:t>
      </w:r>
      <w:r w:rsidR="009427C6" w:rsidRPr="0020425C">
        <w:rPr>
          <w:rFonts w:asciiTheme="minorHAnsi" w:hAnsiTheme="minorHAnsi" w:cstheme="minorHAnsi"/>
          <w:sz w:val="22"/>
          <w:szCs w:val="22"/>
        </w:rPr>
        <w:t xml:space="preserve"> durante el plazo que el MINEM autorice su comercialización, en aplicación del artículo 2 del Decreto Supremo Nº 001-2011-EM, por una afectación de alcance nacional.</w:t>
      </w:r>
    </w:p>
    <w:p w14:paraId="61F15353" w14:textId="77777777" w:rsidR="0020425C" w:rsidRDefault="0020425C" w:rsidP="00F02322">
      <w:pPr>
        <w:pStyle w:val="Prrafodelista"/>
        <w:ind w:left="568" w:hanging="426"/>
        <w:rPr>
          <w:rFonts w:asciiTheme="minorHAnsi" w:hAnsiTheme="minorHAnsi" w:cstheme="minorHAnsi"/>
          <w:sz w:val="22"/>
          <w:szCs w:val="22"/>
        </w:rPr>
      </w:pPr>
    </w:p>
    <w:p w14:paraId="1E583194" w14:textId="5EB072D1" w:rsidR="0020425C" w:rsidRDefault="0074476A" w:rsidP="00F02322">
      <w:pPr>
        <w:pStyle w:val="Textonotapie"/>
        <w:numPr>
          <w:ilvl w:val="0"/>
          <w:numId w:val="2"/>
        </w:numPr>
        <w:spacing w:before="0" w:after="0"/>
        <w:ind w:left="568" w:hanging="426"/>
      </w:pPr>
      <w:r>
        <w:rPr>
          <w:rFonts w:asciiTheme="minorHAnsi" w:hAnsiTheme="minorHAnsi" w:cstheme="minorHAnsi"/>
          <w:sz w:val="22"/>
          <w:szCs w:val="22"/>
        </w:rPr>
        <w:t>M</w:t>
      </w:r>
      <w:r w:rsidR="0020425C" w:rsidRPr="0020425C">
        <w:rPr>
          <w:rFonts w:asciiTheme="minorHAnsi" w:hAnsiTheme="minorHAnsi" w:cstheme="minorHAnsi"/>
          <w:sz w:val="22"/>
          <w:szCs w:val="22"/>
        </w:rPr>
        <w:t>ediante Decreto Supremo N° 007-2022-EM, publicado el 26 de junio de 2022, se modificó el numeral 1.1 del artículo 1 del Decreto 002 precisando la inclusión de las Gasolinas de 90 y 84 octanos, Gasohol de 84 octanos y GLP-G en la lista de Productos sujetos al Fondo establecida en el literal m) del artículo 2 del DU 010 hasta el 30 de septiembre de 2022</w:t>
      </w:r>
      <w:r w:rsidR="0020425C">
        <w:rPr>
          <w:rFonts w:asciiTheme="minorHAnsi" w:hAnsiTheme="minorHAnsi" w:cstheme="minorHAnsi"/>
          <w:sz w:val="22"/>
          <w:szCs w:val="22"/>
        </w:rPr>
        <w:t>.</w:t>
      </w:r>
    </w:p>
    <w:p w14:paraId="03C9F47A" w14:textId="77777777" w:rsidR="00F60765" w:rsidRDefault="00F60765" w:rsidP="00F02322">
      <w:pPr>
        <w:pStyle w:val="Textonotapie"/>
        <w:spacing w:before="0" w:after="0"/>
        <w:ind w:left="568" w:hanging="426"/>
        <w:rPr>
          <w:rFonts w:asciiTheme="minorHAnsi" w:hAnsiTheme="minorHAnsi" w:cstheme="minorHAnsi"/>
          <w:sz w:val="22"/>
          <w:szCs w:val="22"/>
        </w:rPr>
      </w:pPr>
    </w:p>
    <w:p w14:paraId="3C8B4389" w14:textId="590C6561" w:rsidR="0074476A" w:rsidRDefault="0074476A" w:rsidP="0074476A">
      <w:pPr>
        <w:pStyle w:val="Textonotapie"/>
        <w:numPr>
          <w:ilvl w:val="0"/>
          <w:numId w:val="2"/>
        </w:numPr>
        <w:spacing w:before="0" w:after="0"/>
        <w:ind w:left="568" w:hanging="426"/>
        <w:rPr>
          <w:rFonts w:asciiTheme="minorHAnsi" w:hAnsiTheme="minorHAnsi" w:cstheme="minorHAnsi"/>
          <w:sz w:val="22"/>
          <w:szCs w:val="22"/>
        </w:rPr>
      </w:pPr>
      <w:r>
        <w:rPr>
          <w:rFonts w:asciiTheme="minorHAnsi" w:hAnsiTheme="minorHAnsi" w:cstheme="minorHAnsi"/>
          <w:sz w:val="22"/>
          <w:szCs w:val="22"/>
        </w:rPr>
        <w:t>Posteriormente</w:t>
      </w:r>
      <w:r w:rsidRPr="0020425C">
        <w:rPr>
          <w:rFonts w:asciiTheme="minorHAnsi" w:hAnsiTheme="minorHAnsi" w:cstheme="minorHAnsi"/>
          <w:sz w:val="22"/>
          <w:szCs w:val="22"/>
        </w:rPr>
        <w:t>, mediante Decreto Supremo N° 0</w:t>
      </w:r>
      <w:r>
        <w:rPr>
          <w:rFonts w:asciiTheme="minorHAnsi" w:hAnsiTheme="minorHAnsi" w:cstheme="minorHAnsi"/>
          <w:sz w:val="22"/>
          <w:szCs w:val="22"/>
        </w:rPr>
        <w:t>11</w:t>
      </w:r>
      <w:r w:rsidRPr="0020425C">
        <w:rPr>
          <w:rFonts w:asciiTheme="minorHAnsi" w:hAnsiTheme="minorHAnsi" w:cstheme="minorHAnsi"/>
          <w:sz w:val="22"/>
          <w:szCs w:val="22"/>
        </w:rPr>
        <w:t xml:space="preserve">-2022-EM, publicado el </w:t>
      </w:r>
      <w:r>
        <w:rPr>
          <w:rFonts w:asciiTheme="minorHAnsi" w:hAnsiTheme="minorHAnsi" w:cstheme="minorHAnsi"/>
          <w:sz w:val="22"/>
          <w:szCs w:val="22"/>
        </w:rPr>
        <w:t>18</w:t>
      </w:r>
      <w:r w:rsidRPr="0020425C">
        <w:rPr>
          <w:rFonts w:asciiTheme="minorHAnsi" w:hAnsiTheme="minorHAnsi" w:cstheme="minorHAnsi"/>
          <w:sz w:val="22"/>
          <w:szCs w:val="22"/>
        </w:rPr>
        <w:t xml:space="preserve"> de </w:t>
      </w:r>
      <w:r>
        <w:rPr>
          <w:rFonts w:asciiTheme="minorHAnsi" w:hAnsiTheme="minorHAnsi" w:cstheme="minorHAnsi"/>
          <w:sz w:val="22"/>
          <w:szCs w:val="22"/>
        </w:rPr>
        <w:t>septiembre</w:t>
      </w:r>
      <w:r w:rsidRPr="0020425C">
        <w:rPr>
          <w:rFonts w:asciiTheme="minorHAnsi" w:hAnsiTheme="minorHAnsi" w:cstheme="minorHAnsi"/>
          <w:sz w:val="22"/>
          <w:szCs w:val="22"/>
        </w:rPr>
        <w:t xml:space="preserve"> de 2022, se modificó el numeral 1.1 del artículo 1 del Decreto 002 precisando la inclusión de las Gasolinas de 90 y 84 octanos, Gasohol de 84 octanos y GLP-G en la lista de Productos sujetos al Fondo establecida en el literal m) del artículo 2 del DU 010 hasta el 3</w:t>
      </w:r>
      <w:r>
        <w:rPr>
          <w:rFonts w:asciiTheme="minorHAnsi" w:hAnsiTheme="minorHAnsi" w:cstheme="minorHAnsi"/>
          <w:sz w:val="22"/>
          <w:szCs w:val="22"/>
        </w:rPr>
        <w:t>1</w:t>
      </w:r>
      <w:r w:rsidRPr="0020425C">
        <w:rPr>
          <w:rFonts w:asciiTheme="minorHAnsi" w:hAnsiTheme="minorHAnsi" w:cstheme="minorHAnsi"/>
          <w:sz w:val="22"/>
          <w:szCs w:val="22"/>
        </w:rPr>
        <w:t xml:space="preserve"> de </w:t>
      </w:r>
      <w:r>
        <w:rPr>
          <w:rFonts w:asciiTheme="minorHAnsi" w:hAnsiTheme="minorHAnsi" w:cstheme="minorHAnsi"/>
          <w:sz w:val="22"/>
          <w:szCs w:val="22"/>
        </w:rPr>
        <w:t>dici</w:t>
      </w:r>
      <w:r w:rsidRPr="0020425C">
        <w:rPr>
          <w:rFonts w:asciiTheme="minorHAnsi" w:hAnsiTheme="minorHAnsi" w:cstheme="minorHAnsi"/>
          <w:sz w:val="22"/>
          <w:szCs w:val="22"/>
        </w:rPr>
        <w:t>embre de 2022</w:t>
      </w:r>
      <w:r>
        <w:rPr>
          <w:rFonts w:asciiTheme="minorHAnsi" w:hAnsiTheme="minorHAnsi" w:cstheme="minorHAnsi"/>
          <w:sz w:val="22"/>
          <w:szCs w:val="22"/>
        </w:rPr>
        <w:t>.</w:t>
      </w:r>
    </w:p>
    <w:p w14:paraId="5EFC9D28" w14:textId="77777777" w:rsidR="004D4B7D" w:rsidRDefault="004D4B7D" w:rsidP="004D4B7D">
      <w:pPr>
        <w:pStyle w:val="Prrafodelista"/>
        <w:rPr>
          <w:rFonts w:asciiTheme="minorHAnsi" w:hAnsiTheme="minorHAnsi" w:cstheme="minorHAnsi"/>
          <w:sz w:val="22"/>
          <w:szCs w:val="22"/>
        </w:rPr>
      </w:pPr>
    </w:p>
    <w:p w14:paraId="0A45E724" w14:textId="77777777" w:rsidR="004D4B7D" w:rsidRPr="00562D12" w:rsidRDefault="004D4B7D" w:rsidP="004D4B7D">
      <w:pPr>
        <w:pStyle w:val="Textonotapie"/>
        <w:numPr>
          <w:ilvl w:val="0"/>
          <w:numId w:val="16"/>
        </w:numPr>
        <w:tabs>
          <w:tab w:val="left" w:pos="709"/>
        </w:tabs>
        <w:spacing w:before="0" w:after="0"/>
        <w:ind w:left="568" w:hanging="426"/>
        <w:rPr>
          <w:rFonts w:asciiTheme="minorHAnsi" w:hAnsiTheme="minorHAnsi" w:cstheme="minorHAnsi"/>
          <w:sz w:val="22"/>
          <w:szCs w:val="22"/>
        </w:rPr>
      </w:pPr>
      <w:r>
        <w:rPr>
          <w:rFonts w:asciiTheme="minorHAnsi" w:hAnsiTheme="minorHAnsi" w:cstheme="minorHAnsi"/>
          <w:sz w:val="22"/>
          <w:szCs w:val="22"/>
        </w:rPr>
        <w:t>Posteriormente</w:t>
      </w:r>
      <w:r w:rsidRPr="0020425C">
        <w:rPr>
          <w:rFonts w:asciiTheme="minorHAnsi" w:hAnsiTheme="minorHAnsi" w:cstheme="minorHAnsi"/>
          <w:sz w:val="22"/>
          <w:szCs w:val="22"/>
        </w:rPr>
        <w:t>, mediante Decreto Supremo N° 0</w:t>
      </w:r>
      <w:r>
        <w:rPr>
          <w:rFonts w:asciiTheme="minorHAnsi" w:hAnsiTheme="minorHAnsi" w:cstheme="minorHAnsi"/>
          <w:sz w:val="22"/>
          <w:szCs w:val="22"/>
        </w:rPr>
        <w:t>17</w:t>
      </w:r>
      <w:r w:rsidRPr="0020425C">
        <w:rPr>
          <w:rFonts w:asciiTheme="minorHAnsi" w:hAnsiTheme="minorHAnsi" w:cstheme="minorHAnsi"/>
          <w:sz w:val="22"/>
          <w:szCs w:val="22"/>
        </w:rPr>
        <w:t xml:space="preserve">-2022-EM, publicado el </w:t>
      </w:r>
      <w:r>
        <w:rPr>
          <w:rFonts w:asciiTheme="minorHAnsi" w:hAnsiTheme="minorHAnsi" w:cstheme="minorHAnsi"/>
          <w:sz w:val="22"/>
          <w:szCs w:val="22"/>
        </w:rPr>
        <w:t>29</w:t>
      </w:r>
      <w:r w:rsidRPr="0020425C">
        <w:rPr>
          <w:rFonts w:asciiTheme="minorHAnsi" w:hAnsiTheme="minorHAnsi" w:cstheme="minorHAnsi"/>
          <w:sz w:val="22"/>
          <w:szCs w:val="22"/>
        </w:rPr>
        <w:t xml:space="preserve"> de </w:t>
      </w:r>
      <w:r>
        <w:rPr>
          <w:rFonts w:asciiTheme="minorHAnsi" w:hAnsiTheme="minorHAnsi" w:cstheme="minorHAnsi"/>
          <w:sz w:val="22"/>
          <w:szCs w:val="22"/>
        </w:rPr>
        <w:t>diciembre</w:t>
      </w:r>
      <w:r w:rsidRPr="0020425C">
        <w:rPr>
          <w:rFonts w:asciiTheme="minorHAnsi" w:hAnsiTheme="minorHAnsi" w:cstheme="minorHAnsi"/>
          <w:sz w:val="22"/>
          <w:szCs w:val="22"/>
        </w:rPr>
        <w:t xml:space="preserve"> de 2022, se modificó el numeral 1.1 del artículo 1 del Decreto 002 </w:t>
      </w:r>
      <w:r>
        <w:rPr>
          <w:rFonts w:asciiTheme="minorHAnsi" w:hAnsiTheme="minorHAnsi" w:cstheme="minorHAnsi"/>
          <w:sz w:val="22"/>
          <w:szCs w:val="22"/>
        </w:rPr>
        <w:t xml:space="preserve">extendiendo la inclusión del </w:t>
      </w:r>
      <w:r w:rsidRPr="0020425C">
        <w:rPr>
          <w:rFonts w:asciiTheme="minorHAnsi" w:hAnsiTheme="minorHAnsi" w:cstheme="minorHAnsi"/>
          <w:sz w:val="22"/>
          <w:szCs w:val="22"/>
        </w:rPr>
        <w:t>GLP-G en la lista de Productos sujetos al Fondo establecida en el literal m) del artículo 2 del DU 010 hasta el 3</w:t>
      </w:r>
      <w:r>
        <w:rPr>
          <w:rFonts w:asciiTheme="minorHAnsi" w:hAnsiTheme="minorHAnsi" w:cstheme="minorHAnsi"/>
          <w:sz w:val="22"/>
          <w:szCs w:val="22"/>
        </w:rPr>
        <w:t>1</w:t>
      </w:r>
      <w:r w:rsidRPr="0020425C">
        <w:rPr>
          <w:rFonts w:asciiTheme="minorHAnsi" w:hAnsiTheme="minorHAnsi" w:cstheme="minorHAnsi"/>
          <w:sz w:val="22"/>
          <w:szCs w:val="22"/>
        </w:rPr>
        <w:t xml:space="preserve"> de </w:t>
      </w:r>
      <w:r>
        <w:rPr>
          <w:rFonts w:asciiTheme="minorHAnsi" w:hAnsiTheme="minorHAnsi" w:cstheme="minorHAnsi"/>
          <w:sz w:val="22"/>
          <w:szCs w:val="22"/>
        </w:rPr>
        <w:t>marzo</w:t>
      </w:r>
      <w:r w:rsidRPr="0020425C">
        <w:rPr>
          <w:rFonts w:asciiTheme="minorHAnsi" w:hAnsiTheme="minorHAnsi" w:cstheme="minorHAnsi"/>
          <w:sz w:val="22"/>
          <w:szCs w:val="22"/>
        </w:rPr>
        <w:t xml:space="preserve"> de 202</w:t>
      </w:r>
      <w:r>
        <w:rPr>
          <w:rFonts w:asciiTheme="minorHAnsi" w:hAnsiTheme="minorHAnsi" w:cstheme="minorHAnsi"/>
          <w:sz w:val="22"/>
          <w:szCs w:val="22"/>
        </w:rPr>
        <w:t>3.</w:t>
      </w:r>
    </w:p>
    <w:p w14:paraId="7A953DAE" w14:textId="77777777" w:rsidR="004D4B7D" w:rsidRDefault="004D4B7D" w:rsidP="0074476A">
      <w:pPr>
        <w:pStyle w:val="Textonotapie"/>
        <w:tabs>
          <w:tab w:val="left" w:pos="709"/>
        </w:tabs>
        <w:spacing w:before="0" w:after="0"/>
        <w:ind w:left="568"/>
        <w:rPr>
          <w:rFonts w:asciiTheme="minorHAnsi" w:hAnsiTheme="minorHAnsi" w:cstheme="minorHAnsi"/>
          <w:sz w:val="22"/>
          <w:szCs w:val="22"/>
        </w:rPr>
      </w:pPr>
    </w:p>
    <w:p w14:paraId="24F917D0" w14:textId="398BA89A" w:rsidR="004D4B7D" w:rsidRDefault="009F0937" w:rsidP="003D1BCE">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Mediante Resolución N° 0</w:t>
      </w:r>
      <w:r w:rsidR="004D4B7D" w:rsidRPr="004D4B7D">
        <w:rPr>
          <w:rFonts w:asciiTheme="minorHAnsi" w:hAnsiTheme="minorHAnsi" w:cstheme="minorHAnsi"/>
          <w:sz w:val="22"/>
          <w:szCs w:val="22"/>
        </w:rPr>
        <w:t>0</w:t>
      </w:r>
      <w:r w:rsidR="00641324">
        <w:rPr>
          <w:rFonts w:asciiTheme="minorHAnsi" w:hAnsiTheme="minorHAnsi" w:cstheme="minorHAnsi"/>
          <w:sz w:val="22"/>
          <w:szCs w:val="22"/>
        </w:rPr>
        <w:t>5</w:t>
      </w:r>
      <w:r w:rsidRPr="004D4B7D">
        <w:rPr>
          <w:rFonts w:asciiTheme="minorHAnsi" w:hAnsiTheme="minorHAnsi" w:cstheme="minorHAnsi"/>
          <w:sz w:val="22"/>
          <w:szCs w:val="22"/>
        </w:rPr>
        <w:t>-202</w:t>
      </w:r>
      <w:r w:rsidR="004D4B7D" w:rsidRPr="004D4B7D">
        <w:rPr>
          <w:rFonts w:asciiTheme="minorHAnsi" w:hAnsiTheme="minorHAnsi" w:cstheme="minorHAnsi"/>
          <w:sz w:val="22"/>
          <w:szCs w:val="22"/>
        </w:rPr>
        <w:t>3</w:t>
      </w:r>
      <w:r w:rsidRPr="004D4B7D">
        <w:rPr>
          <w:rFonts w:asciiTheme="minorHAnsi" w:hAnsiTheme="minorHAnsi" w:cstheme="minorHAnsi"/>
          <w:sz w:val="22"/>
          <w:szCs w:val="22"/>
        </w:rPr>
        <w:t>-OS/GRT, se fijaron la</w:t>
      </w:r>
      <w:r w:rsidR="00952F32" w:rsidRPr="004D4B7D">
        <w:rPr>
          <w:rFonts w:asciiTheme="minorHAnsi" w:hAnsiTheme="minorHAnsi" w:cstheme="minorHAnsi"/>
          <w:sz w:val="22"/>
          <w:szCs w:val="22"/>
        </w:rPr>
        <w:t>s</w:t>
      </w:r>
      <w:r w:rsidRPr="004D4B7D">
        <w:rPr>
          <w:rFonts w:asciiTheme="minorHAnsi" w:hAnsiTheme="minorHAnsi" w:cstheme="minorHAnsi"/>
          <w:sz w:val="22"/>
          <w:szCs w:val="22"/>
        </w:rPr>
        <w:t xml:space="preserve"> Bandas de Precios y los Márgenes Comerciales para</w:t>
      </w:r>
      <w:r w:rsidR="0079038D" w:rsidRPr="004D4B7D">
        <w:rPr>
          <w:rFonts w:asciiTheme="minorHAnsi" w:hAnsiTheme="minorHAnsi" w:cstheme="minorHAnsi"/>
          <w:sz w:val="22"/>
          <w:szCs w:val="22"/>
        </w:rPr>
        <w:t xml:space="preserve"> el </w:t>
      </w:r>
      <w:r w:rsidR="004D4B7D" w:rsidRPr="004D4B7D">
        <w:rPr>
          <w:rFonts w:asciiTheme="minorHAnsi" w:hAnsiTheme="minorHAnsi" w:cstheme="minorHAnsi"/>
          <w:sz w:val="22"/>
          <w:szCs w:val="22"/>
        </w:rPr>
        <w:t xml:space="preserve">Gas Licuado de Petróleo destinado a envasado (GLP-E), el Gas Licuado de Petróleo destinado a granel (GLP-G) y </w:t>
      </w:r>
      <w:r w:rsidR="0079038D" w:rsidRPr="004D4B7D">
        <w:rPr>
          <w:rFonts w:asciiTheme="minorHAnsi" w:hAnsiTheme="minorHAnsi" w:cstheme="minorHAnsi"/>
          <w:sz w:val="22"/>
          <w:szCs w:val="22"/>
        </w:rPr>
        <w:t>Diésel B5 destinado al uso vehicular</w:t>
      </w:r>
      <w:r w:rsidR="00A526AB" w:rsidRPr="004D4B7D">
        <w:rPr>
          <w:rFonts w:asciiTheme="minorHAnsi" w:hAnsiTheme="minorHAnsi" w:cstheme="minorHAnsi"/>
          <w:sz w:val="22"/>
          <w:szCs w:val="22"/>
        </w:rPr>
        <w:t xml:space="preserve"> </w:t>
      </w:r>
      <w:r w:rsidR="009C0925" w:rsidRPr="004D4B7D">
        <w:rPr>
          <w:rFonts w:asciiTheme="minorHAnsi" w:hAnsiTheme="minorHAnsi" w:cstheme="minorHAnsi"/>
          <w:sz w:val="22"/>
          <w:szCs w:val="22"/>
        </w:rPr>
        <w:t xml:space="preserve">con vigencia desde el </w:t>
      </w:r>
      <w:r w:rsidR="004D4B7D" w:rsidRPr="004D4B7D">
        <w:rPr>
          <w:rFonts w:asciiTheme="minorHAnsi" w:hAnsiTheme="minorHAnsi" w:cstheme="minorHAnsi"/>
          <w:sz w:val="22"/>
          <w:szCs w:val="22"/>
        </w:rPr>
        <w:t>2</w:t>
      </w:r>
      <w:r w:rsidR="0079081F">
        <w:rPr>
          <w:rFonts w:asciiTheme="minorHAnsi" w:hAnsiTheme="minorHAnsi" w:cstheme="minorHAnsi"/>
          <w:sz w:val="22"/>
          <w:szCs w:val="22"/>
        </w:rPr>
        <w:t>4</w:t>
      </w:r>
      <w:r w:rsidR="009C0925" w:rsidRPr="004D4B7D">
        <w:rPr>
          <w:rFonts w:asciiTheme="minorHAnsi" w:hAnsiTheme="minorHAnsi" w:cstheme="minorHAnsi"/>
          <w:sz w:val="22"/>
          <w:szCs w:val="22"/>
        </w:rPr>
        <w:t xml:space="preserve"> de </w:t>
      </w:r>
      <w:r w:rsidR="0079081F">
        <w:rPr>
          <w:rFonts w:asciiTheme="minorHAnsi" w:hAnsiTheme="minorHAnsi" w:cstheme="minorHAnsi"/>
          <w:sz w:val="22"/>
          <w:szCs w:val="22"/>
        </w:rPr>
        <w:t>febrero</w:t>
      </w:r>
      <w:r w:rsidR="009C0925" w:rsidRPr="004D4B7D">
        <w:rPr>
          <w:rFonts w:asciiTheme="minorHAnsi" w:hAnsiTheme="minorHAnsi" w:cstheme="minorHAnsi"/>
          <w:sz w:val="22"/>
          <w:szCs w:val="22"/>
        </w:rPr>
        <w:t xml:space="preserve"> hasta el jueves </w:t>
      </w:r>
      <w:r w:rsidR="0079081F">
        <w:rPr>
          <w:rFonts w:asciiTheme="minorHAnsi" w:hAnsiTheme="minorHAnsi" w:cstheme="minorHAnsi"/>
          <w:sz w:val="22"/>
          <w:szCs w:val="22"/>
        </w:rPr>
        <w:t>30</w:t>
      </w:r>
      <w:r w:rsidR="009C0925" w:rsidRPr="004D4B7D">
        <w:rPr>
          <w:rFonts w:asciiTheme="minorHAnsi" w:hAnsiTheme="minorHAnsi" w:cstheme="minorHAnsi"/>
          <w:sz w:val="22"/>
          <w:szCs w:val="22"/>
        </w:rPr>
        <w:t xml:space="preserve"> de </w:t>
      </w:r>
      <w:r w:rsidR="0079081F">
        <w:rPr>
          <w:rFonts w:asciiTheme="minorHAnsi" w:hAnsiTheme="minorHAnsi" w:cstheme="minorHAnsi"/>
          <w:sz w:val="22"/>
          <w:szCs w:val="22"/>
        </w:rPr>
        <w:t>marz</w:t>
      </w:r>
      <w:r w:rsidR="009C0925" w:rsidRPr="004D4B7D">
        <w:rPr>
          <w:rFonts w:asciiTheme="minorHAnsi" w:hAnsiTheme="minorHAnsi" w:cstheme="minorHAnsi"/>
          <w:sz w:val="22"/>
          <w:szCs w:val="22"/>
        </w:rPr>
        <w:t>o de 2023.</w:t>
      </w:r>
      <w:r w:rsidR="00641324">
        <w:rPr>
          <w:rFonts w:asciiTheme="minorHAnsi" w:hAnsiTheme="minorHAnsi" w:cstheme="minorHAnsi"/>
          <w:sz w:val="22"/>
          <w:szCs w:val="22"/>
        </w:rPr>
        <w:t xml:space="preserve"> Asimismo, se fijó la Banda de Precios para el Petróleo Industrial N°6 utilizado en actividades de generación eléctrica en sistemas eléctricos Aislados, con vigencia a partir del 24 de febrero de 2023 hasta el 27 de abril de 2023</w:t>
      </w:r>
      <w:r w:rsidR="0079081F">
        <w:rPr>
          <w:rFonts w:asciiTheme="minorHAnsi" w:hAnsiTheme="minorHAnsi" w:cstheme="minorHAnsi"/>
          <w:sz w:val="22"/>
          <w:szCs w:val="22"/>
        </w:rPr>
        <w:t>.</w:t>
      </w:r>
    </w:p>
    <w:p w14:paraId="394E0522" w14:textId="6879FC79" w:rsidR="00162126" w:rsidRDefault="00162126" w:rsidP="004D4B7D">
      <w:pPr>
        <w:pStyle w:val="Textonotapie"/>
        <w:tabs>
          <w:tab w:val="left" w:pos="709"/>
        </w:tabs>
        <w:spacing w:before="0" w:after="0"/>
        <w:ind w:left="568"/>
        <w:rPr>
          <w:rFonts w:asciiTheme="minorHAnsi" w:hAnsiTheme="minorHAnsi" w:cstheme="minorHAnsi"/>
          <w:sz w:val="22"/>
          <w:szCs w:val="22"/>
        </w:rPr>
      </w:pPr>
    </w:p>
    <w:p w14:paraId="5AAD8AFE" w14:textId="77777777" w:rsidR="0079059A" w:rsidRDefault="0079059A" w:rsidP="0079059A">
      <w:pPr>
        <w:pStyle w:val="Sangradetextonormal"/>
        <w:numPr>
          <w:ilvl w:val="0"/>
          <w:numId w:val="16"/>
        </w:numPr>
        <w:ind w:left="568" w:hanging="426"/>
        <w:rPr>
          <w:rFonts w:asciiTheme="minorHAnsi" w:hAnsiTheme="minorHAnsi" w:cstheme="minorHAnsi"/>
          <w:sz w:val="22"/>
          <w:szCs w:val="22"/>
        </w:rPr>
      </w:pPr>
      <w:r w:rsidRPr="00300844">
        <w:rPr>
          <w:rFonts w:asciiTheme="minorHAnsi" w:hAnsiTheme="minorHAnsi" w:cstheme="minorHAnsi"/>
          <w:sz w:val="22"/>
          <w:szCs w:val="22"/>
        </w:rPr>
        <w:t>Teniendo en cuenta las Bandas de Precios y los Márgenes Comerciales de los combustibles establecidos mediante la Resoluci</w:t>
      </w:r>
      <w:r>
        <w:rPr>
          <w:rFonts w:asciiTheme="minorHAnsi" w:hAnsiTheme="minorHAnsi" w:cstheme="minorHAnsi"/>
          <w:sz w:val="22"/>
          <w:szCs w:val="22"/>
        </w:rPr>
        <w:t xml:space="preserve">ón </w:t>
      </w:r>
      <w:r w:rsidRPr="00300844">
        <w:rPr>
          <w:rFonts w:asciiTheme="minorHAnsi" w:hAnsiTheme="minorHAnsi" w:cstheme="minorHAnsi"/>
          <w:sz w:val="22"/>
          <w:szCs w:val="22"/>
        </w:rPr>
        <w:t>de la Gerencia de Regulación Tarifaria Osinergmin N° 0</w:t>
      </w:r>
      <w:r>
        <w:rPr>
          <w:rFonts w:asciiTheme="minorHAnsi" w:hAnsiTheme="minorHAnsi" w:cstheme="minorHAnsi"/>
          <w:sz w:val="22"/>
          <w:szCs w:val="22"/>
        </w:rPr>
        <w:t>05</w:t>
      </w:r>
      <w:r w:rsidRPr="00300844">
        <w:rPr>
          <w:rFonts w:asciiTheme="minorHAnsi" w:hAnsiTheme="minorHAnsi" w:cstheme="minorHAnsi"/>
          <w:sz w:val="22"/>
          <w:szCs w:val="22"/>
        </w:rPr>
        <w:t>-202</w:t>
      </w:r>
      <w:r>
        <w:rPr>
          <w:rFonts w:asciiTheme="minorHAnsi" w:hAnsiTheme="minorHAnsi" w:cstheme="minorHAnsi"/>
          <w:sz w:val="22"/>
          <w:szCs w:val="22"/>
        </w:rPr>
        <w:t>3</w:t>
      </w:r>
      <w:r w:rsidRPr="00300844">
        <w:rPr>
          <w:rFonts w:asciiTheme="minorHAnsi" w:hAnsiTheme="minorHAnsi" w:cstheme="minorHAnsi"/>
          <w:sz w:val="22"/>
          <w:szCs w:val="22"/>
        </w:rPr>
        <w:t xml:space="preserve">-OS/GRT, el MINEM publicó los Factores de Aportación y/o Compensación vigentes desde el </w:t>
      </w:r>
      <w:r>
        <w:rPr>
          <w:rFonts w:asciiTheme="minorHAnsi" w:hAnsiTheme="minorHAnsi" w:cstheme="minorHAnsi"/>
          <w:sz w:val="22"/>
          <w:szCs w:val="22"/>
        </w:rPr>
        <w:t>martes 07</w:t>
      </w:r>
      <w:r w:rsidRPr="00300844">
        <w:rPr>
          <w:rFonts w:asciiTheme="minorHAnsi" w:hAnsiTheme="minorHAnsi" w:cstheme="minorHAnsi"/>
          <w:sz w:val="22"/>
          <w:szCs w:val="22"/>
        </w:rPr>
        <w:t xml:space="preserve"> al </w:t>
      </w:r>
      <w:r>
        <w:rPr>
          <w:rFonts w:asciiTheme="minorHAnsi" w:hAnsiTheme="minorHAnsi" w:cstheme="minorHAnsi"/>
          <w:sz w:val="22"/>
          <w:szCs w:val="22"/>
        </w:rPr>
        <w:t>lunes 13</w:t>
      </w:r>
      <w:r w:rsidRPr="00300844">
        <w:rPr>
          <w:rFonts w:asciiTheme="minorHAnsi" w:hAnsiTheme="minorHAnsi" w:cstheme="minorHAnsi"/>
          <w:sz w:val="22"/>
          <w:szCs w:val="22"/>
        </w:rPr>
        <w:t xml:space="preserve"> de </w:t>
      </w:r>
      <w:r>
        <w:rPr>
          <w:rFonts w:asciiTheme="minorHAnsi" w:hAnsiTheme="minorHAnsi" w:cstheme="minorHAnsi"/>
          <w:sz w:val="22"/>
          <w:szCs w:val="22"/>
        </w:rPr>
        <w:t>marzo</w:t>
      </w:r>
      <w:r w:rsidRPr="00300844">
        <w:rPr>
          <w:rFonts w:asciiTheme="minorHAnsi" w:hAnsiTheme="minorHAnsi" w:cstheme="minorHAnsi"/>
          <w:sz w:val="22"/>
          <w:szCs w:val="22"/>
        </w:rPr>
        <w:t xml:space="preserve"> de 202</w:t>
      </w:r>
      <w:r>
        <w:rPr>
          <w:rFonts w:asciiTheme="minorHAnsi" w:hAnsiTheme="minorHAnsi" w:cstheme="minorHAnsi"/>
          <w:sz w:val="22"/>
          <w:szCs w:val="22"/>
        </w:rPr>
        <w:t>3</w:t>
      </w:r>
      <w:r w:rsidRPr="00300844">
        <w:rPr>
          <w:rFonts w:asciiTheme="minorHAnsi" w:hAnsiTheme="minorHAnsi" w:cstheme="minorHAnsi"/>
          <w:sz w:val="22"/>
          <w:szCs w:val="22"/>
        </w:rPr>
        <w:t>.</w:t>
      </w:r>
    </w:p>
    <w:p w14:paraId="4EBA0DFC" w14:textId="77777777" w:rsidR="0079059A" w:rsidRDefault="0079059A" w:rsidP="0079059A">
      <w:pPr>
        <w:pStyle w:val="Prrafodelista"/>
        <w:rPr>
          <w:rFonts w:asciiTheme="minorHAnsi" w:hAnsiTheme="minorHAnsi" w:cstheme="minorHAnsi"/>
          <w:sz w:val="22"/>
          <w:szCs w:val="22"/>
        </w:rPr>
      </w:pPr>
    </w:p>
    <w:p w14:paraId="2C4AC7AC" w14:textId="2BDB4268" w:rsidR="009D32AB" w:rsidRDefault="0079059A" w:rsidP="00FC618C">
      <w:pPr>
        <w:pStyle w:val="Sangradetextonormal"/>
        <w:numPr>
          <w:ilvl w:val="0"/>
          <w:numId w:val="16"/>
        </w:numPr>
        <w:ind w:left="568" w:hanging="426"/>
        <w:rPr>
          <w:rFonts w:asciiTheme="minorHAnsi" w:hAnsiTheme="minorHAnsi" w:cstheme="minorHAnsi"/>
          <w:sz w:val="22"/>
          <w:szCs w:val="22"/>
        </w:rPr>
      </w:pPr>
      <w:r w:rsidRPr="00232A32">
        <w:rPr>
          <w:rFonts w:asciiTheme="minorHAnsi" w:hAnsiTheme="minorHAnsi" w:cstheme="minorHAnsi"/>
          <w:sz w:val="22"/>
          <w:szCs w:val="22"/>
        </w:rPr>
        <w:t xml:space="preserve">El día </w:t>
      </w:r>
      <w:r>
        <w:rPr>
          <w:rFonts w:asciiTheme="minorHAnsi" w:hAnsiTheme="minorHAnsi" w:cstheme="minorHAnsi"/>
          <w:sz w:val="22"/>
          <w:szCs w:val="22"/>
        </w:rPr>
        <w:t>10</w:t>
      </w:r>
      <w:r w:rsidRPr="00232A32">
        <w:rPr>
          <w:rFonts w:asciiTheme="minorHAnsi" w:hAnsiTheme="minorHAnsi" w:cstheme="minorHAnsi"/>
          <w:sz w:val="22"/>
          <w:szCs w:val="22"/>
        </w:rPr>
        <w:t>.</w:t>
      </w:r>
      <w:r>
        <w:rPr>
          <w:rFonts w:asciiTheme="minorHAnsi" w:hAnsiTheme="minorHAnsi" w:cstheme="minorHAnsi"/>
          <w:sz w:val="22"/>
          <w:szCs w:val="22"/>
        </w:rPr>
        <w:t>03</w:t>
      </w:r>
      <w:r w:rsidRPr="00232A32">
        <w:rPr>
          <w:rFonts w:asciiTheme="minorHAnsi" w:hAnsiTheme="minorHAnsi" w:cstheme="minorHAnsi"/>
          <w:sz w:val="22"/>
          <w:szCs w:val="22"/>
        </w:rPr>
        <w:t>.202</w:t>
      </w:r>
      <w:r>
        <w:rPr>
          <w:rFonts w:asciiTheme="minorHAnsi" w:hAnsiTheme="minorHAnsi" w:cstheme="minorHAnsi"/>
          <w:sz w:val="22"/>
          <w:szCs w:val="22"/>
        </w:rPr>
        <w:t>3</w:t>
      </w:r>
      <w:r w:rsidRPr="00232A32">
        <w:rPr>
          <w:rFonts w:asciiTheme="minorHAnsi" w:hAnsiTheme="minorHAnsi" w:cstheme="minorHAnsi"/>
          <w:sz w:val="22"/>
          <w:szCs w:val="22"/>
        </w:rPr>
        <w:t xml:space="preserve">, PETROPERÚ publicó su lista de precios de venta de combustibles. Se registraron variaciones en los precios de la </w:t>
      </w:r>
      <w:r w:rsidR="00FC618C">
        <w:rPr>
          <w:rFonts w:asciiTheme="minorHAnsi" w:hAnsiTheme="minorHAnsi" w:cstheme="minorHAnsi"/>
          <w:sz w:val="22"/>
          <w:szCs w:val="22"/>
        </w:rPr>
        <w:t>G</w:t>
      </w:r>
      <w:r w:rsidRPr="00232A32">
        <w:rPr>
          <w:rFonts w:asciiTheme="minorHAnsi" w:hAnsiTheme="minorHAnsi" w:cstheme="minorHAnsi"/>
          <w:sz w:val="22"/>
          <w:szCs w:val="22"/>
        </w:rPr>
        <w:t xml:space="preserve">asolina </w:t>
      </w:r>
      <w:r w:rsidR="00FC618C">
        <w:rPr>
          <w:rFonts w:asciiTheme="minorHAnsi" w:hAnsiTheme="minorHAnsi" w:cstheme="minorHAnsi"/>
          <w:sz w:val="22"/>
          <w:szCs w:val="22"/>
        </w:rPr>
        <w:t>P</w:t>
      </w:r>
      <w:r>
        <w:rPr>
          <w:rFonts w:asciiTheme="minorHAnsi" w:hAnsiTheme="minorHAnsi" w:cstheme="minorHAnsi"/>
          <w:sz w:val="22"/>
          <w:szCs w:val="22"/>
        </w:rPr>
        <w:t>remium</w:t>
      </w:r>
      <w:r w:rsidRPr="00232A32">
        <w:rPr>
          <w:rFonts w:asciiTheme="minorHAnsi" w:hAnsiTheme="minorHAnsi" w:cstheme="minorHAnsi"/>
          <w:sz w:val="22"/>
          <w:szCs w:val="22"/>
        </w:rPr>
        <w:t xml:space="preserve"> (</w:t>
      </w:r>
      <w:r>
        <w:rPr>
          <w:rFonts w:asciiTheme="minorHAnsi" w:hAnsiTheme="minorHAnsi" w:cstheme="minorHAnsi"/>
          <w:sz w:val="22"/>
          <w:szCs w:val="22"/>
        </w:rPr>
        <w:t>-0,20</w:t>
      </w:r>
      <w:r w:rsidRPr="00232A32">
        <w:rPr>
          <w:rFonts w:asciiTheme="minorHAnsi" w:hAnsiTheme="minorHAnsi" w:cstheme="minorHAnsi"/>
          <w:sz w:val="22"/>
          <w:szCs w:val="22"/>
        </w:rPr>
        <w:t xml:space="preserve"> S/</w:t>
      </w:r>
      <w:proofErr w:type="spellStart"/>
      <w:r w:rsidRPr="00232A32">
        <w:rPr>
          <w:rFonts w:asciiTheme="minorHAnsi" w:hAnsiTheme="minorHAnsi" w:cstheme="minorHAnsi"/>
          <w:sz w:val="22"/>
          <w:szCs w:val="22"/>
        </w:rPr>
        <w:t>Gln</w:t>
      </w:r>
      <w:proofErr w:type="spellEnd"/>
      <w:r w:rsidRPr="00232A32">
        <w:rPr>
          <w:rFonts w:asciiTheme="minorHAnsi" w:hAnsiTheme="minorHAnsi" w:cstheme="minorHAnsi"/>
          <w:sz w:val="22"/>
          <w:szCs w:val="22"/>
        </w:rPr>
        <w:t xml:space="preserve">), </w:t>
      </w:r>
      <w:r w:rsidR="00FC618C">
        <w:rPr>
          <w:rFonts w:asciiTheme="minorHAnsi" w:hAnsiTheme="minorHAnsi" w:cstheme="minorHAnsi"/>
          <w:sz w:val="22"/>
          <w:szCs w:val="22"/>
        </w:rPr>
        <w:t>G</w:t>
      </w:r>
      <w:r>
        <w:rPr>
          <w:rFonts w:asciiTheme="minorHAnsi" w:hAnsiTheme="minorHAnsi" w:cstheme="minorHAnsi"/>
          <w:sz w:val="22"/>
          <w:szCs w:val="22"/>
        </w:rPr>
        <w:t xml:space="preserve">asolina </w:t>
      </w:r>
      <w:r w:rsidR="00FC618C">
        <w:rPr>
          <w:rFonts w:asciiTheme="minorHAnsi" w:hAnsiTheme="minorHAnsi" w:cstheme="minorHAnsi"/>
          <w:sz w:val="22"/>
          <w:szCs w:val="22"/>
        </w:rPr>
        <w:t>R</w:t>
      </w:r>
      <w:r>
        <w:rPr>
          <w:rFonts w:asciiTheme="minorHAnsi" w:hAnsiTheme="minorHAnsi" w:cstheme="minorHAnsi"/>
          <w:sz w:val="22"/>
          <w:szCs w:val="22"/>
        </w:rPr>
        <w:t>egular</w:t>
      </w:r>
      <w:r w:rsidRPr="00232A32">
        <w:rPr>
          <w:rFonts w:asciiTheme="minorHAnsi" w:hAnsiTheme="minorHAnsi" w:cstheme="minorHAnsi"/>
          <w:sz w:val="22"/>
          <w:szCs w:val="22"/>
        </w:rPr>
        <w:t xml:space="preserve"> (</w:t>
      </w:r>
      <w:r>
        <w:rPr>
          <w:rFonts w:asciiTheme="minorHAnsi" w:hAnsiTheme="minorHAnsi" w:cstheme="minorHAnsi"/>
          <w:sz w:val="22"/>
          <w:szCs w:val="22"/>
        </w:rPr>
        <w:t>-</w:t>
      </w:r>
      <w:r w:rsidRPr="00232A32">
        <w:rPr>
          <w:rFonts w:asciiTheme="minorHAnsi" w:hAnsiTheme="minorHAnsi" w:cstheme="minorHAnsi"/>
          <w:sz w:val="22"/>
          <w:szCs w:val="22"/>
        </w:rPr>
        <w:t>0</w:t>
      </w:r>
      <w:r>
        <w:rPr>
          <w:rFonts w:asciiTheme="minorHAnsi" w:hAnsiTheme="minorHAnsi" w:cstheme="minorHAnsi"/>
          <w:sz w:val="22"/>
          <w:szCs w:val="22"/>
        </w:rPr>
        <w:t>,19</w:t>
      </w:r>
      <w:r w:rsidRPr="00232A32">
        <w:rPr>
          <w:rFonts w:asciiTheme="minorHAnsi" w:hAnsiTheme="minorHAnsi" w:cstheme="minorHAnsi"/>
          <w:sz w:val="22"/>
          <w:szCs w:val="22"/>
        </w:rPr>
        <w:t xml:space="preserve"> S/</w:t>
      </w:r>
      <w:proofErr w:type="spellStart"/>
      <w:r w:rsidRPr="00232A32">
        <w:rPr>
          <w:rFonts w:asciiTheme="minorHAnsi" w:hAnsiTheme="minorHAnsi" w:cstheme="minorHAnsi"/>
          <w:sz w:val="22"/>
          <w:szCs w:val="22"/>
        </w:rPr>
        <w:t>Gln</w:t>
      </w:r>
      <w:proofErr w:type="spellEnd"/>
      <w:r w:rsidRPr="00232A32">
        <w:rPr>
          <w:rFonts w:asciiTheme="minorHAnsi" w:hAnsiTheme="minorHAnsi" w:cstheme="minorHAnsi"/>
          <w:sz w:val="22"/>
          <w:szCs w:val="22"/>
        </w:rPr>
        <w:t xml:space="preserve">) y </w:t>
      </w:r>
      <w:r>
        <w:rPr>
          <w:rFonts w:asciiTheme="minorHAnsi" w:hAnsiTheme="minorHAnsi" w:cstheme="minorHAnsi"/>
          <w:sz w:val="22"/>
          <w:szCs w:val="22"/>
        </w:rPr>
        <w:t xml:space="preserve">Gasolina </w:t>
      </w:r>
      <w:r w:rsidRPr="00232A32">
        <w:rPr>
          <w:rFonts w:asciiTheme="minorHAnsi" w:hAnsiTheme="minorHAnsi" w:cstheme="minorHAnsi"/>
          <w:sz w:val="22"/>
          <w:szCs w:val="22"/>
        </w:rPr>
        <w:t>84 octanos (</w:t>
      </w:r>
      <w:r>
        <w:rPr>
          <w:rFonts w:asciiTheme="minorHAnsi" w:hAnsiTheme="minorHAnsi" w:cstheme="minorHAnsi"/>
          <w:sz w:val="22"/>
          <w:szCs w:val="22"/>
        </w:rPr>
        <w:t>-</w:t>
      </w:r>
      <w:r w:rsidRPr="00232A32">
        <w:rPr>
          <w:rFonts w:asciiTheme="minorHAnsi" w:hAnsiTheme="minorHAnsi" w:cstheme="minorHAnsi"/>
          <w:sz w:val="22"/>
          <w:szCs w:val="22"/>
        </w:rPr>
        <w:t>0</w:t>
      </w:r>
      <w:r>
        <w:rPr>
          <w:rFonts w:asciiTheme="minorHAnsi" w:hAnsiTheme="minorHAnsi" w:cstheme="minorHAnsi"/>
          <w:sz w:val="22"/>
          <w:szCs w:val="22"/>
        </w:rPr>
        <w:t>,12</w:t>
      </w:r>
      <w:r w:rsidRPr="00232A32">
        <w:rPr>
          <w:rFonts w:asciiTheme="minorHAnsi" w:hAnsiTheme="minorHAnsi" w:cstheme="minorHAnsi"/>
          <w:sz w:val="22"/>
          <w:szCs w:val="22"/>
        </w:rPr>
        <w:t xml:space="preserve"> S/</w:t>
      </w:r>
      <w:proofErr w:type="spellStart"/>
      <w:r w:rsidRPr="00232A32">
        <w:rPr>
          <w:rFonts w:asciiTheme="minorHAnsi" w:hAnsiTheme="minorHAnsi" w:cstheme="minorHAnsi"/>
          <w:sz w:val="22"/>
          <w:szCs w:val="22"/>
        </w:rPr>
        <w:t>Gln</w:t>
      </w:r>
      <w:proofErr w:type="spellEnd"/>
      <w:r w:rsidRPr="00232A32">
        <w:rPr>
          <w:rFonts w:asciiTheme="minorHAnsi" w:hAnsiTheme="minorHAnsi" w:cstheme="minorHAnsi"/>
          <w:sz w:val="22"/>
          <w:szCs w:val="22"/>
        </w:rPr>
        <w:t xml:space="preserve">), </w:t>
      </w:r>
      <w:r>
        <w:rPr>
          <w:rFonts w:asciiTheme="minorHAnsi" w:hAnsiTheme="minorHAnsi" w:cstheme="minorHAnsi"/>
          <w:sz w:val="22"/>
          <w:szCs w:val="22"/>
        </w:rPr>
        <w:t xml:space="preserve">Gasohol Premium </w:t>
      </w:r>
      <w:r w:rsidRPr="00232A32">
        <w:rPr>
          <w:rFonts w:asciiTheme="minorHAnsi" w:hAnsiTheme="minorHAnsi" w:cstheme="minorHAnsi"/>
          <w:sz w:val="22"/>
          <w:szCs w:val="22"/>
        </w:rPr>
        <w:t>(</w:t>
      </w:r>
      <w:r>
        <w:rPr>
          <w:rFonts w:asciiTheme="minorHAnsi" w:hAnsiTheme="minorHAnsi" w:cstheme="minorHAnsi"/>
          <w:sz w:val="22"/>
          <w:szCs w:val="22"/>
        </w:rPr>
        <w:t>-</w:t>
      </w:r>
      <w:r w:rsidRPr="00232A32">
        <w:rPr>
          <w:rFonts w:asciiTheme="minorHAnsi" w:hAnsiTheme="minorHAnsi" w:cstheme="minorHAnsi"/>
          <w:sz w:val="22"/>
          <w:szCs w:val="22"/>
        </w:rPr>
        <w:t>0</w:t>
      </w:r>
      <w:r>
        <w:rPr>
          <w:rFonts w:asciiTheme="minorHAnsi" w:hAnsiTheme="minorHAnsi" w:cstheme="minorHAnsi"/>
          <w:sz w:val="22"/>
          <w:szCs w:val="22"/>
        </w:rPr>
        <w:t>,19</w:t>
      </w:r>
      <w:r w:rsidRPr="00232A32">
        <w:rPr>
          <w:rFonts w:asciiTheme="minorHAnsi" w:hAnsiTheme="minorHAnsi" w:cstheme="minorHAnsi"/>
          <w:sz w:val="22"/>
          <w:szCs w:val="22"/>
        </w:rPr>
        <w:t xml:space="preserve"> S/</w:t>
      </w:r>
      <w:proofErr w:type="spellStart"/>
      <w:r w:rsidRPr="00232A32">
        <w:rPr>
          <w:rFonts w:asciiTheme="minorHAnsi" w:hAnsiTheme="minorHAnsi" w:cstheme="minorHAnsi"/>
          <w:sz w:val="22"/>
          <w:szCs w:val="22"/>
        </w:rPr>
        <w:t>Gln</w:t>
      </w:r>
      <w:proofErr w:type="spellEnd"/>
      <w:r w:rsidRPr="00232A32">
        <w:rPr>
          <w:rFonts w:asciiTheme="minorHAnsi" w:hAnsiTheme="minorHAnsi" w:cstheme="minorHAnsi"/>
          <w:sz w:val="22"/>
          <w:szCs w:val="22"/>
        </w:rPr>
        <w:t xml:space="preserve">), </w:t>
      </w:r>
      <w:r>
        <w:rPr>
          <w:rFonts w:asciiTheme="minorHAnsi" w:hAnsiTheme="minorHAnsi" w:cstheme="minorHAnsi"/>
          <w:sz w:val="22"/>
          <w:szCs w:val="22"/>
        </w:rPr>
        <w:lastRenderedPageBreak/>
        <w:t xml:space="preserve">Gasohol Regular </w:t>
      </w:r>
      <w:r w:rsidRPr="00232A32">
        <w:rPr>
          <w:rFonts w:asciiTheme="minorHAnsi" w:hAnsiTheme="minorHAnsi" w:cstheme="minorHAnsi"/>
          <w:sz w:val="22"/>
          <w:szCs w:val="22"/>
        </w:rPr>
        <w:t>(</w:t>
      </w:r>
      <w:r>
        <w:rPr>
          <w:rFonts w:asciiTheme="minorHAnsi" w:hAnsiTheme="minorHAnsi" w:cstheme="minorHAnsi"/>
          <w:sz w:val="22"/>
          <w:szCs w:val="22"/>
        </w:rPr>
        <w:t>-</w:t>
      </w:r>
      <w:r w:rsidRPr="00232A32">
        <w:rPr>
          <w:rFonts w:asciiTheme="minorHAnsi" w:hAnsiTheme="minorHAnsi" w:cstheme="minorHAnsi"/>
          <w:sz w:val="22"/>
          <w:szCs w:val="22"/>
        </w:rPr>
        <w:t>0</w:t>
      </w:r>
      <w:r>
        <w:rPr>
          <w:rFonts w:asciiTheme="minorHAnsi" w:hAnsiTheme="minorHAnsi" w:cstheme="minorHAnsi"/>
          <w:sz w:val="22"/>
          <w:szCs w:val="22"/>
        </w:rPr>
        <w:t>,19</w:t>
      </w:r>
      <w:r w:rsidRPr="00232A32">
        <w:rPr>
          <w:rFonts w:asciiTheme="minorHAnsi" w:hAnsiTheme="minorHAnsi" w:cstheme="minorHAnsi"/>
          <w:sz w:val="22"/>
          <w:szCs w:val="22"/>
        </w:rPr>
        <w:t xml:space="preserve"> S/</w:t>
      </w:r>
      <w:proofErr w:type="spellStart"/>
      <w:r w:rsidRPr="00232A32">
        <w:rPr>
          <w:rFonts w:asciiTheme="minorHAnsi" w:hAnsiTheme="minorHAnsi" w:cstheme="minorHAnsi"/>
          <w:sz w:val="22"/>
          <w:szCs w:val="22"/>
        </w:rPr>
        <w:t>Gln</w:t>
      </w:r>
      <w:proofErr w:type="spellEnd"/>
      <w:r w:rsidRPr="00232A32">
        <w:rPr>
          <w:rFonts w:asciiTheme="minorHAnsi" w:hAnsiTheme="minorHAnsi" w:cstheme="minorHAnsi"/>
          <w:sz w:val="22"/>
          <w:szCs w:val="22"/>
        </w:rPr>
        <w:t xml:space="preserve">) y </w:t>
      </w:r>
      <w:r>
        <w:rPr>
          <w:rFonts w:asciiTheme="minorHAnsi" w:hAnsiTheme="minorHAnsi" w:cstheme="minorHAnsi"/>
          <w:sz w:val="22"/>
          <w:szCs w:val="22"/>
        </w:rPr>
        <w:t xml:space="preserve">Gasohol de </w:t>
      </w:r>
      <w:r w:rsidRPr="00232A32">
        <w:rPr>
          <w:rFonts w:asciiTheme="minorHAnsi" w:hAnsiTheme="minorHAnsi" w:cstheme="minorHAnsi"/>
          <w:sz w:val="22"/>
          <w:szCs w:val="22"/>
        </w:rPr>
        <w:t>84</w:t>
      </w:r>
      <w:r>
        <w:rPr>
          <w:rFonts w:asciiTheme="minorHAnsi" w:hAnsiTheme="minorHAnsi" w:cstheme="minorHAnsi"/>
          <w:sz w:val="22"/>
          <w:szCs w:val="22"/>
        </w:rPr>
        <w:t xml:space="preserve"> octanos</w:t>
      </w:r>
      <w:r w:rsidRPr="00232A32">
        <w:rPr>
          <w:rFonts w:asciiTheme="minorHAnsi" w:hAnsiTheme="minorHAnsi" w:cstheme="minorHAnsi"/>
          <w:sz w:val="22"/>
          <w:szCs w:val="22"/>
        </w:rPr>
        <w:t xml:space="preserve"> (</w:t>
      </w:r>
      <w:r>
        <w:rPr>
          <w:rFonts w:asciiTheme="minorHAnsi" w:hAnsiTheme="minorHAnsi" w:cstheme="minorHAnsi"/>
          <w:sz w:val="22"/>
          <w:szCs w:val="22"/>
        </w:rPr>
        <w:t>-</w:t>
      </w:r>
      <w:r w:rsidRPr="00232A32">
        <w:rPr>
          <w:rFonts w:asciiTheme="minorHAnsi" w:hAnsiTheme="minorHAnsi" w:cstheme="minorHAnsi"/>
          <w:sz w:val="22"/>
          <w:szCs w:val="22"/>
        </w:rPr>
        <w:t>0</w:t>
      </w:r>
      <w:r>
        <w:rPr>
          <w:rFonts w:asciiTheme="minorHAnsi" w:hAnsiTheme="minorHAnsi" w:cstheme="minorHAnsi"/>
          <w:sz w:val="22"/>
          <w:szCs w:val="22"/>
        </w:rPr>
        <w:t>,12</w:t>
      </w:r>
      <w:r w:rsidRPr="00232A32">
        <w:rPr>
          <w:rFonts w:asciiTheme="minorHAnsi" w:hAnsiTheme="minorHAnsi" w:cstheme="minorHAnsi"/>
          <w:sz w:val="22"/>
          <w:szCs w:val="22"/>
        </w:rPr>
        <w:t xml:space="preserve"> S/</w:t>
      </w:r>
      <w:proofErr w:type="spellStart"/>
      <w:r w:rsidRPr="00232A32">
        <w:rPr>
          <w:rFonts w:asciiTheme="minorHAnsi" w:hAnsiTheme="minorHAnsi" w:cstheme="minorHAnsi"/>
          <w:sz w:val="22"/>
          <w:szCs w:val="22"/>
        </w:rPr>
        <w:t>Gln</w:t>
      </w:r>
      <w:proofErr w:type="spellEnd"/>
      <w:r w:rsidRPr="00232A32">
        <w:rPr>
          <w:rFonts w:asciiTheme="minorHAnsi" w:hAnsiTheme="minorHAnsi" w:cstheme="minorHAnsi"/>
          <w:sz w:val="22"/>
          <w:szCs w:val="22"/>
        </w:rPr>
        <w:t>), así como en el Di</w:t>
      </w:r>
      <w:r>
        <w:rPr>
          <w:rFonts w:asciiTheme="minorHAnsi" w:hAnsiTheme="minorHAnsi" w:cstheme="minorHAnsi"/>
          <w:sz w:val="22"/>
          <w:szCs w:val="22"/>
        </w:rPr>
        <w:t>é</w:t>
      </w:r>
      <w:r w:rsidRPr="00232A32">
        <w:rPr>
          <w:rFonts w:asciiTheme="minorHAnsi" w:hAnsiTheme="minorHAnsi" w:cstheme="minorHAnsi"/>
          <w:sz w:val="22"/>
          <w:szCs w:val="22"/>
        </w:rPr>
        <w:t>sel B5(</w:t>
      </w:r>
      <w:r>
        <w:rPr>
          <w:rFonts w:asciiTheme="minorHAnsi" w:hAnsiTheme="minorHAnsi" w:cstheme="minorHAnsi"/>
          <w:sz w:val="22"/>
          <w:szCs w:val="22"/>
        </w:rPr>
        <w:t>-</w:t>
      </w:r>
      <w:r w:rsidRPr="00232A32">
        <w:rPr>
          <w:rFonts w:asciiTheme="minorHAnsi" w:hAnsiTheme="minorHAnsi" w:cstheme="minorHAnsi"/>
          <w:sz w:val="22"/>
          <w:szCs w:val="22"/>
        </w:rPr>
        <w:t>0</w:t>
      </w:r>
      <w:r>
        <w:rPr>
          <w:rFonts w:asciiTheme="minorHAnsi" w:hAnsiTheme="minorHAnsi" w:cstheme="minorHAnsi"/>
          <w:sz w:val="22"/>
          <w:szCs w:val="22"/>
        </w:rPr>
        <w:t>,25</w:t>
      </w:r>
      <w:r w:rsidRPr="00232A32">
        <w:rPr>
          <w:rFonts w:asciiTheme="minorHAnsi" w:hAnsiTheme="minorHAnsi" w:cstheme="minorHAnsi"/>
          <w:sz w:val="22"/>
          <w:szCs w:val="22"/>
        </w:rPr>
        <w:t xml:space="preserve"> S/</w:t>
      </w:r>
      <w:proofErr w:type="spellStart"/>
      <w:r w:rsidRPr="00232A32">
        <w:rPr>
          <w:rFonts w:asciiTheme="minorHAnsi" w:hAnsiTheme="minorHAnsi" w:cstheme="minorHAnsi"/>
          <w:sz w:val="22"/>
          <w:szCs w:val="22"/>
        </w:rPr>
        <w:t>Gln</w:t>
      </w:r>
      <w:proofErr w:type="spellEnd"/>
      <w:r w:rsidRPr="00232A32">
        <w:rPr>
          <w:rFonts w:asciiTheme="minorHAnsi" w:hAnsiTheme="minorHAnsi" w:cstheme="minorHAnsi"/>
          <w:sz w:val="22"/>
          <w:szCs w:val="22"/>
        </w:rPr>
        <w:t xml:space="preserve">). </w:t>
      </w:r>
    </w:p>
    <w:p w14:paraId="0F52D45B" w14:textId="77777777" w:rsidR="00AF5121" w:rsidRDefault="00AF5121" w:rsidP="00AF5121">
      <w:pPr>
        <w:pStyle w:val="Prrafodelista"/>
        <w:rPr>
          <w:rFonts w:asciiTheme="minorHAnsi" w:hAnsiTheme="minorHAnsi" w:cstheme="minorHAnsi"/>
          <w:sz w:val="22"/>
          <w:szCs w:val="22"/>
        </w:rPr>
      </w:pPr>
    </w:p>
    <w:p w14:paraId="158F6C19" w14:textId="77777777" w:rsidR="00AF5121" w:rsidRPr="00232A32" w:rsidRDefault="00AF5121" w:rsidP="00FC618C">
      <w:pPr>
        <w:pStyle w:val="Sangradetextonormal"/>
        <w:numPr>
          <w:ilvl w:val="0"/>
          <w:numId w:val="16"/>
        </w:numPr>
        <w:ind w:left="568" w:hanging="426"/>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77777777"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r w:rsidRPr="003D69FC">
        <w:rPr>
          <w:rFonts w:asciiTheme="minorHAnsi" w:hAnsiTheme="minorHAnsi" w:cstheme="minorHAnsi"/>
          <w:sz w:val="22"/>
          <w:szCs w:val="22"/>
        </w:rPr>
        <w:t>N° 174-2021-OS/CD</w:t>
      </w:r>
      <w:r>
        <w:rPr>
          <w:rFonts w:asciiTheme="minorHAnsi" w:hAnsiTheme="minorHAnsi" w:cstheme="minorHAnsi"/>
          <w:sz w:val="22"/>
          <w:szCs w:val="22"/>
        </w:rPr>
        <w:t>.</w:t>
      </w:r>
    </w:p>
    <w:p w14:paraId="040B2555" w14:textId="77777777" w:rsidR="00E53D92" w:rsidRDefault="00E53D92" w:rsidP="00E53D92">
      <w:pPr>
        <w:jc w:val="both"/>
        <w:rPr>
          <w:rFonts w:asciiTheme="minorHAnsi" w:hAnsiTheme="minorHAnsi" w:cstheme="minorHAnsi"/>
          <w:sz w:val="22"/>
          <w:szCs w:val="22"/>
        </w:rPr>
      </w:pPr>
    </w:p>
    <w:p w14:paraId="3AA3F30A" w14:textId="77777777"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grafica en el Anexo N°2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7777777" w:rsidR="00E53D92" w:rsidRPr="002B3648" w:rsidRDefault="00E53D92" w:rsidP="0004242F">
      <w:pPr>
        <w:numPr>
          <w:ilvl w:val="0"/>
          <w:numId w:val="5"/>
        </w:numPr>
        <w:tabs>
          <w:tab w:val="clear" w:pos="540"/>
          <w:tab w:val="num" w:pos="0"/>
        </w:tabs>
        <w:ind w:left="0" w:firstLine="0"/>
        <w:jc w:val="both"/>
        <w:rPr>
          <w:rFonts w:asciiTheme="minorHAnsi" w:hAnsiTheme="minorHAnsi" w:cstheme="minorHAnsi"/>
          <w:sz w:val="22"/>
          <w:szCs w:val="22"/>
        </w:rPr>
      </w:pPr>
      <w:r w:rsidRPr="002B3648">
        <w:rPr>
          <w:rFonts w:asciiTheme="minorHAnsi" w:hAnsiTheme="minorHAnsi" w:cstheme="minorHAnsi"/>
          <w:sz w:val="22"/>
          <w:szCs w:val="22"/>
        </w:rPr>
        <w:t>No está</w:t>
      </w:r>
      <w:r>
        <w:rPr>
          <w:rFonts w:asciiTheme="minorHAnsi" w:hAnsiTheme="minorHAnsi" w:cstheme="minorHAnsi"/>
          <w:sz w:val="22"/>
          <w:szCs w:val="22"/>
        </w:rPr>
        <w:t>n</w:t>
      </w:r>
      <w:r w:rsidRPr="002B3648">
        <w:rPr>
          <w:rFonts w:asciiTheme="minorHAnsi" w:hAnsiTheme="minorHAnsi" w:cstheme="minorHAnsi"/>
          <w:sz w:val="22"/>
          <w:szCs w:val="22"/>
        </w:rPr>
        <w:t xml:space="preserve">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77777777" w:rsidR="00E53D92" w:rsidRPr="002710E1"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0522F332" w14:textId="77777777" w:rsidR="00E53D92" w:rsidRPr="00E77343" w:rsidRDefault="00E53D92" w:rsidP="00E53D92">
      <w:pPr>
        <w:ind w:firstLine="426"/>
        <w:rPr>
          <w:rFonts w:asciiTheme="minorHAnsi" w:hAnsiTheme="minorHAnsi" w:cstheme="minorHAnsi"/>
          <w:sz w:val="22"/>
          <w:szCs w:val="22"/>
        </w:rPr>
      </w:pPr>
    </w:p>
    <w:p w14:paraId="1359C019" w14:textId="77777777"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1744D258" w14:textId="3E8895CE"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4646469F" w14:textId="77777777" w:rsidR="00E53D92" w:rsidRDefault="00E53D92" w:rsidP="00E53D92">
      <w:pPr>
        <w:jc w:val="both"/>
        <w:rPr>
          <w:rFonts w:asciiTheme="minorHAnsi" w:hAnsiTheme="minorHAnsi" w:cstheme="minorHAnsi"/>
          <w:sz w:val="22"/>
          <w:szCs w:val="22"/>
          <w:lang w:val="es-PE"/>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5167901B" w14:textId="77E19B7A" w:rsidR="00CA3C87"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5312B21B" w14:textId="77777777" w:rsidR="00352B3A" w:rsidRDefault="00352B3A">
      <w:pPr>
        <w:rPr>
          <w:rFonts w:asciiTheme="minorHAnsi" w:hAnsiTheme="minorHAnsi" w:cstheme="minorHAnsi"/>
          <w:sz w:val="22"/>
          <w:szCs w:val="22"/>
        </w:rPr>
      </w:pPr>
    </w:p>
    <w:p w14:paraId="2516A28A" w14:textId="67CA32FB" w:rsidR="00EA628C" w:rsidRDefault="00EA628C">
      <w:pPr>
        <w:rPr>
          <w:rFonts w:asciiTheme="minorHAnsi" w:hAnsiTheme="minorHAnsi" w:cstheme="minorHAnsi"/>
          <w:sz w:val="22"/>
          <w:szCs w:val="22"/>
        </w:rPr>
      </w:pPr>
      <w:r>
        <w:rPr>
          <w:rFonts w:asciiTheme="minorHAnsi" w:hAnsiTheme="minorHAnsi" w:cstheme="minorHAnsi"/>
          <w:sz w:val="22"/>
          <w:szCs w:val="22"/>
        </w:rPr>
        <w:br w:type="page"/>
      </w: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lastRenderedPageBreak/>
        <w:t>Composición de los Precios de Referencia de Importación</w:t>
      </w:r>
      <w:r>
        <w:rPr>
          <w:rFonts w:ascii="Calibri" w:hAnsi="Calibri" w:cs="Calibri"/>
          <w:b/>
          <w:bCs/>
          <w:iCs/>
          <w:u w:val="single"/>
          <w:lang w:val="es-PE" w:eastAsia="en-US"/>
        </w:rPr>
        <w:t xml:space="preserve"> de Combustibles</w:t>
      </w:r>
    </w:p>
    <w:p w14:paraId="454B0BEC" w14:textId="77777777"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2"/>
      </w:r>
      <w:r>
        <w:rPr>
          <w:rFonts w:asciiTheme="minorHAnsi" w:hAnsiTheme="minorHAnsi" w:cstheme="minorHAnsi"/>
          <w:sz w:val="22"/>
          <w:szCs w:val="22"/>
        </w:rPr>
        <w:t xml:space="preserve"> y el </w:t>
      </w:r>
      <w:r w:rsidRPr="00E77343">
        <w:rPr>
          <w:rFonts w:asciiTheme="minorHAnsi" w:hAnsiTheme="minorHAnsi" w:cstheme="minorHAnsi"/>
          <w:sz w:val="22"/>
          <w:szCs w:val="22"/>
        </w:rPr>
        <w:t xml:space="preserve">informe </w:t>
      </w:r>
      <w:r>
        <w:rPr>
          <w:rFonts w:asciiTheme="minorHAnsi" w:hAnsiTheme="minorHAnsi" w:cstheme="minorHAnsi"/>
          <w:sz w:val="22"/>
          <w:szCs w:val="22"/>
        </w:rPr>
        <w:t>metodológico</w:t>
      </w:r>
      <w:r w:rsidRPr="00E77343">
        <w:rPr>
          <w:rFonts w:asciiTheme="minorHAnsi" w:hAnsiTheme="minorHAnsi" w:cstheme="minorHAnsi"/>
          <w:sz w:val="22"/>
          <w:szCs w:val="22"/>
        </w:rPr>
        <w:t xml:space="preserve"> que </w:t>
      </w:r>
      <w:r>
        <w:rPr>
          <w:rFonts w:asciiTheme="minorHAnsi" w:hAnsiTheme="minorHAnsi" w:cstheme="minorHAnsi"/>
          <w:sz w:val="22"/>
          <w:szCs w:val="22"/>
        </w:rPr>
        <w:t xml:space="preserve">lo </w:t>
      </w:r>
      <w:r w:rsidRPr="00E77343">
        <w:rPr>
          <w:rFonts w:asciiTheme="minorHAnsi" w:hAnsiTheme="minorHAnsi" w:cstheme="minorHAnsi"/>
          <w:sz w:val="22"/>
          <w:szCs w:val="22"/>
        </w:rPr>
        <w:t>sustenta.</w:t>
      </w:r>
    </w:p>
    <w:p w14:paraId="6B152530" w14:textId="77777777" w:rsidR="00F85D23" w:rsidRDefault="00F85D23" w:rsidP="00F85D23">
      <w:pPr>
        <w:jc w:val="both"/>
        <w:rPr>
          <w:rFonts w:asciiTheme="minorHAnsi" w:hAnsiTheme="minorHAnsi" w:cstheme="minorHAnsi"/>
          <w:sz w:val="22"/>
          <w:szCs w:val="22"/>
        </w:rPr>
      </w:pPr>
    </w:p>
    <w:p w14:paraId="68171A31" w14:textId="54BA693F"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FC618C">
        <w:rPr>
          <w:rFonts w:asciiTheme="minorHAnsi" w:hAnsiTheme="minorHAnsi" w:cstheme="minorHAnsi"/>
          <w:sz w:val="22"/>
          <w:szCs w:val="22"/>
        </w:rPr>
        <w:t>24</w:t>
      </w:r>
      <w:r>
        <w:rPr>
          <w:rFonts w:asciiTheme="minorHAnsi" w:hAnsiTheme="minorHAnsi" w:cstheme="minorHAnsi"/>
          <w:sz w:val="22"/>
          <w:szCs w:val="22"/>
        </w:rPr>
        <w:t>/0</w:t>
      </w:r>
      <w:r w:rsidR="007769B8">
        <w:rPr>
          <w:rFonts w:asciiTheme="minorHAnsi" w:hAnsiTheme="minorHAnsi" w:cstheme="minorHAnsi"/>
          <w:sz w:val="22"/>
          <w:szCs w:val="22"/>
        </w:rPr>
        <w:t>2</w:t>
      </w:r>
      <w:r>
        <w:rPr>
          <w:rFonts w:asciiTheme="minorHAnsi" w:hAnsiTheme="minorHAnsi" w:cstheme="minorHAnsi"/>
          <w:sz w:val="22"/>
          <w:szCs w:val="22"/>
        </w:rPr>
        <w:t xml:space="preserve">/2023 y el </w:t>
      </w:r>
      <w:r w:rsidR="00FC618C">
        <w:rPr>
          <w:rFonts w:asciiTheme="minorHAnsi" w:hAnsiTheme="minorHAnsi" w:cstheme="minorHAnsi"/>
          <w:sz w:val="22"/>
          <w:szCs w:val="22"/>
        </w:rPr>
        <w:t>1</w:t>
      </w:r>
      <w:r w:rsidR="005B53D4">
        <w:rPr>
          <w:rFonts w:asciiTheme="minorHAnsi" w:hAnsiTheme="minorHAnsi" w:cstheme="minorHAnsi"/>
          <w:sz w:val="22"/>
          <w:szCs w:val="22"/>
        </w:rPr>
        <w:t>0</w:t>
      </w:r>
      <w:r>
        <w:rPr>
          <w:rFonts w:asciiTheme="minorHAnsi" w:hAnsiTheme="minorHAnsi" w:cstheme="minorHAnsi"/>
          <w:sz w:val="22"/>
          <w:szCs w:val="22"/>
        </w:rPr>
        <w:t>/0</w:t>
      </w:r>
      <w:r w:rsidR="005B53D4">
        <w:rPr>
          <w:rFonts w:asciiTheme="minorHAnsi" w:hAnsiTheme="minorHAnsi" w:cstheme="minorHAnsi"/>
          <w:sz w:val="22"/>
          <w:szCs w:val="22"/>
        </w:rPr>
        <w:t>3</w:t>
      </w:r>
      <w:r>
        <w:rPr>
          <w:rFonts w:asciiTheme="minorHAnsi" w:hAnsiTheme="minorHAnsi" w:cstheme="minorHAnsi"/>
          <w:sz w:val="22"/>
          <w:szCs w:val="22"/>
        </w:rPr>
        <w:t>/2023, se muestra en la Gráfica N°</w:t>
      </w:r>
      <w:r w:rsidR="00E37B1A">
        <w:rPr>
          <w:rFonts w:asciiTheme="minorHAnsi" w:hAnsiTheme="minorHAnsi" w:cstheme="minorHAnsi"/>
          <w:sz w:val="22"/>
          <w:szCs w:val="22"/>
        </w:rPr>
        <w:t xml:space="preserve"> </w:t>
      </w:r>
      <w:r>
        <w:rPr>
          <w:rFonts w:asciiTheme="minorHAnsi" w:hAnsiTheme="minorHAnsi" w:cstheme="minorHAnsi"/>
          <w:sz w:val="22"/>
          <w:szCs w:val="22"/>
        </w:rPr>
        <w:t>2.</w:t>
      </w:r>
    </w:p>
    <w:p w14:paraId="5BC0A457" w14:textId="77777777" w:rsidR="00A86191" w:rsidRDefault="00A86191" w:rsidP="00A86191">
      <w:pPr>
        <w:jc w:val="both"/>
        <w:rPr>
          <w:rFonts w:asciiTheme="minorHAnsi" w:hAnsiTheme="minorHAnsi" w:cstheme="minorHAnsi"/>
          <w:sz w:val="22"/>
          <w:szCs w:val="22"/>
        </w:rPr>
      </w:pPr>
      <w:r>
        <w:rPr>
          <w:rFonts w:asciiTheme="minorHAnsi" w:hAnsiTheme="minorHAnsi" w:cstheme="minorHAnsi"/>
          <w:sz w:val="22"/>
          <w:szCs w:val="22"/>
        </w:rPr>
        <w:t xml:space="preserve"> </w:t>
      </w:r>
    </w:p>
    <w:p w14:paraId="086D8755" w14:textId="2C3BE1B1" w:rsidR="00A86191" w:rsidRPr="00884871" w:rsidRDefault="00A86191" w:rsidP="00A86191">
      <w:pPr>
        <w:rPr>
          <w:rFonts w:ascii="Calibri" w:hAnsi="Calibri" w:cs="Arial"/>
          <w:b/>
          <w:bCs/>
          <w:i/>
          <w:sz w:val="22"/>
          <w:szCs w:val="22"/>
          <w:lang w:eastAsia="es-PE"/>
        </w:rPr>
      </w:pPr>
      <w:r>
        <w:rPr>
          <w:rFonts w:ascii="Calibri" w:hAnsi="Calibri" w:cs="Arial"/>
          <w:b/>
          <w:bCs/>
          <w:i/>
          <w:sz w:val="22"/>
          <w:szCs w:val="22"/>
          <w:lang w:eastAsia="es-PE"/>
        </w:rPr>
        <w:t>GRÁFICA N°</w:t>
      </w:r>
      <w:r w:rsidR="00E37B1A">
        <w:rPr>
          <w:rFonts w:ascii="Calibri" w:hAnsi="Calibri" w:cs="Arial"/>
          <w:b/>
          <w:bCs/>
          <w:i/>
          <w:sz w:val="22"/>
          <w:szCs w:val="22"/>
          <w:lang w:eastAsia="es-PE"/>
        </w:rPr>
        <w:t xml:space="preserve"> </w:t>
      </w:r>
      <w:r>
        <w:rPr>
          <w:rFonts w:ascii="Calibri" w:hAnsi="Calibri" w:cs="Arial"/>
          <w:b/>
          <w:bCs/>
          <w:i/>
          <w:sz w:val="22"/>
          <w:szCs w:val="22"/>
          <w:lang w:eastAsia="es-PE"/>
        </w:rPr>
        <w:t xml:space="preserve">2: </w:t>
      </w:r>
      <w:r w:rsidRPr="00884871">
        <w:rPr>
          <w:rFonts w:ascii="Calibri" w:hAnsi="Calibri" w:cs="Arial"/>
          <w:b/>
          <w:bCs/>
          <w:i/>
          <w:sz w:val="22"/>
          <w:szCs w:val="22"/>
          <w:lang w:eastAsia="es-PE"/>
        </w:rPr>
        <w:t>Composición del Precio de Referencia</w:t>
      </w:r>
      <w:r>
        <w:rPr>
          <w:rFonts w:ascii="Calibri" w:hAnsi="Calibri" w:cs="Arial"/>
          <w:b/>
          <w:bCs/>
          <w:i/>
          <w:sz w:val="22"/>
          <w:szCs w:val="22"/>
          <w:lang w:eastAsia="es-PE"/>
        </w:rPr>
        <w:t xml:space="preserve"> </w:t>
      </w:r>
      <w:r w:rsidRPr="00884871">
        <w:rPr>
          <w:rFonts w:ascii="Calibri" w:hAnsi="Calibri" w:cs="Arial"/>
          <w:b/>
          <w:bCs/>
          <w:i/>
          <w:sz w:val="22"/>
          <w:szCs w:val="22"/>
          <w:lang w:eastAsia="es-PE"/>
        </w:rPr>
        <w:t>1</w:t>
      </w:r>
      <w:r w:rsidR="007769B8">
        <w:rPr>
          <w:rFonts w:ascii="Calibri" w:hAnsi="Calibri" w:cs="Arial"/>
          <w:b/>
          <w:bCs/>
          <w:i/>
          <w:sz w:val="22"/>
          <w:szCs w:val="22"/>
          <w:lang w:eastAsia="es-PE"/>
        </w:rPr>
        <w:t xml:space="preserve"> (PR1)</w:t>
      </w:r>
      <w:r>
        <w:rPr>
          <w:rFonts w:ascii="Calibri" w:hAnsi="Calibri" w:cs="Arial"/>
          <w:b/>
          <w:bCs/>
          <w:i/>
          <w:sz w:val="22"/>
          <w:szCs w:val="22"/>
          <w:lang w:eastAsia="es-PE"/>
        </w:rPr>
        <w:t xml:space="preserve"> de los Combustibles</w:t>
      </w:r>
      <w:r w:rsidR="00277E11">
        <w:rPr>
          <w:rFonts w:ascii="Calibri" w:hAnsi="Calibri" w:cs="Arial"/>
          <w:b/>
          <w:bCs/>
          <w:i/>
          <w:sz w:val="22"/>
          <w:szCs w:val="22"/>
          <w:lang w:eastAsia="es-PE"/>
        </w:rPr>
        <w:t xml:space="preserve">, al </w:t>
      </w:r>
      <w:r w:rsidR="00FC618C">
        <w:rPr>
          <w:rFonts w:ascii="Calibri" w:hAnsi="Calibri" w:cs="Arial"/>
          <w:b/>
          <w:bCs/>
          <w:i/>
          <w:sz w:val="22"/>
          <w:szCs w:val="22"/>
          <w:lang w:eastAsia="es-PE"/>
        </w:rPr>
        <w:t>13</w:t>
      </w:r>
      <w:r>
        <w:rPr>
          <w:rFonts w:ascii="Calibri" w:hAnsi="Calibri" w:cs="Arial"/>
          <w:b/>
          <w:bCs/>
          <w:i/>
          <w:sz w:val="22"/>
          <w:szCs w:val="22"/>
          <w:lang w:eastAsia="es-PE"/>
        </w:rPr>
        <w:t>-0</w:t>
      </w:r>
      <w:r w:rsidR="005B53D4">
        <w:rPr>
          <w:rFonts w:ascii="Calibri" w:hAnsi="Calibri" w:cs="Arial"/>
          <w:b/>
          <w:bCs/>
          <w:i/>
          <w:sz w:val="22"/>
          <w:szCs w:val="22"/>
          <w:lang w:eastAsia="es-PE"/>
        </w:rPr>
        <w:t>3</w:t>
      </w:r>
      <w:r>
        <w:rPr>
          <w:rFonts w:ascii="Calibri" w:hAnsi="Calibri" w:cs="Arial"/>
          <w:b/>
          <w:bCs/>
          <w:i/>
          <w:sz w:val="22"/>
          <w:szCs w:val="22"/>
          <w:lang w:eastAsia="es-PE"/>
        </w:rPr>
        <w:t>-23</w:t>
      </w:r>
      <w:r w:rsidRPr="00884871">
        <w:rPr>
          <w:rFonts w:ascii="Calibri" w:hAnsi="Calibri" w:cs="Arial"/>
          <w:b/>
          <w:bCs/>
          <w:i/>
          <w:sz w:val="22"/>
          <w:szCs w:val="22"/>
          <w:lang w:eastAsia="es-PE"/>
        </w:rPr>
        <w:t>, en %</w:t>
      </w:r>
    </w:p>
    <w:p w14:paraId="6CED86AB" w14:textId="33558E0A" w:rsidR="00A86191" w:rsidRPr="00CC2A8A" w:rsidRDefault="00FC618C" w:rsidP="00A86191">
      <w:pPr>
        <w:pBdr>
          <w:top w:val="single" w:sz="4" w:space="1" w:color="auto"/>
          <w:bottom w:val="single" w:sz="4" w:space="1" w:color="auto"/>
        </w:pBdr>
        <w:rPr>
          <w:rFonts w:ascii="Calibri" w:hAnsi="Calibri" w:cs="Arial"/>
          <w:bCs/>
          <w:sz w:val="32"/>
          <w:szCs w:val="32"/>
        </w:rPr>
      </w:pPr>
      <w:r w:rsidRPr="00F3103D">
        <w:rPr>
          <w:noProof/>
          <w:lang w:val="es-PE" w:eastAsia="es-PE"/>
        </w:rPr>
        <w:drawing>
          <wp:inline distT="0" distB="0" distL="0" distR="0" wp14:anchorId="7436DD09" wp14:editId="409B6A95">
            <wp:extent cx="5490845" cy="2922905"/>
            <wp:effectExtent l="0" t="0" r="0" b="0"/>
            <wp:docPr id="1" name="Picture 1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bar chart&#10;&#10;Description automatically generated"/>
                    <pic:cNvPicPr/>
                  </pic:nvPicPr>
                  <pic:blipFill>
                    <a:blip r:embed="rId13"/>
                    <a:stretch>
                      <a:fillRect/>
                    </a:stretch>
                  </pic:blipFill>
                  <pic:spPr>
                    <a:xfrm>
                      <a:off x="0" y="0"/>
                      <a:ext cx="5490845" cy="2922905"/>
                    </a:xfrm>
                    <a:prstGeom prst="rect">
                      <a:avLst/>
                    </a:prstGeom>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0BCA0BE4" w14:textId="77777777" w:rsidR="00A86191" w:rsidRPr="001A4F79" w:rsidRDefault="00A86191" w:rsidP="00A86191">
      <w:pPr>
        <w:spacing w:line="276" w:lineRule="auto"/>
        <w:rPr>
          <w:rFonts w:ascii="Calibri" w:eastAsia="Calibri" w:hAnsi="Calibri"/>
          <w:sz w:val="22"/>
          <w:szCs w:val="22"/>
        </w:rPr>
      </w:pPr>
    </w:p>
    <w:p w14:paraId="5187EED7" w14:textId="77777777"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66E28CE3" w14:textId="77777777"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 xml:space="preserve">  </w:t>
      </w:r>
    </w:p>
    <w:p w14:paraId="184CF0D9" w14:textId="77777777" w:rsidR="00FC618C" w:rsidRDefault="00FC618C" w:rsidP="00FC618C">
      <w:pPr>
        <w:jc w:val="both"/>
        <w:rPr>
          <w:rFonts w:asciiTheme="minorHAnsi" w:hAnsiTheme="minorHAnsi" w:cstheme="minorHAnsi"/>
          <w:sz w:val="22"/>
          <w:szCs w:val="22"/>
        </w:rPr>
      </w:pPr>
      <w:r w:rsidRPr="00061BE1">
        <w:rPr>
          <w:rFonts w:asciiTheme="minorHAnsi" w:hAnsiTheme="minorHAnsi" w:cstheme="minorHAnsi"/>
          <w:sz w:val="22"/>
          <w:szCs w:val="22"/>
        </w:rPr>
        <w:t xml:space="preserve">En la Gráfica N°2, se aprecia que el Precio FOB se ubicó en </w:t>
      </w:r>
      <w:r>
        <w:rPr>
          <w:rFonts w:asciiTheme="minorHAnsi" w:hAnsiTheme="minorHAnsi" w:cstheme="minorHAnsi"/>
          <w:sz w:val="22"/>
          <w:szCs w:val="22"/>
        </w:rPr>
        <w:t>78</w:t>
      </w:r>
      <w:r w:rsidRPr="00061BE1">
        <w:rPr>
          <w:rFonts w:asciiTheme="minorHAnsi" w:hAnsiTheme="minorHAnsi" w:cstheme="minorHAnsi"/>
          <w:sz w:val="22"/>
          <w:szCs w:val="22"/>
        </w:rPr>
        <w:t>% del precio de referencia del GLP</w:t>
      </w:r>
      <w:r>
        <w:rPr>
          <w:rFonts w:asciiTheme="minorHAnsi" w:hAnsiTheme="minorHAnsi" w:cstheme="minorHAnsi"/>
          <w:sz w:val="22"/>
          <w:szCs w:val="22"/>
        </w:rPr>
        <w:t xml:space="preserve">, 88% y 89% del precio de referencia de los biocombustibles, 78 % del precio de los residuales R6 y R500; y fue igual o </w:t>
      </w:r>
      <w:r w:rsidRPr="00061BE1">
        <w:rPr>
          <w:rFonts w:asciiTheme="minorHAnsi" w:hAnsiTheme="minorHAnsi" w:cstheme="minorHAnsi"/>
          <w:sz w:val="22"/>
          <w:szCs w:val="22"/>
        </w:rPr>
        <w:t xml:space="preserve">superior al </w:t>
      </w:r>
      <w:r>
        <w:rPr>
          <w:rFonts w:asciiTheme="minorHAnsi" w:hAnsiTheme="minorHAnsi" w:cstheme="minorHAnsi"/>
          <w:sz w:val="22"/>
          <w:szCs w:val="22"/>
        </w:rPr>
        <w:t>87</w:t>
      </w:r>
      <w:r w:rsidRPr="00061BE1">
        <w:rPr>
          <w:rFonts w:asciiTheme="minorHAnsi" w:hAnsiTheme="minorHAnsi" w:cstheme="minorHAnsi"/>
          <w:sz w:val="22"/>
          <w:szCs w:val="22"/>
        </w:rPr>
        <w:t>% del precio de referencia de los demás combustibles.</w:t>
      </w:r>
      <w:r>
        <w:rPr>
          <w:rFonts w:asciiTheme="minorHAnsi" w:hAnsiTheme="minorHAnsi" w:cstheme="minorHAnsi"/>
          <w:sz w:val="22"/>
          <w:szCs w:val="22"/>
        </w:rPr>
        <w:t xml:space="preserve"> </w:t>
      </w:r>
      <w:r w:rsidRPr="00E14E7E">
        <w:rPr>
          <w:rFonts w:asciiTheme="minorHAnsi" w:hAnsiTheme="minorHAnsi" w:cstheme="minorHAnsi"/>
          <w:sz w:val="22"/>
          <w:szCs w:val="22"/>
        </w:rPr>
        <w:t>Cabe recalcar que el Precio</w:t>
      </w:r>
      <w:r>
        <w:rPr>
          <w:rFonts w:asciiTheme="minorHAnsi" w:hAnsiTheme="minorHAnsi" w:cstheme="minorHAnsi"/>
          <w:sz w:val="22"/>
          <w:szCs w:val="22"/>
        </w:rPr>
        <w:t xml:space="preserve"> FOB </w:t>
      </w:r>
      <w:r w:rsidRPr="00E14E7E">
        <w:rPr>
          <w:rFonts w:asciiTheme="minorHAnsi" w:hAnsiTheme="minorHAnsi" w:cstheme="minorHAnsi"/>
          <w:sz w:val="22"/>
          <w:szCs w:val="22"/>
        </w:rPr>
        <w:t>incluye</w:t>
      </w:r>
      <w:r>
        <w:rPr>
          <w:rFonts w:asciiTheme="minorHAnsi" w:hAnsiTheme="minorHAnsi" w:cstheme="minorHAnsi"/>
          <w:sz w:val="22"/>
          <w:szCs w:val="22"/>
        </w:rPr>
        <w:t xml:space="preserve"> la tarifa “Terminalling” del GLP; el descuento por concepto de RVO, aplicado al precio de las Gasolinas y Diésel 2; y</w:t>
      </w:r>
      <w:r w:rsidRPr="00E14E7E">
        <w:rPr>
          <w:rFonts w:asciiTheme="minorHAnsi" w:hAnsiTheme="minorHAnsi" w:cstheme="minorHAnsi"/>
          <w:sz w:val="22"/>
          <w:szCs w:val="22"/>
        </w:rPr>
        <w:t xml:space="preserve"> </w:t>
      </w:r>
      <w:r>
        <w:rPr>
          <w:rFonts w:asciiTheme="minorHAnsi" w:hAnsiTheme="minorHAnsi" w:cstheme="minorHAnsi"/>
          <w:sz w:val="22"/>
          <w:szCs w:val="22"/>
        </w:rPr>
        <w:t xml:space="preserve">los </w:t>
      </w:r>
      <w:r w:rsidRPr="00E14E7E">
        <w:rPr>
          <w:rFonts w:asciiTheme="minorHAnsi" w:hAnsiTheme="minorHAnsi" w:cstheme="minorHAnsi"/>
          <w:sz w:val="22"/>
          <w:szCs w:val="22"/>
        </w:rPr>
        <w:t>ajustes</w:t>
      </w:r>
      <w:r>
        <w:rPr>
          <w:rFonts w:asciiTheme="minorHAnsi" w:hAnsiTheme="minorHAnsi" w:cstheme="minorHAnsi"/>
          <w:sz w:val="22"/>
          <w:szCs w:val="22"/>
        </w:rPr>
        <w:t xml:space="preserve"> de calidad para las G</w:t>
      </w:r>
      <w:r w:rsidRPr="00E14E7E">
        <w:rPr>
          <w:rFonts w:asciiTheme="minorHAnsi" w:hAnsiTheme="minorHAnsi" w:cstheme="minorHAnsi"/>
          <w:sz w:val="22"/>
          <w:szCs w:val="22"/>
        </w:rPr>
        <w:t>asolinas,</w:t>
      </w:r>
      <w:r>
        <w:rPr>
          <w:rFonts w:asciiTheme="minorHAnsi" w:hAnsiTheme="minorHAnsi" w:cstheme="minorHAnsi"/>
          <w:sz w:val="22"/>
          <w:szCs w:val="22"/>
        </w:rPr>
        <w:t xml:space="preserve"> D</w:t>
      </w:r>
      <w:r w:rsidRPr="00E14E7E">
        <w:rPr>
          <w:rFonts w:asciiTheme="minorHAnsi" w:hAnsiTheme="minorHAnsi" w:cstheme="minorHAnsi"/>
          <w:sz w:val="22"/>
          <w:szCs w:val="22"/>
        </w:rPr>
        <w:t>iésel</w:t>
      </w:r>
      <w:r>
        <w:rPr>
          <w:rFonts w:asciiTheme="minorHAnsi" w:hAnsiTheme="minorHAnsi" w:cstheme="minorHAnsi"/>
          <w:sz w:val="22"/>
          <w:szCs w:val="22"/>
        </w:rPr>
        <w:t xml:space="preserve"> y R</w:t>
      </w:r>
      <w:r w:rsidRPr="00E14E7E">
        <w:rPr>
          <w:rFonts w:asciiTheme="minorHAnsi" w:hAnsiTheme="minorHAnsi" w:cstheme="minorHAnsi"/>
          <w:sz w:val="22"/>
          <w:szCs w:val="22"/>
        </w:rPr>
        <w:t>esidual 500.</w:t>
      </w:r>
    </w:p>
    <w:p w14:paraId="2E6805A6" w14:textId="1591E00C" w:rsidR="00FC618C" w:rsidRDefault="00FC618C" w:rsidP="00FC618C">
      <w:pPr>
        <w:jc w:val="both"/>
        <w:rPr>
          <w:rFonts w:asciiTheme="minorHAnsi" w:hAnsiTheme="minorHAnsi" w:cstheme="minorHAnsi"/>
          <w:sz w:val="22"/>
          <w:szCs w:val="22"/>
        </w:rPr>
      </w:pPr>
      <w:r w:rsidRPr="00E14E7E">
        <w:rPr>
          <w:rFonts w:asciiTheme="minorHAnsi" w:hAnsiTheme="minorHAnsi" w:cstheme="minorHAnsi"/>
          <w:sz w:val="22"/>
          <w:szCs w:val="22"/>
        </w:rPr>
        <w:t xml:space="preserve"> </w:t>
      </w:r>
    </w:p>
    <w:p w14:paraId="67AD74E3" w14:textId="77777777" w:rsidR="00FC618C" w:rsidRDefault="00FC618C" w:rsidP="00FC618C">
      <w:pPr>
        <w:jc w:val="both"/>
        <w:rPr>
          <w:rFonts w:asciiTheme="minorHAnsi" w:hAnsiTheme="minorHAnsi" w:cstheme="minorHAnsi"/>
          <w:sz w:val="22"/>
          <w:szCs w:val="22"/>
        </w:rPr>
      </w:pPr>
      <w:r>
        <w:rPr>
          <w:rFonts w:asciiTheme="minorHAnsi" w:hAnsiTheme="minorHAnsi" w:cstheme="minorHAnsi"/>
          <w:sz w:val="22"/>
          <w:szCs w:val="22"/>
        </w:rPr>
        <w:t xml:space="preserve">A continuación, se presenta una descripción del cálculo del Precio FOB de los Combustibles, indicando los valores obtenidos para cada uno de sus componentes al 10 de marzo 2023. </w:t>
      </w:r>
    </w:p>
    <w:p w14:paraId="046A2287" w14:textId="77777777" w:rsidR="00FC618C" w:rsidRDefault="00FC618C" w:rsidP="00FC618C">
      <w:pPr>
        <w:jc w:val="both"/>
        <w:rPr>
          <w:rFonts w:asciiTheme="minorHAnsi" w:hAnsiTheme="minorHAnsi" w:cstheme="minorHAnsi"/>
          <w:sz w:val="22"/>
          <w:szCs w:val="22"/>
        </w:rPr>
      </w:pPr>
      <w:r>
        <w:rPr>
          <w:rFonts w:asciiTheme="minorHAnsi" w:hAnsiTheme="minorHAnsi" w:cstheme="minorHAnsi"/>
          <w:sz w:val="22"/>
          <w:szCs w:val="22"/>
        </w:rPr>
        <w:lastRenderedPageBreak/>
        <w:t xml:space="preserve">Los precios de los productos marcadores, el </w:t>
      </w:r>
      <w:proofErr w:type="spellStart"/>
      <w:r>
        <w:rPr>
          <w:rFonts w:asciiTheme="minorHAnsi" w:hAnsiTheme="minorHAnsi" w:cstheme="minorHAnsi"/>
          <w:sz w:val="22"/>
          <w:szCs w:val="22"/>
        </w:rPr>
        <w:t>terminalling</w:t>
      </w:r>
      <w:proofErr w:type="spellEnd"/>
      <w:r>
        <w:rPr>
          <w:rFonts w:asciiTheme="minorHAnsi" w:hAnsiTheme="minorHAnsi" w:cstheme="minorHAnsi"/>
          <w:sz w:val="22"/>
          <w:szCs w:val="22"/>
        </w:rPr>
        <w:t>, el descuento por RVO y los ajustes de calidad corresponden al promedio de las diez últimas cotizaciones diarias publicadas por Argus.</w:t>
      </w:r>
    </w:p>
    <w:p w14:paraId="3F95B49B" w14:textId="77777777" w:rsidR="00C80F8A" w:rsidRPr="00003F04" w:rsidRDefault="00C80F8A" w:rsidP="00F85D23">
      <w:pPr>
        <w:jc w:val="both"/>
        <w:rPr>
          <w:rFonts w:asciiTheme="minorHAnsi" w:hAnsiTheme="minorHAnsi" w:cstheme="minorHAnsi"/>
          <w:sz w:val="22"/>
          <w:szCs w:val="22"/>
        </w:rPr>
      </w:pPr>
    </w:p>
    <w:p w14:paraId="2480F07D" w14:textId="77777777" w:rsidR="00FC618C" w:rsidRDefault="00FC618C" w:rsidP="00FC618C">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Precio FOB del GLP</w:t>
      </w:r>
    </w:p>
    <w:p w14:paraId="0196A8C8" w14:textId="77777777" w:rsidR="00FC618C" w:rsidRPr="00265D45" w:rsidRDefault="00FC618C" w:rsidP="00FC618C">
      <w:pPr>
        <w:pStyle w:val="Prrafodelista"/>
        <w:ind w:left="426" w:hanging="426"/>
        <w:jc w:val="both"/>
        <w:rPr>
          <w:rFonts w:asciiTheme="minorHAnsi" w:hAnsiTheme="minorHAnsi" w:cstheme="minorHAnsi"/>
          <w:b/>
          <w:sz w:val="22"/>
          <w:szCs w:val="22"/>
          <w:u w:val="single"/>
        </w:rPr>
      </w:pPr>
    </w:p>
    <w:p w14:paraId="0BD5AB12" w14:textId="77777777" w:rsidR="00FC618C" w:rsidRPr="006E3A77" w:rsidRDefault="00FC618C" w:rsidP="00FC618C">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1F107DAD" w14:textId="77777777" w:rsidR="00FC618C" w:rsidRPr="006E3A77" w:rsidRDefault="00FC618C" w:rsidP="00FC618C">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xml:space="preserve">: Calculado en base al promedio de las 10 últimas cotizaciones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Pr>
          <w:rFonts w:asciiTheme="minorHAnsi" w:hAnsiTheme="minorHAnsi" w:cstheme="minorHAnsi"/>
          <w:sz w:val="22"/>
          <w:szCs w:val="22"/>
        </w:rPr>
        <w:t>6.85</w:t>
      </w:r>
      <w:r w:rsidRPr="006E3A77">
        <w:rPr>
          <w:rFonts w:asciiTheme="minorHAnsi" w:hAnsiTheme="minorHAnsi" w:cstheme="minorHAnsi"/>
          <w:sz w:val="22"/>
          <w:szCs w:val="22"/>
        </w:rPr>
        <w:t xml:space="preserve"> cent$/galón. Para obtener la tarifa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del GLP a temperatura ambiente, usamos la siguiente ecuación: </w:t>
      </w:r>
    </w:p>
    <w:p w14:paraId="56B2144D" w14:textId="77777777" w:rsidR="00FC618C" w:rsidRPr="006E3A77" w:rsidRDefault="00FC618C" w:rsidP="00FC618C">
      <w:pPr>
        <w:pStyle w:val="Prrafodelista"/>
        <w:ind w:left="426" w:hanging="426"/>
        <w:jc w:val="center"/>
        <w:rPr>
          <w:rFonts w:asciiTheme="minorHAnsi" w:hAnsiTheme="minorHAnsi" w:cstheme="minorHAnsi"/>
          <w:sz w:val="22"/>
          <w:szCs w:val="22"/>
          <w:lang w:val="es-MX"/>
        </w:rPr>
      </w:pPr>
    </w:p>
    <w:p w14:paraId="08C1A3E2" w14:textId="4A406A26" w:rsidR="00FC618C" w:rsidRPr="006E3A77" w:rsidRDefault="00FC618C" w:rsidP="00FC618C">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Pr>
          <w:rFonts w:asciiTheme="minorHAnsi" w:hAnsiTheme="minorHAnsi" w:cstheme="minorHAnsi"/>
          <w:sz w:val="22"/>
          <w:szCs w:val="22"/>
          <w:lang w:val="en-US"/>
        </w:rPr>
        <w:t>6</w:t>
      </w:r>
      <w:proofErr w:type="gramStart"/>
      <w:r>
        <w:rPr>
          <w:rFonts w:asciiTheme="minorHAnsi" w:hAnsiTheme="minorHAnsi" w:cstheme="minorHAnsi"/>
          <w:sz w:val="22"/>
          <w:szCs w:val="22"/>
          <w:lang w:val="en-US"/>
        </w:rPr>
        <w:t>,85</w:t>
      </w:r>
      <w:proofErr w:type="gramEnd"/>
      <w:r w:rsidRPr="006E3A77">
        <w:rPr>
          <w:rFonts w:asciiTheme="minorHAnsi" w:hAnsiTheme="minorHAnsi" w:cstheme="minorHAnsi"/>
          <w:sz w:val="22"/>
          <w:szCs w:val="22"/>
          <w:lang w:val="en-US"/>
        </w:rPr>
        <w:t xml:space="preserve"> cent$/</w:t>
      </w:r>
      <w:proofErr w:type="spellStart"/>
      <w:r w:rsidRPr="006E3A77">
        <w:rPr>
          <w:rFonts w:asciiTheme="minorHAnsi" w:hAnsiTheme="minorHAnsi" w:cstheme="minorHAnsi"/>
          <w:sz w:val="22"/>
          <w:szCs w:val="22"/>
          <w:lang w:val="en-US"/>
        </w:rPr>
        <w:t>Galón</w:t>
      </w:r>
      <w:proofErr w:type="spellEnd"/>
      <w:r w:rsidRPr="006E3A77">
        <w:rPr>
          <w:rFonts w:asciiTheme="minorHAnsi" w:hAnsiTheme="minorHAnsi" w:cstheme="minorHAnsi"/>
          <w:sz w:val="22"/>
          <w:szCs w:val="22"/>
          <w:lang w:val="en-US"/>
        </w:rPr>
        <w:t>* (521</w:t>
      </w:r>
      <w:r>
        <w:rPr>
          <w:rFonts w:asciiTheme="minorHAnsi" w:hAnsiTheme="minorHAnsi" w:cstheme="minorHAnsi"/>
          <w:sz w:val="22"/>
          <w:szCs w:val="22"/>
          <w:lang w:val="en-US"/>
        </w:rPr>
        <w:t>,</w:t>
      </w:r>
      <w:r w:rsidRPr="006E3A77">
        <w:rPr>
          <w:rFonts w:asciiTheme="minorHAnsi" w:hAnsiTheme="minorHAnsi" w:cstheme="minorHAnsi"/>
          <w:sz w:val="22"/>
          <w:szCs w:val="22"/>
          <w:lang w:val="en-US"/>
        </w:rPr>
        <w:t>74/729</w:t>
      </w:r>
      <w:r>
        <w:rPr>
          <w:rFonts w:asciiTheme="minorHAnsi" w:hAnsiTheme="minorHAnsi" w:cstheme="minorHAnsi"/>
          <w:sz w:val="22"/>
          <w:szCs w:val="22"/>
          <w:lang w:val="en-US"/>
        </w:rPr>
        <w:t>,</w:t>
      </w:r>
      <w:r w:rsidRPr="006E3A77">
        <w:rPr>
          <w:rFonts w:asciiTheme="minorHAnsi" w:hAnsiTheme="minorHAnsi" w:cstheme="minorHAnsi"/>
          <w:sz w:val="22"/>
          <w:szCs w:val="22"/>
          <w:lang w:val="en-US"/>
        </w:rPr>
        <w:t xml:space="preserve">23) = </w:t>
      </w:r>
      <w:r>
        <w:rPr>
          <w:rFonts w:asciiTheme="minorHAnsi" w:hAnsiTheme="minorHAnsi" w:cstheme="minorHAnsi"/>
          <w:sz w:val="22"/>
          <w:szCs w:val="22"/>
          <w:lang w:val="en-US"/>
        </w:rPr>
        <w:t>4,90</w:t>
      </w:r>
      <w:r w:rsidRPr="006E3A77">
        <w:rPr>
          <w:rFonts w:asciiTheme="minorHAnsi" w:hAnsiTheme="minorHAnsi" w:cstheme="minorHAnsi"/>
          <w:sz w:val="22"/>
          <w:szCs w:val="22"/>
          <w:lang w:val="en-US"/>
        </w:rPr>
        <w:t xml:space="preserve"> cent$/</w:t>
      </w:r>
      <w:proofErr w:type="spellStart"/>
      <w:r w:rsidRPr="006E3A77">
        <w:rPr>
          <w:rFonts w:asciiTheme="minorHAnsi" w:hAnsiTheme="minorHAnsi" w:cstheme="minorHAnsi"/>
          <w:sz w:val="22"/>
          <w:szCs w:val="22"/>
          <w:lang w:val="en-US"/>
        </w:rPr>
        <w:t>Galón</w:t>
      </w:r>
      <w:proofErr w:type="spellEnd"/>
    </w:p>
    <w:p w14:paraId="07B8BF11" w14:textId="4B1A7464" w:rsidR="00FC618C" w:rsidRPr="006E3A77" w:rsidRDefault="00FC618C" w:rsidP="00FC618C">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 </w:t>
      </w:r>
      <w:r>
        <w:rPr>
          <w:rFonts w:asciiTheme="minorHAnsi" w:hAnsiTheme="minorHAnsi" w:cstheme="minorHAnsi"/>
          <w:sz w:val="22"/>
          <w:szCs w:val="22"/>
          <w:lang w:val="en-US"/>
        </w:rPr>
        <w:t>2</w:t>
      </w:r>
      <w:proofErr w:type="gramStart"/>
      <w:r>
        <w:rPr>
          <w:rFonts w:asciiTheme="minorHAnsi" w:hAnsiTheme="minorHAnsi" w:cstheme="minorHAnsi"/>
          <w:sz w:val="22"/>
          <w:szCs w:val="22"/>
          <w:lang w:val="en-US"/>
        </w:rPr>
        <w:t>,06</w:t>
      </w:r>
      <w:proofErr w:type="gramEnd"/>
      <w:r w:rsidRPr="006E3A77">
        <w:rPr>
          <w:rFonts w:asciiTheme="minorHAnsi" w:hAnsiTheme="minorHAnsi" w:cstheme="minorHAnsi"/>
          <w:sz w:val="22"/>
          <w:szCs w:val="22"/>
          <w:lang w:val="en-US"/>
        </w:rPr>
        <w:t xml:space="preserve"> US$/</w:t>
      </w:r>
      <w:proofErr w:type="spellStart"/>
      <w:r w:rsidRPr="006E3A77">
        <w:rPr>
          <w:rFonts w:asciiTheme="minorHAnsi" w:hAnsiTheme="minorHAnsi" w:cstheme="minorHAnsi"/>
          <w:sz w:val="22"/>
          <w:szCs w:val="22"/>
          <w:lang w:val="en-US"/>
        </w:rPr>
        <w:t>Bl</w:t>
      </w:r>
      <w:proofErr w:type="spellEnd"/>
    </w:p>
    <w:p w14:paraId="558697DC" w14:textId="77777777" w:rsidR="00FC618C" w:rsidRPr="006E3A77" w:rsidRDefault="00FC618C" w:rsidP="00FC618C">
      <w:pPr>
        <w:pStyle w:val="Prrafodelista"/>
        <w:ind w:left="426" w:hanging="426"/>
        <w:jc w:val="center"/>
        <w:rPr>
          <w:rFonts w:asciiTheme="minorHAnsi" w:hAnsiTheme="minorHAnsi" w:cstheme="minorHAnsi"/>
          <w:sz w:val="22"/>
          <w:szCs w:val="22"/>
          <w:lang w:val="en-US"/>
        </w:rPr>
      </w:pPr>
    </w:p>
    <w:p w14:paraId="277CC4F7" w14:textId="77777777" w:rsidR="00FC618C" w:rsidRPr="006E3A77" w:rsidRDefault="00FC618C" w:rsidP="00FC618C">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 las Gasolinas:</w:t>
      </w:r>
    </w:p>
    <w:p w14:paraId="789CFCBC" w14:textId="77777777" w:rsidR="00FC618C" w:rsidRPr="006E3A77" w:rsidRDefault="00FC618C" w:rsidP="00FC618C">
      <w:pPr>
        <w:ind w:left="426" w:hanging="426"/>
        <w:jc w:val="both"/>
        <w:rPr>
          <w:rFonts w:asciiTheme="minorHAnsi" w:hAnsiTheme="minorHAnsi" w:cstheme="minorHAnsi"/>
          <w:b/>
          <w:sz w:val="22"/>
          <w:szCs w:val="22"/>
          <w:u w:val="single"/>
        </w:rPr>
      </w:pPr>
    </w:p>
    <w:p w14:paraId="3998C3AA" w14:textId="54041A76" w:rsidR="00FC618C" w:rsidRPr="006E3A77" w:rsidRDefault="00FC618C" w:rsidP="00FC618C">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 </w:t>
      </w:r>
      <w:r w:rsidR="005719F1">
        <w:rPr>
          <w:rFonts w:asciiTheme="minorHAnsi" w:hAnsiTheme="minorHAnsi" w:cstheme="minorHAnsi"/>
          <w:sz w:val="22"/>
          <w:szCs w:val="22"/>
        </w:rPr>
        <w:t>Gasolina Premium</w:t>
      </w:r>
      <w:r w:rsidRPr="006E3A77">
        <w:rPr>
          <w:rFonts w:asciiTheme="minorHAnsi" w:hAnsiTheme="minorHAnsi" w:cstheme="minorHAnsi"/>
          <w:sz w:val="22"/>
          <w:szCs w:val="22"/>
        </w:rPr>
        <w:t xml:space="preserve">, corresponde al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calculado a partir de la mezcla de las gasolinas CBOB 97 y CBOB 93; mientras que, para la </w:t>
      </w:r>
      <w:r w:rsidR="005719F1">
        <w:rPr>
          <w:rFonts w:asciiTheme="minorHAnsi" w:hAnsiTheme="minorHAnsi" w:cstheme="minorHAnsi"/>
          <w:sz w:val="22"/>
          <w:szCs w:val="22"/>
        </w:rPr>
        <w:t>G</w:t>
      </w:r>
      <w:r w:rsidRPr="006E3A77">
        <w:rPr>
          <w:rFonts w:asciiTheme="minorHAnsi" w:hAnsiTheme="minorHAnsi" w:cstheme="minorHAnsi"/>
          <w:sz w:val="22"/>
          <w:szCs w:val="22"/>
        </w:rPr>
        <w:t xml:space="preserve">asolinas </w:t>
      </w:r>
      <w:r>
        <w:rPr>
          <w:rFonts w:asciiTheme="minorHAnsi" w:hAnsiTheme="minorHAnsi" w:cstheme="minorHAnsi"/>
          <w:sz w:val="22"/>
          <w:szCs w:val="22"/>
        </w:rPr>
        <w:t>Regula</w:t>
      </w:r>
      <w:r w:rsidR="005719F1">
        <w:rPr>
          <w:rFonts w:asciiTheme="minorHAnsi" w:hAnsiTheme="minorHAnsi" w:cstheme="minorHAnsi"/>
          <w:sz w:val="22"/>
          <w:szCs w:val="22"/>
        </w:rPr>
        <w:t>r</w:t>
      </w:r>
      <w:r w:rsidRPr="006E3A77">
        <w:rPr>
          <w:rFonts w:asciiTheme="minorHAnsi" w:hAnsiTheme="minorHAnsi" w:cstheme="minorHAnsi"/>
          <w:sz w:val="22"/>
          <w:szCs w:val="22"/>
        </w:rPr>
        <w:t xml:space="preserve"> y </w:t>
      </w:r>
      <w:r w:rsidR="005719F1">
        <w:rPr>
          <w:rFonts w:asciiTheme="minorHAnsi" w:hAnsiTheme="minorHAnsi" w:cstheme="minorHAnsi"/>
          <w:sz w:val="22"/>
          <w:szCs w:val="22"/>
        </w:rPr>
        <w:t xml:space="preserve">Gasolina </w:t>
      </w:r>
      <w:r w:rsidRPr="006E3A77">
        <w:rPr>
          <w:rFonts w:asciiTheme="minorHAnsi" w:hAnsiTheme="minorHAnsi" w:cstheme="minorHAnsi"/>
          <w:sz w:val="22"/>
          <w:szCs w:val="22"/>
        </w:rPr>
        <w:t xml:space="preserve">84 octanos, es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 la gasolina CBOB 87.</w:t>
      </w:r>
    </w:p>
    <w:p w14:paraId="349724E7" w14:textId="73F7F190" w:rsidR="00FC618C" w:rsidRPr="006E3A77" w:rsidRDefault="00FC618C" w:rsidP="00FC618C">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Pr>
          <w:rFonts w:asciiTheme="minorHAnsi" w:hAnsiTheme="minorHAnsi" w:cstheme="minorHAnsi"/>
          <w:sz w:val="22"/>
          <w:szCs w:val="22"/>
        </w:rPr>
        <w:t>8,08</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256F8B16" w14:textId="41A54AF7" w:rsidR="00FC618C" w:rsidRPr="006E3A77" w:rsidRDefault="00FC618C" w:rsidP="00FC618C">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 xml:space="preserve">1,83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sidR="005719F1">
        <w:rPr>
          <w:rFonts w:asciiTheme="minorHAnsi" w:hAnsiTheme="minorHAnsi" w:cstheme="minorHAnsi"/>
          <w:sz w:val="22"/>
          <w:szCs w:val="22"/>
        </w:rPr>
        <w:t>G</w:t>
      </w:r>
      <w:r w:rsidRPr="006E3A77">
        <w:rPr>
          <w:rFonts w:asciiTheme="minorHAnsi" w:hAnsiTheme="minorHAnsi" w:cstheme="minorHAnsi"/>
          <w:sz w:val="22"/>
          <w:szCs w:val="22"/>
        </w:rPr>
        <w:t>asolina</w:t>
      </w:r>
      <w:r>
        <w:rPr>
          <w:rFonts w:asciiTheme="minorHAnsi" w:hAnsiTheme="minorHAnsi" w:cstheme="minorHAnsi"/>
          <w:sz w:val="22"/>
          <w:szCs w:val="22"/>
        </w:rPr>
        <w:t xml:space="preserve"> Premium</w:t>
      </w:r>
      <w:r w:rsidRPr="006E3A77">
        <w:rPr>
          <w:rFonts w:asciiTheme="minorHAnsi" w:hAnsiTheme="minorHAnsi" w:cstheme="minorHAnsi"/>
          <w:sz w:val="22"/>
          <w:szCs w:val="22"/>
        </w:rPr>
        <w:t xml:space="preserve"> y un ajuste de </w:t>
      </w:r>
      <w:r>
        <w:rPr>
          <w:rFonts w:asciiTheme="minorHAnsi" w:hAnsiTheme="minorHAnsi" w:cstheme="minorHAnsi"/>
          <w:sz w:val="22"/>
          <w:szCs w:val="22"/>
        </w:rPr>
        <w:t>1,53</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sidR="005719F1">
        <w:rPr>
          <w:rFonts w:asciiTheme="minorHAnsi" w:hAnsiTheme="minorHAnsi" w:cstheme="minorHAnsi"/>
          <w:sz w:val="22"/>
          <w:szCs w:val="22"/>
        </w:rPr>
        <w:t xml:space="preserve">Gasolina Regular </w:t>
      </w:r>
      <w:r w:rsidRPr="006E3A77">
        <w:rPr>
          <w:rFonts w:asciiTheme="minorHAnsi" w:hAnsiTheme="minorHAnsi" w:cstheme="minorHAnsi"/>
          <w:sz w:val="22"/>
          <w:szCs w:val="22"/>
        </w:rPr>
        <w:t xml:space="preserve">y </w:t>
      </w:r>
      <w:r w:rsidR="005719F1">
        <w:rPr>
          <w:rFonts w:asciiTheme="minorHAnsi" w:hAnsiTheme="minorHAnsi" w:cstheme="minorHAnsi"/>
          <w:sz w:val="22"/>
          <w:szCs w:val="22"/>
        </w:rPr>
        <w:t xml:space="preserve">Gasolina de </w:t>
      </w:r>
      <w:r w:rsidRPr="006E3A77">
        <w:rPr>
          <w:rFonts w:asciiTheme="minorHAnsi" w:hAnsiTheme="minorHAnsi" w:cstheme="minorHAnsi"/>
          <w:sz w:val="22"/>
          <w:szCs w:val="22"/>
        </w:rPr>
        <w:t>84 octanos</w:t>
      </w:r>
    </w:p>
    <w:p w14:paraId="43378450" w14:textId="769231EF" w:rsidR="00FC618C" w:rsidRPr="006E3A77" w:rsidRDefault="00FC618C" w:rsidP="00FC618C">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Pr>
          <w:rFonts w:asciiTheme="minorHAnsi" w:hAnsiTheme="minorHAnsi" w:cstheme="minorHAnsi"/>
          <w:sz w:val="22"/>
          <w:szCs w:val="22"/>
        </w:rPr>
        <w:t>1,35</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sidR="005719F1">
        <w:rPr>
          <w:rFonts w:asciiTheme="minorHAnsi" w:hAnsiTheme="minorHAnsi" w:cstheme="minorHAnsi"/>
          <w:sz w:val="22"/>
          <w:szCs w:val="22"/>
        </w:rPr>
        <w:t>G</w:t>
      </w:r>
      <w:r w:rsidRPr="006E3A77">
        <w:rPr>
          <w:rFonts w:asciiTheme="minorHAnsi" w:hAnsiTheme="minorHAnsi" w:cstheme="minorHAnsi"/>
          <w:sz w:val="22"/>
          <w:szCs w:val="22"/>
        </w:rPr>
        <w:t xml:space="preserve">asolina </w:t>
      </w:r>
      <w:r w:rsidR="005719F1">
        <w:rPr>
          <w:rFonts w:asciiTheme="minorHAnsi" w:hAnsiTheme="minorHAnsi" w:cstheme="minorHAnsi"/>
          <w:sz w:val="22"/>
          <w:szCs w:val="22"/>
        </w:rPr>
        <w:t xml:space="preserve">Regular </w:t>
      </w:r>
      <w:r w:rsidRPr="006E3A77">
        <w:rPr>
          <w:rFonts w:asciiTheme="minorHAnsi" w:hAnsiTheme="minorHAnsi" w:cstheme="minorHAnsi"/>
          <w:sz w:val="22"/>
          <w:szCs w:val="22"/>
        </w:rPr>
        <w:t xml:space="preserve">y un ajuste de </w:t>
      </w:r>
      <w:r>
        <w:rPr>
          <w:rFonts w:asciiTheme="minorHAnsi" w:hAnsiTheme="minorHAnsi" w:cstheme="minorHAnsi"/>
          <w:sz w:val="22"/>
          <w:szCs w:val="22"/>
        </w:rPr>
        <w:t xml:space="preserve">-7,24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sidR="005719F1">
        <w:rPr>
          <w:rFonts w:asciiTheme="minorHAnsi" w:hAnsiTheme="minorHAnsi" w:cstheme="minorHAnsi"/>
          <w:sz w:val="22"/>
          <w:szCs w:val="22"/>
        </w:rPr>
        <w:t>G</w:t>
      </w:r>
      <w:r w:rsidRPr="006E3A77">
        <w:rPr>
          <w:rFonts w:asciiTheme="minorHAnsi" w:hAnsiTheme="minorHAnsi" w:cstheme="minorHAnsi"/>
          <w:sz w:val="22"/>
          <w:szCs w:val="22"/>
        </w:rPr>
        <w:t>asolina de 84 octanos.</w:t>
      </w:r>
    </w:p>
    <w:p w14:paraId="43DBC92E" w14:textId="77777777" w:rsidR="00FC618C" w:rsidRPr="006E3A77" w:rsidRDefault="00FC618C" w:rsidP="00FC618C">
      <w:pPr>
        <w:ind w:left="426" w:hanging="426"/>
        <w:jc w:val="both"/>
        <w:rPr>
          <w:rFonts w:asciiTheme="minorHAnsi" w:hAnsiTheme="minorHAnsi" w:cstheme="minorHAnsi"/>
          <w:sz w:val="22"/>
          <w:szCs w:val="22"/>
          <w:u w:val="single"/>
        </w:rPr>
      </w:pPr>
    </w:p>
    <w:p w14:paraId="61C1B490" w14:textId="77777777" w:rsidR="00FC618C" w:rsidRPr="006E3A77" w:rsidRDefault="00FC618C" w:rsidP="00FC618C">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del Diésel:</w:t>
      </w:r>
    </w:p>
    <w:p w14:paraId="5F38E3C2" w14:textId="77777777" w:rsidR="00FC618C" w:rsidRPr="006E3A77" w:rsidRDefault="00FC618C" w:rsidP="00FC618C">
      <w:pPr>
        <w:ind w:left="426" w:hanging="426"/>
        <w:jc w:val="both"/>
        <w:rPr>
          <w:rFonts w:asciiTheme="minorHAnsi" w:hAnsiTheme="minorHAnsi" w:cstheme="minorHAnsi"/>
          <w:b/>
          <w:sz w:val="22"/>
          <w:szCs w:val="22"/>
          <w:u w:val="single"/>
        </w:rPr>
      </w:pPr>
    </w:p>
    <w:p w14:paraId="24867573" w14:textId="77777777" w:rsidR="00FC618C" w:rsidRPr="006E3A77" w:rsidRDefault="00FC618C" w:rsidP="00FC618C">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del Ultra </w:t>
      </w:r>
      <w:proofErr w:type="spellStart"/>
      <w:r w:rsidRPr="006E3A77">
        <w:rPr>
          <w:rFonts w:asciiTheme="minorHAnsi" w:hAnsiTheme="minorHAnsi" w:cstheme="minorHAnsi"/>
          <w:sz w:val="22"/>
          <w:szCs w:val="22"/>
        </w:rPr>
        <w:t>Sulfur</w:t>
      </w:r>
      <w:proofErr w:type="spellEnd"/>
      <w:r w:rsidRPr="006E3A77">
        <w:rPr>
          <w:rFonts w:asciiTheme="minorHAnsi" w:hAnsiTheme="minorHAnsi" w:cstheme="minorHAnsi"/>
          <w:sz w:val="22"/>
          <w:szCs w:val="22"/>
        </w:rPr>
        <w:t xml:space="preserve"> Diésel. Para el Diésel con alto contenido de azufre, se considera el Gasoil N°2, sin RVO.</w:t>
      </w:r>
    </w:p>
    <w:p w14:paraId="55548CCD" w14:textId="5BF7E5E5" w:rsidR="00FC618C" w:rsidRPr="006E3A77" w:rsidRDefault="00FC618C" w:rsidP="00FC618C">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Pr>
          <w:rFonts w:asciiTheme="minorHAnsi" w:hAnsiTheme="minorHAnsi" w:cstheme="minorHAnsi"/>
          <w:sz w:val="22"/>
          <w:szCs w:val="22"/>
        </w:rPr>
        <w:t xml:space="preserve">8,08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27AA6E04" w14:textId="1B9E0FA3" w:rsidR="00FC618C" w:rsidRPr="006E3A77" w:rsidRDefault="00FC618C" w:rsidP="00FC618C">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w:t>
      </w:r>
      <w:proofErr w:type="spellStart"/>
      <w:r w:rsidRPr="006E3A77">
        <w:rPr>
          <w:rFonts w:asciiTheme="minorHAnsi" w:hAnsiTheme="minorHAnsi" w:cstheme="minorHAnsi"/>
          <w:b/>
          <w:sz w:val="22"/>
          <w:szCs w:val="22"/>
        </w:rPr>
        <w:t>Cetano</w:t>
      </w:r>
      <w:proofErr w:type="spellEnd"/>
      <w:r>
        <w:rPr>
          <w:rFonts w:asciiTheme="minorHAnsi" w:hAnsiTheme="minorHAnsi" w:cstheme="minorHAnsi"/>
          <w:sz w:val="22"/>
          <w:szCs w:val="22"/>
        </w:rPr>
        <w:t>: Se determinó un ajuste de 0,</w:t>
      </w:r>
      <w:r w:rsidRPr="006E3A77">
        <w:rPr>
          <w:rFonts w:asciiTheme="minorHAnsi" w:hAnsiTheme="minorHAnsi" w:cstheme="minorHAnsi"/>
          <w:sz w:val="22"/>
          <w:szCs w:val="22"/>
        </w:rPr>
        <w:t>37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504B4540" w14:textId="77777777" w:rsidR="00FC618C" w:rsidRPr="006E3A77" w:rsidRDefault="00FC618C" w:rsidP="00FC618C">
      <w:pPr>
        <w:ind w:left="426" w:hanging="426"/>
        <w:jc w:val="both"/>
        <w:rPr>
          <w:rFonts w:asciiTheme="minorHAnsi" w:hAnsiTheme="minorHAnsi" w:cstheme="minorHAnsi"/>
          <w:b/>
          <w:sz w:val="22"/>
          <w:szCs w:val="22"/>
          <w:u w:val="single"/>
        </w:rPr>
      </w:pPr>
    </w:p>
    <w:p w14:paraId="72AC921F" w14:textId="77777777" w:rsidR="00FC618C" w:rsidRPr="006E3A77" w:rsidRDefault="00FC618C" w:rsidP="00FC618C">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 los Petróleos Industriales:</w:t>
      </w:r>
    </w:p>
    <w:p w14:paraId="616EA25A" w14:textId="77777777" w:rsidR="00FC618C" w:rsidRPr="006E3A77" w:rsidRDefault="00FC618C" w:rsidP="00FC618C">
      <w:pPr>
        <w:ind w:left="426" w:hanging="426"/>
        <w:jc w:val="both"/>
        <w:rPr>
          <w:rFonts w:asciiTheme="minorHAnsi" w:hAnsiTheme="minorHAnsi" w:cstheme="minorHAnsi"/>
          <w:b/>
          <w:sz w:val="22"/>
          <w:szCs w:val="22"/>
          <w:u w:val="single"/>
        </w:rPr>
      </w:pPr>
    </w:p>
    <w:p w14:paraId="6C573088" w14:textId="77777777" w:rsidR="00FC618C" w:rsidRPr="006E3A77" w:rsidRDefault="00FC618C" w:rsidP="00FC618C">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del Fuel </w:t>
      </w:r>
      <w:proofErr w:type="spellStart"/>
      <w:r w:rsidRPr="006E3A77">
        <w:rPr>
          <w:rFonts w:asciiTheme="minorHAnsi" w:hAnsiTheme="minorHAnsi" w:cstheme="minorHAnsi"/>
          <w:sz w:val="22"/>
          <w:szCs w:val="22"/>
        </w:rPr>
        <w:t>Oil</w:t>
      </w:r>
      <w:proofErr w:type="spellEnd"/>
      <w:r w:rsidRPr="006E3A77">
        <w:rPr>
          <w:rFonts w:asciiTheme="minorHAnsi" w:hAnsiTheme="minorHAnsi" w:cstheme="minorHAnsi"/>
          <w:sz w:val="22"/>
          <w:szCs w:val="22"/>
        </w:rPr>
        <w:t xml:space="preserve"> N°6 con 3% S.</w:t>
      </w:r>
    </w:p>
    <w:p w14:paraId="67EDC970" w14:textId="1763874A" w:rsidR="00FC618C" w:rsidRDefault="00FC618C" w:rsidP="00FC618C">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-2,51</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el Petróleo Industrial 500.</w:t>
      </w:r>
    </w:p>
    <w:p w14:paraId="2855CD98" w14:textId="77777777" w:rsidR="00FC618C" w:rsidRPr="006E3A77" w:rsidRDefault="00FC618C" w:rsidP="00FC618C">
      <w:pPr>
        <w:pStyle w:val="Prrafodelista"/>
        <w:ind w:left="851"/>
        <w:jc w:val="both"/>
        <w:rPr>
          <w:rFonts w:asciiTheme="minorHAnsi" w:hAnsiTheme="minorHAnsi" w:cstheme="minorHAnsi"/>
          <w:sz w:val="22"/>
          <w:szCs w:val="22"/>
        </w:rPr>
      </w:pPr>
    </w:p>
    <w:p w14:paraId="117F1B95" w14:textId="02B2DD6C" w:rsidR="00F85D23" w:rsidRPr="00B45C03" w:rsidRDefault="00FC618C" w:rsidP="00FC618C">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Los resultados del cálculo del Precio FOB y de los demás componentes que forman parte de los Precios de Referencia de Combustibles, se muestran en la Tabla N°1</w:t>
      </w:r>
      <w:r w:rsidR="007A4646" w:rsidRPr="006E3A77">
        <w:rPr>
          <w:rFonts w:asciiTheme="minorHAnsi" w:hAnsiTheme="minorHAnsi" w:cstheme="minorHAnsi"/>
          <w:sz w:val="22"/>
          <w:szCs w:val="22"/>
        </w:rPr>
        <w:t>.</w:t>
      </w:r>
    </w:p>
    <w:p w14:paraId="49B933A4" w14:textId="77777777" w:rsidR="00352B3A" w:rsidRDefault="00352B3A" w:rsidP="004F74EE">
      <w:pPr>
        <w:jc w:val="both"/>
        <w:rPr>
          <w:rFonts w:ascii="Arial" w:hAnsi="Arial" w:cs="Arial"/>
          <w:sz w:val="22"/>
          <w:szCs w:val="22"/>
          <w:u w:val="single"/>
          <w:lang w:eastAsia="en-US"/>
        </w:rPr>
      </w:pPr>
    </w:p>
    <w:p w14:paraId="5451DFF8" w14:textId="530A35A7" w:rsidR="00352B3A" w:rsidRPr="00F85D23" w:rsidRDefault="00352B3A" w:rsidP="004F74EE">
      <w:pPr>
        <w:jc w:val="both"/>
        <w:rPr>
          <w:rFonts w:ascii="Arial" w:hAnsi="Arial" w:cs="Arial"/>
          <w:sz w:val="22"/>
          <w:szCs w:val="22"/>
          <w:u w:val="single"/>
          <w:lang w:eastAsia="en-US"/>
        </w:rPr>
        <w:sectPr w:rsidR="00352B3A" w:rsidRPr="00F85D23" w:rsidSect="002A50E6">
          <w:headerReference w:type="default" r:id="rId14"/>
          <w:footerReference w:type="default" r:id="rId15"/>
          <w:headerReference w:type="first" r:id="rId16"/>
          <w:footerReference w:type="first" r:id="rId17"/>
          <w:type w:val="continuous"/>
          <w:pgSz w:w="11907" w:h="16840" w:code="9"/>
          <w:pgMar w:top="1560" w:right="1559" w:bottom="1134" w:left="1701" w:header="426" w:footer="0" w:gutter="0"/>
          <w:cols w:space="720"/>
          <w:noEndnote/>
          <w:titlePg/>
        </w:sectPr>
      </w:pPr>
    </w:p>
    <w:p w14:paraId="728D2FE7" w14:textId="77777777"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lastRenderedPageBreak/>
        <w:t>TABLA N°1</w:t>
      </w:r>
      <w:r w:rsidR="00D8540F">
        <w:rPr>
          <w:rFonts w:ascii="Calibri" w:hAnsi="Calibri" w:cs="Calibri"/>
          <w:b/>
          <w:bCs/>
          <w:i/>
          <w:iCs/>
          <w:sz w:val="20"/>
          <w:szCs w:val="20"/>
          <w:lang w:val="es-PE" w:eastAsia="en-US"/>
        </w:rPr>
        <w:t>: Composición de los Precios de Referencia de Importación de Combustibles</w:t>
      </w:r>
    </w:p>
    <w:p w14:paraId="4F936331" w14:textId="2469757E" w:rsidR="00765078" w:rsidRDefault="00F4467E" w:rsidP="004F74EE">
      <w:pPr>
        <w:pBdr>
          <w:top w:val="single" w:sz="4" w:space="1" w:color="auto"/>
          <w:bottom w:val="single" w:sz="4" w:space="1" w:color="auto"/>
        </w:pBdr>
        <w:jc w:val="center"/>
        <w:rPr>
          <w:rFonts w:ascii="Calibri" w:hAnsi="Calibri" w:cs="Calibri"/>
          <w:sz w:val="22"/>
          <w:szCs w:val="22"/>
          <w:lang w:val="es-PE" w:eastAsia="en-US"/>
        </w:rPr>
      </w:pPr>
      <w:r w:rsidRPr="00F4467E">
        <w:drawing>
          <wp:inline distT="0" distB="0" distL="0" distR="0" wp14:anchorId="7BE79572" wp14:editId="644FE30B">
            <wp:extent cx="8171815" cy="2950590"/>
            <wp:effectExtent l="0" t="0" r="635" b="254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185135" cy="2955400"/>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 Los cálculos se han efectuado conforme a la Resolución Directoral N°244-2020-MEM/DGH y Resolución de Consejo Directivo N°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6C28006E"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(3) Para el Dié</w:t>
            </w:r>
            <w:r w:rsidR="00E33273">
              <w:rPr>
                <w:rFonts w:asciiTheme="minorHAnsi" w:hAnsiTheme="minorHAnsi" w:cstheme="minorHAnsi"/>
                <w:i/>
                <w:iCs/>
                <w:sz w:val="18"/>
                <w:szCs w:val="18"/>
                <w:lang w:val="es-MX" w:eastAsia="en-US"/>
              </w:rPr>
              <w:t xml:space="preserve">sel , el ajuste de calidad por </w:t>
            </w:r>
            <w:proofErr w:type="spellStart"/>
            <w:r w:rsidR="00E33273">
              <w:rPr>
                <w:rFonts w:asciiTheme="minorHAnsi" w:hAnsiTheme="minorHAnsi" w:cstheme="minorHAnsi"/>
                <w:i/>
                <w:iCs/>
                <w:sz w:val="18"/>
                <w:szCs w:val="18"/>
                <w:lang w:val="es-MX" w:eastAsia="en-US"/>
              </w:rPr>
              <w:t>c</w:t>
            </w:r>
            <w:r w:rsidRPr="00352553">
              <w:rPr>
                <w:rFonts w:asciiTheme="minorHAnsi" w:hAnsiTheme="minorHAnsi" w:cstheme="minorHAnsi"/>
                <w:i/>
                <w:iCs/>
                <w:sz w:val="18"/>
                <w:szCs w:val="18"/>
                <w:lang w:val="es-MX" w:eastAsia="en-US"/>
              </w:rPr>
              <w:t>etano</w:t>
            </w:r>
            <w:proofErr w:type="spellEnd"/>
            <w:r w:rsidRPr="00352553">
              <w:rPr>
                <w:rFonts w:asciiTheme="minorHAnsi" w:hAnsiTheme="minorHAnsi" w:cstheme="minorHAnsi"/>
                <w:i/>
                <w:iCs/>
                <w:sz w:val="18"/>
                <w:szCs w:val="18"/>
                <w:lang w:val="es-MX" w:eastAsia="en-US"/>
              </w:rPr>
              <w:t xml:space="preserve"> (40 en el Mercado Internacional, según especificaciones del Colonial Pipeline y 45 en el Mercado Local) es igual a 0.37 US$/</w:t>
            </w:r>
            <w:proofErr w:type="spellStart"/>
            <w:r w:rsidRPr="00352553">
              <w:rPr>
                <w:rFonts w:asciiTheme="minorHAnsi" w:hAnsiTheme="minorHAnsi" w:cstheme="minorHAnsi"/>
                <w:i/>
                <w:iCs/>
                <w:sz w:val="18"/>
                <w:szCs w:val="18"/>
                <w:lang w:val="es-MX" w:eastAsia="en-US"/>
              </w:rPr>
              <w:t>Bl</w:t>
            </w:r>
            <w:proofErr w:type="spellEnd"/>
            <w:r w:rsidRPr="00352553">
              <w:rPr>
                <w:rFonts w:asciiTheme="minorHAnsi" w:hAnsiTheme="minorHAnsi" w:cstheme="minorHAnsi"/>
                <w:i/>
                <w:iCs/>
                <w:sz w:val="18"/>
                <w:szCs w:val="18"/>
                <w:lang w:val="es-MX" w:eastAsia="en-US"/>
              </w:rPr>
              <w:t xml:space="preserve">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(4) El </w:t>
            </w:r>
            <w:proofErr w:type="spellStart"/>
            <w:r>
              <w:rPr>
                <w:rFonts w:asciiTheme="minorHAnsi" w:hAnsiTheme="minorHAnsi" w:cstheme="minorHAnsi"/>
                <w:i/>
                <w:iCs/>
                <w:sz w:val="18"/>
                <w:szCs w:val="18"/>
                <w:lang w:val="es-MX" w:eastAsia="en-US"/>
              </w:rPr>
              <w:t>advalorem</w:t>
            </w:r>
            <w:proofErr w:type="spellEnd"/>
            <w:r>
              <w:rPr>
                <w:rFonts w:asciiTheme="minorHAnsi" w:hAnsiTheme="minorHAnsi" w:cstheme="minorHAnsi"/>
                <w:i/>
                <w:iCs/>
                <w:sz w:val="18"/>
                <w:szCs w:val="18"/>
                <w:lang w:val="es-MX" w:eastAsia="en-US"/>
              </w:rPr>
              <w:t xml:space="preserve">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5A217F79" w14:textId="3EAFC43D" w:rsidR="00352553" w:rsidRPr="00352553" w:rsidRDefault="00352553" w:rsidP="005C2A1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(5) Para el ajuste por octanaje de las Gasolinas </w:t>
            </w:r>
            <w:r w:rsidR="005C2A13">
              <w:rPr>
                <w:rFonts w:asciiTheme="minorHAnsi" w:hAnsiTheme="minorHAnsi" w:cstheme="minorHAnsi"/>
                <w:i/>
                <w:iCs/>
                <w:sz w:val="18"/>
                <w:szCs w:val="18"/>
                <w:lang w:val="es-MX" w:eastAsia="en-US"/>
              </w:rPr>
              <w:t>Regular</w:t>
            </w:r>
            <w:r w:rsidRPr="00352553">
              <w:rPr>
                <w:rFonts w:asciiTheme="minorHAnsi" w:hAnsiTheme="minorHAnsi" w:cstheme="minorHAnsi"/>
                <w:i/>
                <w:iCs/>
                <w:sz w:val="18"/>
                <w:szCs w:val="18"/>
                <w:lang w:val="es-MX" w:eastAsia="en-US"/>
              </w:rPr>
              <w:t xml:space="preserve"> y</w:t>
            </w:r>
            <w:r w:rsidR="005C2A13">
              <w:rPr>
                <w:rFonts w:asciiTheme="minorHAnsi" w:hAnsiTheme="minorHAnsi" w:cstheme="minorHAnsi"/>
                <w:i/>
                <w:iCs/>
                <w:sz w:val="18"/>
                <w:szCs w:val="18"/>
                <w:lang w:val="es-MX" w:eastAsia="en-US"/>
              </w:rPr>
              <w:t xml:space="preserve"> de</w:t>
            </w:r>
            <w:r w:rsidRPr="00352553">
              <w:rPr>
                <w:rFonts w:asciiTheme="minorHAnsi" w:hAnsiTheme="minorHAnsi" w:cstheme="minorHAnsi"/>
                <w:i/>
                <w:iCs/>
                <w:sz w:val="18"/>
                <w:szCs w:val="18"/>
                <w:lang w:val="es-MX" w:eastAsia="en-US"/>
              </w:rPr>
              <w:t xml:space="preserve"> 84 </w:t>
            </w:r>
            <w:r w:rsidR="005C2A13">
              <w:rPr>
                <w:rFonts w:asciiTheme="minorHAnsi" w:hAnsiTheme="minorHAnsi" w:cstheme="minorHAnsi"/>
                <w:i/>
                <w:iCs/>
                <w:sz w:val="18"/>
                <w:szCs w:val="18"/>
                <w:lang w:val="es-MX" w:eastAsia="en-US"/>
              </w:rPr>
              <w:t xml:space="preserve">octanos </w:t>
            </w:r>
            <w:r w:rsidRPr="00352553">
              <w:rPr>
                <w:rFonts w:asciiTheme="minorHAnsi" w:hAnsiTheme="minorHAnsi" w:cstheme="minorHAnsi"/>
                <w:i/>
                <w:iCs/>
                <w:sz w:val="18"/>
                <w:szCs w:val="18"/>
                <w:lang w:val="es-MX" w:eastAsia="en-US"/>
              </w:rPr>
              <w:t>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 las gasolinas.</w:t>
            </w:r>
          </w:p>
        </w:tc>
      </w:tr>
      <w:tr w:rsidR="0091219E" w:rsidRPr="00352553" w14:paraId="04F40918" w14:textId="77777777" w:rsidTr="008468BF">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(9) El Precio de Referencia del </w:t>
            </w:r>
            <w:proofErr w:type="spellStart"/>
            <w:r w:rsidRPr="00352553">
              <w:rPr>
                <w:rFonts w:asciiTheme="minorHAnsi" w:hAnsiTheme="minorHAnsi" w:cstheme="minorHAnsi"/>
                <w:i/>
                <w:iCs/>
                <w:sz w:val="18"/>
                <w:szCs w:val="18"/>
                <w:lang w:val="es-MX" w:eastAsia="en-US"/>
              </w:rPr>
              <w:t>Diesel</w:t>
            </w:r>
            <w:proofErr w:type="spellEnd"/>
            <w:r w:rsidRPr="00352553">
              <w:rPr>
                <w:rFonts w:asciiTheme="minorHAnsi" w:hAnsiTheme="minorHAnsi" w:cstheme="minorHAnsi"/>
                <w:i/>
                <w:iCs/>
                <w:sz w:val="18"/>
                <w:szCs w:val="18"/>
                <w:lang w:val="es-MX" w:eastAsia="en-US"/>
              </w:rPr>
              <w:t xml:space="preserve">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(10) El Precio de Referencia de los </w:t>
            </w:r>
            <w:proofErr w:type="spellStart"/>
            <w:r w:rsidRPr="00352553">
              <w:rPr>
                <w:rFonts w:asciiTheme="minorHAnsi" w:hAnsiTheme="minorHAnsi" w:cstheme="minorHAnsi"/>
                <w:i/>
                <w:iCs/>
                <w:sz w:val="18"/>
                <w:szCs w:val="18"/>
                <w:lang w:val="es-MX" w:eastAsia="en-US"/>
              </w:rPr>
              <w:t>Gasoholes</w:t>
            </w:r>
            <w:proofErr w:type="spellEnd"/>
            <w:r w:rsidRPr="00352553">
              <w:rPr>
                <w:rFonts w:asciiTheme="minorHAnsi" w:hAnsiTheme="minorHAnsi" w:cstheme="minorHAnsi"/>
                <w:i/>
                <w:iCs/>
                <w:sz w:val="18"/>
                <w:szCs w:val="18"/>
                <w:lang w:val="es-MX" w:eastAsia="en-US"/>
              </w:rPr>
              <w:t>,  ha sido calculado considerando los porcentajes de Gasolina y Etanol utilizados en la mezcla.</w:t>
            </w:r>
          </w:p>
        </w:tc>
      </w:tr>
    </w:tbl>
    <w:p w14:paraId="6D715DBF" w14:textId="77777777" w:rsidR="004F74EE" w:rsidRPr="004F74EE" w:rsidRDefault="004F74EE" w:rsidP="004F74EE">
      <w:pPr>
        <w:jc w:val="both"/>
        <w:rPr>
          <w:rFonts w:ascii="Arial" w:hAnsi="Arial" w:cs="Arial"/>
          <w:sz w:val="22"/>
          <w:szCs w:val="22"/>
          <w:u w:val="single"/>
          <w:lang w:val="es-MX" w:eastAsia="en-US"/>
        </w:rPr>
        <w:sectPr w:rsidR="004F74EE" w:rsidRPr="004F74EE" w:rsidSect="00352B3A">
          <w:footerReference w:type="default" r:id="rId19"/>
          <w:headerReference w:type="first" r:id="rId20"/>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TABLA N°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879" w:type="dxa"/>
        <w:tblInd w:w="1134" w:type="dxa"/>
        <w:tblLayout w:type="fixed"/>
        <w:tblCellMar>
          <w:left w:w="70" w:type="dxa"/>
          <w:right w:w="70" w:type="dxa"/>
        </w:tblCellMar>
        <w:tblLook w:val="04A0" w:firstRow="1" w:lastRow="0" w:firstColumn="1" w:lastColumn="0" w:noHBand="0" w:noVBand="1"/>
      </w:tblPr>
      <w:tblGrid>
        <w:gridCol w:w="5693"/>
        <w:gridCol w:w="186"/>
      </w:tblGrid>
      <w:tr w:rsidR="00F85D23" w:rsidRPr="002B3648" w14:paraId="5A768BE6" w14:textId="77777777" w:rsidTr="00670C8F">
        <w:trPr>
          <w:trHeight w:val="4665"/>
        </w:trPr>
        <w:tc>
          <w:tcPr>
            <w:tcW w:w="5693" w:type="dxa"/>
            <w:tcBorders>
              <w:top w:val="single" w:sz="4" w:space="0" w:color="auto"/>
              <w:bottom w:val="single" w:sz="4" w:space="0" w:color="auto"/>
            </w:tcBorders>
            <w:shd w:val="clear" w:color="auto" w:fill="auto"/>
          </w:tcPr>
          <w:p w14:paraId="730DA91A" w14:textId="4F4E8AB3" w:rsidR="00F85D23" w:rsidRDefault="005C2A13" w:rsidP="00FB4E04">
            <w:pPr>
              <w:ind w:left="-618" w:right="-654"/>
              <w:jc w:val="center"/>
              <w:rPr>
                <w:rFonts w:asciiTheme="minorHAnsi" w:hAnsiTheme="minorHAnsi" w:cstheme="minorHAnsi"/>
              </w:rPr>
            </w:pPr>
            <w:r w:rsidRPr="005C2A13">
              <w:rPr>
                <w:rFonts w:asciiTheme="minorHAnsi" w:hAnsiTheme="minorHAnsi" w:cstheme="minorHAnsi"/>
                <w:noProof/>
                <w:lang w:val="es-PE" w:eastAsia="es-PE"/>
              </w:rPr>
              <w:drawing>
                <wp:inline distT="0" distB="0" distL="0" distR="0" wp14:anchorId="05520D96" wp14:editId="2656EACB">
                  <wp:extent cx="3570890" cy="292385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1">
                            <a:extLst>
                              <a:ext uri="{28A0092B-C50C-407E-A947-70E740481C1C}">
                                <a14:useLocalDpi xmlns:a14="http://schemas.microsoft.com/office/drawing/2010/main" val="0"/>
                              </a:ext>
                            </a:extLst>
                          </a:blip>
                          <a:srcRect b="5274"/>
                          <a:stretch/>
                        </pic:blipFill>
                        <pic:spPr bwMode="auto">
                          <a:xfrm>
                            <a:off x="0" y="0"/>
                            <a:ext cx="3580559" cy="2931767"/>
                          </a:xfrm>
                          <a:prstGeom prst="rect">
                            <a:avLst/>
                          </a:prstGeom>
                          <a:noFill/>
                          <a:ln>
                            <a:noFill/>
                          </a:ln>
                          <a:extLst>
                            <a:ext uri="{53640926-AAD7-44D8-BBD7-CCE9431645EC}">
                              <a14:shadowObscured xmlns:a14="http://schemas.microsoft.com/office/drawing/2010/main"/>
                            </a:ext>
                          </a:extLst>
                        </pic:spPr>
                      </pic:pic>
                    </a:graphicData>
                  </a:graphic>
                </wp:inline>
              </w:drawing>
            </w:r>
          </w:p>
          <w:p w14:paraId="5FE1CE67" w14:textId="668F4629" w:rsidR="00670C8F" w:rsidRPr="00670C8F" w:rsidRDefault="00670C8F" w:rsidP="00FB4E04">
            <w:pPr>
              <w:ind w:left="-618" w:right="-654"/>
              <w:jc w:val="center"/>
              <w:rPr>
                <w:rFonts w:asciiTheme="minorHAnsi" w:hAnsiTheme="minorHAnsi" w:cstheme="minorHAnsi"/>
                <w:sz w:val="12"/>
              </w:rPr>
            </w:pPr>
          </w:p>
        </w:tc>
        <w:tc>
          <w:tcPr>
            <w:tcW w:w="186" w:type="dxa"/>
            <w:shd w:val="clear" w:color="auto" w:fill="auto"/>
          </w:tcPr>
          <w:p w14:paraId="74B8392E" w14:textId="77777777" w:rsidR="00F85D23" w:rsidRPr="002B3648" w:rsidRDefault="00F85D23" w:rsidP="00FB4E04">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5609DB4B"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Soles/Kg.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28EA4F42"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GRÁFICA N°</w:t>
      </w:r>
      <w:r w:rsidR="00634E48">
        <w:rPr>
          <w:rFonts w:asciiTheme="minorHAnsi" w:hAnsiTheme="minorHAnsi" w:cstheme="minorHAnsi"/>
          <w:b/>
          <w:i/>
          <w:sz w:val="20"/>
          <w:szCs w:val="20"/>
        </w:rPr>
        <w:t xml:space="preserve"> </w:t>
      </w:r>
      <w:r>
        <w:rPr>
          <w:rFonts w:asciiTheme="minorHAnsi" w:hAnsiTheme="minorHAnsi" w:cstheme="minorHAnsi"/>
          <w:b/>
          <w:i/>
          <w:sz w:val="20"/>
          <w:szCs w:val="20"/>
        </w:rPr>
        <w:t>3</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2B3648" w14:paraId="18733CE8" w14:textId="77777777" w:rsidTr="00F7010D">
        <w:trPr>
          <w:trHeight w:val="4418"/>
        </w:trPr>
        <w:tc>
          <w:tcPr>
            <w:tcW w:w="8347" w:type="dxa"/>
            <w:tcBorders>
              <w:top w:val="single" w:sz="4" w:space="0" w:color="auto"/>
              <w:bottom w:val="single" w:sz="4" w:space="0" w:color="auto"/>
            </w:tcBorders>
            <w:shd w:val="clear" w:color="auto" w:fill="auto"/>
          </w:tcPr>
          <w:p w14:paraId="79B992D9" w14:textId="77777777" w:rsidR="00EF5671" w:rsidRPr="00125BE0" w:rsidRDefault="00EF5671" w:rsidP="00FB4E04">
            <w:pPr>
              <w:ind w:left="-777" w:right="-654"/>
              <w:jc w:val="center"/>
              <w:rPr>
                <w:rFonts w:asciiTheme="minorHAnsi" w:hAnsiTheme="minorHAnsi" w:cstheme="minorHAnsi"/>
                <w:noProof/>
                <w:lang w:val="es-MX" w:eastAsia="en-US"/>
              </w:rPr>
            </w:pPr>
          </w:p>
          <w:p w14:paraId="5F438E49" w14:textId="72EC4D26" w:rsidR="00EF5671" w:rsidRPr="00CE793E" w:rsidRDefault="005C2A13" w:rsidP="00FB4E04">
            <w:pPr>
              <w:ind w:left="-634" w:right="-654"/>
              <w:jc w:val="center"/>
              <w:rPr>
                <w:rFonts w:asciiTheme="minorHAnsi" w:hAnsiTheme="minorHAnsi" w:cstheme="minorHAnsi"/>
                <w:lang w:val="es-MX"/>
              </w:rPr>
            </w:pPr>
            <w:r>
              <w:rPr>
                <w:rFonts w:asciiTheme="minorHAnsi" w:hAnsiTheme="minorHAnsi" w:cstheme="minorHAnsi"/>
                <w:noProof/>
                <w:lang w:val="es-PE" w:eastAsia="es-PE"/>
              </w:rPr>
              <w:drawing>
                <wp:inline distT="0" distB="0" distL="0" distR="0" wp14:anchorId="0ADA5D9D" wp14:editId="6ED07393">
                  <wp:extent cx="5284679" cy="2404241"/>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396105" cy="2454934"/>
                          </a:xfrm>
                          <a:prstGeom prst="rect">
                            <a:avLst/>
                          </a:prstGeom>
                          <a:noFill/>
                        </pic:spPr>
                      </pic:pic>
                    </a:graphicData>
                  </a:graphic>
                </wp:inline>
              </w:drawing>
            </w:r>
          </w:p>
        </w:tc>
        <w:tc>
          <w:tcPr>
            <w:tcW w:w="273" w:type="dxa"/>
          </w:tcPr>
          <w:p w14:paraId="55C9399E" w14:textId="77777777" w:rsidR="00EF5671" w:rsidRPr="002B3648" w:rsidRDefault="00EF5671" w:rsidP="00FB4E04">
            <w:pPr>
              <w:rPr>
                <w:rFonts w:asciiTheme="minorHAnsi" w:hAnsiTheme="minorHAnsi" w:cstheme="minorHAnsi"/>
              </w:rPr>
            </w:pPr>
          </w:p>
        </w:tc>
        <w:tc>
          <w:tcPr>
            <w:tcW w:w="273" w:type="dxa"/>
            <w:shd w:val="clear" w:color="auto" w:fill="auto"/>
          </w:tcPr>
          <w:p w14:paraId="3DB65F4F" w14:textId="4E19FB44" w:rsidR="00EF5671" w:rsidRPr="002B3648" w:rsidRDefault="00EF5671" w:rsidP="00FB4E04">
            <w:pPr>
              <w:rPr>
                <w:rFonts w:asciiTheme="minorHAnsi" w:hAnsiTheme="minorHAnsi" w:cstheme="minorHAnsi"/>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7777777" w:rsidR="00F85D23" w:rsidRDefault="00F85D23" w:rsidP="00F85D23">
      <w:pPr>
        <w:jc w:val="both"/>
        <w:rPr>
          <w:rFonts w:ascii="Arial" w:hAnsi="Arial" w:cs="Arial"/>
          <w:sz w:val="22"/>
          <w:szCs w:val="22"/>
          <w:u w:val="single"/>
          <w:lang w:val="es-PE" w:eastAsia="en-US"/>
        </w:rPr>
      </w:pPr>
    </w:p>
    <w:p w14:paraId="5FB236A4" w14:textId="77777777" w:rsidR="0020108D" w:rsidRDefault="0020108D" w:rsidP="0020108D">
      <w:pPr>
        <w:jc w:val="both"/>
        <w:rPr>
          <w:rFonts w:asciiTheme="minorHAnsi" w:hAnsiTheme="minorHAnsi" w:cstheme="minorHAnsi"/>
          <w:b/>
          <w:sz w:val="22"/>
          <w:szCs w:val="22"/>
          <w:u w:val="single"/>
        </w:rPr>
      </w:pPr>
    </w:p>
    <w:p w14:paraId="52E7117C" w14:textId="77777777" w:rsidR="0020108D" w:rsidRDefault="0020108D" w:rsidP="0020108D">
      <w:pPr>
        <w:pStyle w:val="Ttulo3"/>
        <w:tabs>
          <w:tab w:val="left" w:pos="284"/>
        </w:tabs>
        <w:spacing w:before="0" w:after="0"/>
        <w:ind w:left="284"/>
        <w:jc w:val="both"/>
        <w:rPr>
          <w:rFonts w:asciiTheme="minorHAnsi" w:hAnsiTheme="minorHAnsi" w:cstheme="minorHAnsi"/>
          <w:sz w:val="24"/>
          <w:szCs w:val="24"/>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TABLA N° 3</w:t>
      </w:r>
      <w:r w:rsidR="00354689" w:rsidRPr="002B3648">
        <w:rPr>
          <w:rFonts w:asciiTheme="minorHAnsi" w:hAnsiTheme="minorHAnsi" w:cstheme="minorHAnsi"/>
          <w:i/>
          <w:sz w:val="20"/>
          <w:szCs w:val="20"/>
        </w:rPr>
        <w:t>: Diferencia entre Precios de Referencia de Combustibles vs Precios de Venta PETROPERU</w:t>
      </w:r>
    </w:p>
    <w:p w14:paraId="402AE23E" w14:textId="224148D8" w:rsidR="008B141E" w:rsidRPr="00737F8F" w:rsidRDefault="005C2A13"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5C2A13">
        <w:rPr>
          <w:noProof/>
          <w:lang w:val="es-PE" w:eastAsia="es-PE"/>
        </w:rPr>
        <w:drawing>
          <wp:inline distT="0" distB="0" distL="0" distR="0" wp14:anchorId="1191E71A" wp14:editId="1512A639">
            <wp:extent cx="5643880" cy="2246586"/>
            <wp:effectExtent l="0" t="0" r="0" b="190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54178" cy="2250685"/>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614DF41E" w14:textId="77777777" w:rsidR="001F2B99" w:rsidRDefault="001F2B99" w:rsidP="000A6BC2">
      <w:pPr>
        <w:ind w:left="709" w:hanging="142"/>
        <w:jc w:val="both"/>
        <w:rPr>
          <w:rFonts w:asciiTheme="minorHAnsi" w:hAnsiTheme="minorHAnsi" w:cstheme="minorHAnsi"/>
          <w:i/>
          <w:sz w:val="16"/>
          <w:szCs w:val="16"/>
        </w:rPr>
      </w:pPr>
    </w:p>
    <w:p w14:paraId="069B1817" w14:textId="77777777" w:rsidR="009D53B1" w:rsidRPr="001839E1" w:rsidRDefault="009D53B1" w:rsidP="000A6BC2">
      <w:pPr>
        <w:ind w:left="709" w:hanging="142"/>
        <w:jc w:val="both"/>
        <w:rPr>
          <w:rFonts w:asciiTheme="minorHAnsi" w:hAnsiTheme="minorHAnsi" w:cstheme="minorHAnsi"/>
          <w:i/>
          <w:sz w:val="20"/>
          <w:szCs w:val="20"/>
        </w:rPr>
      </w:pPr>
    </w:p>
    <w:p w14:paraId="06F7E122" w14:textId="404854A5"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GRAFICA Nº</w:t>
      </w:r>
      <w:r w:rsidR="00634E48">
        <w:rPr>
          <w:rFonts w:asciiTheme="minorHAnsi" w:hAnsiTheme="minorHAnsi" w:cstheme="minorHAnsi"/>
          <w:b/>
          <w:i/>
          <w:sz w:val="20"/>
          <w:szCs w:val="20"/>
        </w:rPr>
        <w:t xml:space="preserve"> </w:t>
      </w:r>
      <w:r w:rsidRPr="001839E1">
        <w:rPr>
          <w:rFonts w:asciiTheme="minorHAnsi" w:hAnsiTheme="minorHAnsi" w:cstheme="minorHAnsi"/>
          <w:b/>
          <w:i/>
          <w:sz w:val="20"/>
          <w:szCs w:val="20"/>
        </w:rPr>
        <w:t>4</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074D35">
        <w:rPr>
          <w:rFonts w:asciiTheme="minorHAnsi" w:hAnsiTheme="minorHAnsi" w:cstheme="minorHAnsi"/>
          <w:i/>
          <w:sz w:val="18"/>
          <w:szCs w:val="18"/>
        </w:rPr>
        <w:t xml:space="preserve"> en Soles/Galón</w:t>
      </w:r>
    </w:p>
    <w:p w14:paraId="6E84805C" w14:textId="61701CBF" w:rsidR="005C4A97" w:rsidRDefault="00517C39" w:rsidP="00604758">
      <w:pPr>
        <w:spacing w:line="0" w:lineRule="atLeast"/>
        <w:ind w:right="-567"/>
        <w:jc w:val="both"/>
        <w:rPr>
          <w:rFonts w:asciiTheme="minorHAnsi" w:hAnsiTheme="minorHAnsi" w:cstheme="minorHAnsi"/>
          <w:i/>
          <w:sz w:val="18"/>
          <w:szCs w:val="18"/>
        </w:rPr>
      </w:pPr>
      <w:r w:rsidRPr="00517C39">
        <w:rPr>
          <w:noProof/>
          <w:lang w:val="es-PE" w:eastAsia="es-PE"/>
        </w:rPr>
        <w:drawing>
          <wp:inline distT="0" distB="0" distL="0" distR="0" wp14:anchorId="62D5EE29" wp14:editId="632A887F">
            <wp:extent cx="5848331" cy="2396359"/>
            <wp:effectExtent l="0" t="0" r="635" b="4445"/>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857499" cy="2400116"/>
                    </a:xfrm>
                    <a:prstGeom prst="rect">
                      <a:avLst/>
                    </a:prstGeom>
                    <a:noFill/>
                    <a:ln>
                      <a:noFill/>
                    </a:ln>
                  </pic:spPr>
                </pic:pic>
              </a:graphicData>
            </a:graphic>
          </wp:inline>
        </w:drawing>
      </w: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05C3D440"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GRAFICA Nº5</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 xml:space="preserve">en </w:t>
      </w:r>
      <w:r w:rsidR="00127A54">
        <w:rPr>
          <w:rFonts w:asciiTheme="minorHAnsi" w:hAnsiTheme="minorHAnsi" w:cstheme="minorHAnsi"/>
          <w:i/>
          <w:sz w:val="18"/>
          <w:szCs w:val="18"/>
        </w:rPr>
        <w:t>Soles</w:t>
      </w:r>
      <w:r w:rsidR="00A70B54">
        <w:rPr>
          <w:rFonts w:asciiTheme="minorHAnsi" w:hAnsiTheme="minorHAnsi" w:cstheme="minorHAnsi"/>
          <w:i/>
          <w:sz w:val="18"/>
          <w:szCs w:val="18"/>
        </w:rPr>
        <w:t>/</w:t>
      </w:r>
      <w:r w:rsidR="00127A54">
        <w:rPr>
          <w:rFonts w:asciiTheme="minorHAnsi" w:hAnsiTheme="minorHAnsi" w:cstheme="minorHAnsi"/>
          <w:i/>
          <w:sz w:val="18"/>
          <w:szCs w:val="18"/>
        </w:rPr>
        <w:t>Galón</w:t>
      </w:r>
    </w:p>
    <w:p w14:paraId="44B24A74" w14:textId="77777777" w:rsidR="00127A54" w:rsidRDefault="00127A54" w:rsidP="006220EA">
      <w:pPr>
        <w:rPr>
          <w:rFonts w:asciiTheme="minorHAnsi" w:hAnsiTheme="minorHAnsi" w:cstheme="minorHAnsi"/>
          <w:i/>
          <w:sz w:val="18"/>
          <w:szCs w:val="18"/>
        </w:rPr>
      </w:pPr>
    </w:p>
    <w:p w14:paraId="4BB900C6" w14:textId="0ACD4970" w:rsidR="007B04A3" w:rsidRPr="00C2751F" w:rsidRDefault="00517C39" w:rsidP="00C2751F">
      <w:pPr>
        <w:spacing w:line="0" w:lineRule="atLeast"/>
        <w:ind w:right="-567"/>
        <w:jc w:val="both"/>
        <w:rPr>
          <w:noProof/>
          <w:lang w:val="es-PE" w:eastAsia="es-PE"/>
        </w:rPr>
      </w:pPr>
      <w:r w:rsidRPr="00517C39">
        <w:rPr>
          <w:noProof/>
          <w:lang w:val="es-PE" w:eastAsia="es-PE"/>
        </w:rPr>
        <w:drawing>
          <wp:inline distT="0" distB="0" distL="0" distR="0" wp14:anchorId="3CC27E14" wp14:editId="6F08081F">
            <wp:extent cx="5849620" cy="7630511"/>
            <wp:effectExtent l="0" t="0" r="0" b="889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52770" cy="7634620"/>
                    </a:xfrm>
                    <a:prstGeom prst="rect">
                      <a:avLst/>
                    </a:prstGeom>
                    <a:noFill/>
                    <a:ln>
                      <a:noFill/>
                    </a:ln>
                  </pic:spPr>
                </pic:pic>
              </a:graphicData>
            </a:graphic>
          </wp:inline>
        </w:drawing>
      </w: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4B79F497" w14:textId="77777777" w:rsidR="00C80F8A" w:rsidRDefault="00C80F8A" w:rsidP="00C2751F">
      <w:pPr>
        <w:jc w:val="both"/>
        <w:rPr>
          <w:rFonts w:asciiTheme="minorHAnsi" w:hAnsiTheme="minorHAnsi" w:cstheme="minorHAnsi"/>
          <w:i/>
          <w:iCs/>
          <w:sz w:val="16"/>
          <w:szCs w:val="16"/>
        </w:rPr>
      </w:pP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351FE9C1" w14:textId="3F72869D" w:rsidR="00865534" w:rsidRPr="00865534" w:rsidRDefault="00DB4BFD" w:rsidP="00865534">
      <w:pPr>
        <w:pStyle w:val="Ttulo3"/>
        <w:numPr>
          <w:ilvl w:val="0"/>
          <w:numId w:val="3"/>
        </w:numPr>
        <w:tabs>
          <w:tab w:val="left" w:pos="284"/>
        </w:tabs>
        <w:spacing w:before="0" w:after="0"/>
        <w:ind w:left="284" w:right="-1" w:hanging="568"/>
        <w:jc w:val="both"/>
        <w:rPr>
          <w:rFonts w:asciiTheme="minorHAnsi" w:hAnsiTheme="minorHAnsi" w:cstheme="minorHAnsi"/>
          <w:sz w:val="24"/>
          <w:szCs w:val="24"/>
        </w:rPr>
      </w:pPr>
      <w:r w:rsidRPr="00865534">
        <w:rPr>
          <w:rFonts w:asciiTheme="minorHAnsi" w:hAnsiTheme="minorHAnsi" w:cstheme="minorHAnsi"/>
          <w:i/>
          <w:iCs/>
          <w:sz w:val="16"/>
          <w:szCs w:val="16"/>
        </w:rPr>
        <w:br w:type="page"/>
      </w:r>
      <w:r w:rsidR="00865534" w:rsidRPr="00865534">
        <w:rPr>
          <w:rFonts w:asciiTheme="minorHAnsi" w:hAnsiTheme="minorHAnsi" w:cstheme="minorHAnsi"/>
          <w:sz w:val="24"/>
          <w:szCs w:val="24"/>
        </w:rPr>
        <w:lastRenderedPageBreak/>
        <w:t xml:space="preserve">COMPARACIÓN DE PRECIOS DE REFERENCIA DE </w:t>
      </w:r>
      <w:r w:rsidR="00865534">
        <w:rPr>
          <w:rFonts w:asciiTheme="minorHAnsi" w:hAnsiTheme="minorHAnsi" w:cstheme="minorHAnsi"/>
          <w:sz w:val="24"/>
          <w:szCs w:val="24"/>
        </w:rPr>
        <w:t xml:space="preserve">IMPORTACIÓN DE LOS </w:t>
      </w:r>
      <w:r w:rsidR="00865534" w:rsidRPr="00865534">
        <w:rPr>
          <w:rFonts w:asciiTheme="minorHAnsi" w:hAnsiTheme="minorHAnsi" w:cstheme="minorHAnsi"/>
          <w:sz w:val="24"/>
          <w:szCs w:val="24"/>
        </w:rPr>
        <w:t>COMBUSTIBLES Y LOS PRECIOS DE PARIDAD DE CHILE.</w:t>
      </w: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p>
    <w:p w14:paraId="086A71A5" w14:textId="0C4C6452" w:rsidR="005048C1" w:rsidRDefault="005048C1" w:rsidP="005048C1">
      <w:pPr>
        <w:rPr>
          <w:rFonts w:asciiTheme="minorHAnsi" w:hAnsiTheme="minorHAnsi" w:cstheme="minorHAnsi"/>
          <w:i/>
          <w:sz w:val="18"/>
          <w:szCs w:val="18"/>
        </w:rPr>
      </w:pPr>
      <w:r w:rsidRPr="001839E1">
        <w:rPr>
          <w:rFonts w:asciiTheme="minorHAnsi" w:hAnsiTheme="minorHAnsi" w:cstheme="minorHAnsi"/>
          <w:b/>
          <w:i/>
          <w:sz w:val="20"/>
          <w:szCs w:val="20"/>
        </w:rPr>
        <w:t>GRAFICA Nº</w:t>
      </w:r>
      <w:r w:rsidR="00E042C4">
        <w:rPr>
          <w:rFonts w:asciiTheme="minorHAnsi" w:hAnsiTheme="minorHAnsi" w:cstheme="minorHAnsi"/>
          <w:b/>
          <w:i/>
          <w:sz w:val="20"/>
          <w:szCs w:val="20"/>
        </w:rPr>
        <w:t>6</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 xml:space="preserve">Referencia y Precios de Paridad de Chile en </w:t>
      </w:r>
      <w:r w:rsidR="00984F39">
        <w:rPr>
          <w:rFonts w:asciiTheme="minorHAnsi" w:hAnsiTheme="minorHAnsi" w:cstheme="minorHAnsi"/>
          <w:i/>
          <w:sz w:val="18"/>
          <w:szCs w:val="18"/>
        </w:rPr>
        <w:t>US$</w:t>
      </w:r>
      <w:r w:rsidR="00C35B6B">
        <w:rPr>
          <w:rFonts w:asciiTheme="minorHAnsi" w:hAnsiTheme="minorHAnsi" w:cstheme="minorHAnsi"/>
          <w:i/>
          <w:sz w:val="18"/>
          <w:szCs w:val="18"/>
        </w:rPr>
        <w:t>/Galón</w:t>
      </w:r>
    </w:p>
    <w:p w14:paraId="69B15648" w14:textId="77777777" w:rsidR="00127A54" w:rsidRDefault="00127A54" w:rsidP="005048C1">
      <w:pPr>
        <w:rPr>
          <w:rFonts w:asciiTheme="minorHAnsi" w:hAnsiTheme="minorHAnsi" w:cstheme="minorHAnsi"/>
          <w:i/>
          <w:sz w:val="18"/>
          <w:szCs w:val="18"/>
        </w:rPr>
      </w:pPr>
    </w:p>
    <w:p w14:paraId="76968235" w14:textId="255E96AE" w:rsidR="005048C1" w:rsidRPr="00C2751F" w:rsidRDefault="00517C39" w:rsidP="005048C1">
      <w:pPr>
        <w:spacing w:line="0" w:lineRule="atLeast"/>
        <w:ind w:right="-567"/>
        <w:jc w:val="both"/>
        <w:rPr>
          <w:noProof/>
          <w:lang w:val="es-PE" w:eastAsia="es-PE"/>
        </w:rPr>
      </w:pPr>
      <w:r w:rsidRPr="00517C39">
        <w:rPr>
          <w:noProof/>
          <w:lang w:val="es-PE" w:eastAsia="es-PE"/>
        </w:rPr>
        <w:drawing>
          <wp:inline distT="0" distB="0" distL="0" distR="0" wp14:anchorId="6BC32861" wp14:editId="4C1B2639">
            <wp:extent cx="5849803" cy="6400800"/>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56209" cy="6407810"/>
                    </a:xfrm>
                    <a:prstGeom prst="rect">
                      <a:avLst/>
                    </a:prstGeom>
                    <a:noFill/>
                    <a:ln>
                      <a:noFill/>
                    </a:ln>
                  </pic:spPr>
                </pic:pic>
              </a:graphicData>
            </a:graphic>
          </wp:inline>
        </w:drawing>
      </w:r>
    </w:p>
    <w:p w14:paraId="070E1F19" w14:textId="6A222A34" w:rsidR="005048C1" w:rsidRPr="00C2751F" w:rsidRDefault="005048C1" w:rsidP="005048C1">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Pr>
          <w:rFonts w:asciiTheme="minorHAnsi" w:hAnsiTheme="minorHAnsi" w:cstheme="minorHAnsi"/>
          <w:i/>
          <w:iCs/>
          <w:sz w:val="16"/>
          <w:szCs w:val="16"/>
        </w:rPr>
        <w:t xml:space="preserve">sinergmin y </w:t>
      </w:r>
      <w:r w:rsidR="00127A54">
        <w:rPr>
          <w:rFonts w:asciiTheme="minorHAnsi" w:hAnsiTheme="minorHAnsi" w:cstheme="minorHAnsi"/>
          <w:i/>
          <w:iCs/>
          <w:sz w:val="16"/>
          <w:szCs w:val="16"/>
        </w:rPr>
        <w:t>ENAP</w:t>
      </w:r>
    </w:p>
    <w:p w14:paraId="3EC280C0" w14:textId="77777777" w:rsidR="00E042C4" w:rsidRDefault="00E042C4" w:rsidP="00E042C4">
      <w:pPr>
        <w:jc w:val="both"/>
        <w:rPr>
          <w:rFonts w:asciiTheme="minorHAnsi" w:hAnsiTheme="minorHAnsi" w:cstheme="minorHAnsi"/>
          <w:i/>
          <w:iCs/>
          <w:sz w:val="16"/>
          <w:szCs w:val="16"/>
        </w:rPr>
      </w:pPr>
    </w:p>
    <w:p w14:paraId="6B3D1EA8" w14:textId="77777777" w:rsidR="00E042C4" w:rsidRDefault="00E042C4" w:rsidP="00E042C4">
      <w:pPr>
        <w:jc w:val="both"/>
        <w:rPr>
          <w:rFonts w:asciiTheme="minorHAnsi" w:hAnsiTheme="minorHAnsi" w:cstheme="minorHAnsi"/>
          <w:i/>
          <w:iCs/>
          <w:sz w:val="16"/>
          <w:szCs w:val="16"/>
        </w:rPr>
      </w:pPr>
    </w:p>
    <w:p w14:paraId="4095CE6B" w14:textId="2948DC6E" w:rsidR="00E042C4" w:rsidRPr="00C2751F" w:rsidRDefault="00E042C4" w:rsidP="00E042C4">
      <w:pPr>
        <w:jc w:val="both"/>
        <w:rPr>
          <w:rFonts w:asciiTheme="minorHAnsi" w:hAnsiTheme="minorHAnsi" w:cstheme="minorHAnsi"/>
          <w:i/>
          <w:iCs/>
          <w:sz w:val="16"/>
          <w:szCs w:val="16"/>
        </w:rPr>
      </w:pPr>
      <w:r w:rsidRPr="00C2751F">
        <w:rPr>
          <w:rFonts w:asciiTheme="minorHAnsi" w:hAnsiTheme="minorHAnsi" w:cstheme="minorHAnsi"/>
          <w:i/>
          <w:iCs/>
          <w:sz w:val="16"/>
          <w:szCs w:val="16"/>
        </w:rPr>
        <w:t>MMC / MMT / ASC</w:t>
      </w:r>
    </w:p>
    <w:p w14:paraId="49C7CCA3" w14:textId="77777777" w:rsidR="005048C1" w:rsidRDefault="005048C1">
      <w:pPr>
        <w:rPr>
          <w:rFonts w:asciiTheme="minorHAnsi" w:hAnsiTheme="minorHAnsi" w:cstheme="minorHAnsi"/>
          <w:b/>
          <w:iCs/>
          <w:u w:val="single"/>
        </w:rPr>
      </w:pPr>
    </w:p>
    <w:p w14:paraId="76903F39" w14:textId="77777777" w:rsidR="00E042C4" w:rsidRDefault="00E042C4">
      <w:pPr>
        <w:rPr>
          <w:rFonts w:asciiTheme="minorHAnsi" w:hAnsiTheme="minorHAnsi" w:cstheme="minorHAnsi"/>
          <w:b/>
          <w:iCs/>
          <w:u w:val="single"/>
        </w:rPr>
      </w:pPr>
      <w:r>
        <w:rPr>
          <w:rFonts w:asciiTheme="minorHAnsi" w:hAnsiTheme="minorHAnsi" w:cstheme="minorHAnsi"/>
          <w:bCs/>
          <w:iCs/>
          <w:u w:val="single"/>
        </w:rPr>
        <w:br w:type="page"/>
      </w:r>
    </w:p>
    <w:p w14:paraId="654B735D" w14:textId="310DB973"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ANEXO N°1</w:t>
      </w:r>
      <w:r w:rsidR="009D445C">
        <w:rPr>
          <w:rStyle w:val="Refdenotaalpie"/>
          <w:rFonts w:asciiTheme="minorHAnsi" w:eastAsia="Times New Roman" w:hAnsiTheme="minorHAnsi" w:cstheme="minorHAnsi"/>
          <w:bCs w:val="0"/>
          <w:iCs/>
          <w:sz w:val="24"/>
          <w:szCs w:val="24"/>
          <w:u w:val="single"/>
        </w:rPr>
        <w:footnoteReference w:id="3"/>
      </w:r>
    </w:p>
    <w:p w14:paraId="1A959533" w14:textId="77777777" w:rsidR="00214BFB" w:rsidRDefault="00214BFB" w:rsidP="00214BFB">
      <w:pPr>
        <w:jc w:val="both"/>
        <w:rPr>
          <w:rFonts w:asciiTheme="minorHAnsi" w:hAnsiTheme="minorHAnsi" w:cstheme="minorHAnsi"/>
          <w:sz w:val="22"/>
          <w:szCs w:val="22"/>
        </w:rPr>
      </w:pPr>
    </w:p>
    <w:p w14:paraId="346C2AFD" w14:textId="77777777" w:rsidR="00AF5121" w:rsidRDefault="00AF5121" w:rsidP="00AF5121">
      <w:pPr>
        <w:jc w:val="center"/>
        <w:rPr>
          <w:rFonts w:asciiTheme="minorHAnsi" w:hAnsiTheme="minorHAnsi" w:cstheme="minorHAnsi"/>
          <w:sz w:val="22"/>
          <w:szCs w:val="22"/>
        </w:rPr>
      </w:pPr>
      <w:r>
        <w:rPr>
          <w:noProof/>
          <w:lang w:val="es-PE" w:eastAsia="es-PE"/>
        </w:rPr>
        <w:drawing>
          <wp:inline distT="0" distB="0" distL="0" distR="0" wp14:anchorId="63778DB1" wp14:editId="7C83A606">
            <wp:extent cx="4381500" cy="2339368"/>
            <wp:effectExtent l="19050" t="19050" r="19050" b="22860"/>
            <wp:docPr id="28" name="Picture 26"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 crude oil stocks graph"/>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396450" cy="2347350"/>
                    </a:xfrm>
                    <a:prstGeom prst="rect">
                      <a:avLst/>
                    </a:prstGeom>
                    <a:noFill/>
                    <a:ln>
                      <a:solidFill>
                        <a:schemeClr val="accent1"/>
                      </a:solidFill>
                    </a:ln>
                  </pic:spPr>
                </pic:pic>
              </a:graphicData>
            </a:graphic>
          </wp:inline>
        </w:drawing>
      </w:r>
    </w:p>
    <w:p w14:paraId="34B9F0D8" w14:textId="77777777" w:rsidR="00AF5121" w:rsidRDefault="00AF5121" w:rsidP="00AF5121">
      <w:pPr>
        <w:jc w:val="center"/>
        <w:rPr>
          <w:rFonts w:asciiTheme="minorHAnsi" w:hAnsiTheme="minorHAnsi" w:cstheme="minorHAnsi"/>
          <w:sz w:val="22"/>
          <w:szCs w:val="22"/>
        </w:rPr>
      </w:pPr>
    </w:p>
    <w:p w14:paraId="5C596C81" w14:textId="77777777" w:rsidR="00AF5121" w:rsidRDefault="00AF5121" w:rsidP="00AF5121">
      <w:pPr>
        <w:jc w:val="center"/>
        <w:rPr>
          <w:rFonts w:asciiTheme="minorHAnsi" w:hAnsiTheme="minorHAnsi" w:cstheme="minorHAnsi"/>
          <w:sz w:val="22"/>
          <w:szCs w:val="22"/>
        </w:rPr>
      </w:pPr>
      <w:r>
        <w:rPr>
          <w:noProof/>
          <w:lang w:val="es-PE" w:eastAsia="es-PE"/>
        </w:rPr>
        <w:drawing>
          <wp:inline distT="0" distB="0" distL="0" distR="0" wp14:anchorId="61853581" wp14:editId="4E62837C">
            <wp:extent cx="4394530" cy="2346325"/>
            <wp:effectExtent l="19050" t="19050" r="25400" b="15875"/>
            <wp:docPr id="27" name="Picture 27"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 gasoline stocks graph"/>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404428" cy="2351610"/>
                    </a:xfrm>
                    <a:prstGeom prst="rect">
                      <a:avLst/>
                    </a:prstGeom>
                    <a:noFill/>
                    <a:ln>
                      <a:solidFill>
                        <a:schemeClr val="accent1"/>
                      </a:solidFill>
                    </a:ln>
                  </pic:spPr>
                </pic:pic>
              </a:graphicData>
            </a:graphic>
          </wp:inline>
        </w:drawing>
      </w:r>
    </w:p>
    <w:p w14:paraId="6DA46920" w14:textId="77777777" w:rsidR="00AF5121" w:rsidRDefault="00AF5121" w:rsidP="00AF5121">
      <w:pPr>
        <w:jc w:val="center"/>
        <w:rPr>
          <w:rFonts w:asciiTheme="minorHAnsi" w:hAnsiTheme="minorHAnsi" w:cstheme="minorHAnsi"/>
          <w:sz w:val="22"/>
          <w:szCs w:val="22"/>
        </w:rPr>
      </w:pPr>
    </w:p>
    <w:p w14:paraId="5761EFC7" w14:textId="77777777" w:rsidR="00AF5121" w:rsidRDefault="00AF5121" w:rsidP="00AF5121">
      <w:pPr>
        <w:ind w:left="993"/>
        <w:jc w:val="both"/>
        <w:rPr>
          <w:rFonts w:asciiTheme="minorHAnsi" w:hAnsiTheme="minorHAnsi" w:cstheme="minorHAnsi"/>
          <w:b/>
          <w:iCs/>
          <w:u w:val="single"/>
        </w:rPr>
      </w:pPr>
      <w:r>
        <w:rPr>
          <w:rFonts w:asciiTheme="minorHAnsi" w:hAnsiTheme="minorHAnsi" w:cstheme="minorHAnsi"/>
          <w:b/>
          <w:bCs/>
          <w:i/>
          <w:iCs/>
          <w:sz w:val="16"/>
          <w:szCs w:val="16"/>
        </w:rPr>
        <w:t xml:space="preserve"> </w:t>
      </w:r>
    </w:p>
    <w:p w14:paraId="63388892" w14:textId="77777777" w:rsidR="00AF5121" w:rsidRDefault="00AF5121" w:rsidP="00AF5121">
      <w:pPr>
        <w:jc w:val="center"/>
        <w:rPr>
          <w:rFonts w:asciiTheme="minorHAnsi" w:hAnsiTheme="minorHAnsi" w:cstheme="minorHAnsi"/>
          <w:b/>
          <w:iCs/>
          <w:u w:val="single"/>
        </w:rPr>
      </w:pPr>
      <w:r>
        <w:rPr>
          <w:noProof/>
          <w:lang w:val="es-PE" w:eastAsia="es-PE"/>
        </w:rPr>
        <w:drawing>
          <wp:inline distT="0" distB="0" distL="0" distR="0" wp14:anchorId="345AFBEC" wp14:editId="217F5857">
            <wp:extent cx="4452806" cy="2377440"/>
            <wp:effectExtent l="19050" t="19050" r="24130" b="22860"/>
            <wp:docPr id="30" name="Picture 30"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 distillate stocks graph"/>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460381" cy="2381485"/>
                    </a:xfrm>
                    <a:prstGeom prst="rect">
                      <a:avLst/>
                    </a:prstGeom>
                    <a:noFill/>
                    <a:ln>
                      <a:solidFill>
                        <a:schemeClr val="accent1"/>
                      </a:solidFill>
                    </a:ln>
                  </pic:spPr>
                </pic:pic>
              </a:graphicData>
            </a:graphic>
          </wp:inline>
        </w:drawing>
      </w:r>
    </w:p>
    <w:p w14:paraId="0ADC3CBB" w14:textId="77777777" w:rsidR="00AF5121" w:rsidRDefault="00AF5121" w:rsidP="00AF5121">
      <w:pPr>
        <w:rPr>
          <w:rFonts w:asciiTheme="minorHAnsi" w:hAnsiTheme="minorHAnsi" w:cstheme="minorHAnsi"/>
          <w:b/>
          <w:iCs/>
          <w:u w:val="single"/>
        </w:rPr>
      </w:pPr>
    </w:p>
    <w:p w14:paraId="6A2FC0CF" w14:textId="77777777" w:rsidR="00AF5121" w:rsidRDefault="00AF5121" w:rsidP="00AF5121">
      <w:pPr>
        <w:rPr>
          <w:rFonts w:asciiTheme="minorHAnsi" w:hAnsiTheme="minorHAnsi" w:cstheme="minorHAnsi"/>
          <w:b/>
          <w:iCs/>
          <w:u w:val="single"/>
        </w:rPr>
      </w:pPr>
    </w:p>
    <w:p w14:paraId="4504C7F3" w14:textId="77777777" w:rsidR="00AF5121" w:rsidRDefault="00AF5121" w:rsidP="00AF5121">
      <w:pPr>
        <w:jc w:val="center"/>
        <w:rPr>
          <w:rFonts w:asciiTheme="minorHAnsi" w:hAnsiTheme="minorHAnsi" w:cstheme="minorHAnsi"/>
          <w:b/>
          <w:iCs/>
          <w:u w:val="single"/>
        </w:rPr>
      </w:pPr>
      <w:r>
        <w:rPr>
          <w:noProof/>
          <w:lang w:val="es-PE" w:eastAsia="es-PE"/>
        </w:rPr>
        <w:drawing>
          <wp:inline distT="0" distB="0" distL="0" distR="0" wp14:anchorId="2D6CBFA6" wp14:editId="40010611">
            <wp:extent cx="4467079" cy="2385060"/>
            <wp:effectExtent l="19050" t="19050" r="10160" b="15240"/>
            <wp:docPr id="35" name="Picture 35"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 propane/propylene stocks graph"/>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475273" cy="2389435"/>
                    </a:xfrm>
                    <a:prstGeom prst="rect">
                      <a:avLst/>
                    </a:prstGeom>
                    <a:noFill/>
                    <a:ln>
                      <a:solidFill>
                        <a:schemeClr val="accent1"/>
                      </a:solidFill>
                    </a:ln>
                  </pic:spPr>
                </pic:pic>
              </a:graphicData>
            </a:graphic>
          </wp:inline>
        </w:drawing>
      </w:r>
    </w:p>
    <w:p w14:paraId="7AA87BC2" w14:textId="2CA0ACB3" w:rsidR="006D325E" w:rsidRDefault="006D325E">
      <w:pPr>
        <w:rPr>
          <w:rFonts w:asciiTheme="minorHAnsi" w:hAnsiTheme="minorHAnsi" w:cstheme="minorHAnsi"/>
          <w:b/>
          <w:iCs/>
          <w:u w:val="single"/>
        </w:rPr>
      </w:pPr>
    </w:p>
    <w:p w14:paraId="2B0E262C" w14:textId="58DB22FA" w:rsidR="006D325E" w:rsidRDefault="006D325E">
      <w:pPr>
        <w:rPr>
          <w:rFonts w:asciiTheme="minorHAnsi" w:hAnsiTheme="minorHAnsi" w:cstheme="minorHAnsi"/>
          <w:b/>
          <w:iCs/>
          <w:u w:val="single"/>
        </w:rPr>
      </w:pPr>
    </w:p>
    <w:p w14:paraId="69D9A51D" w14:textId="5DA030A3" w:rsidR="006D325E" w:rsidRDefault="006D325E">
      <w:pPr>
        <w:rPr>
          <w:rFonts w:asciiTheme="minorHAnsi" w:hAnsiTheme="minorHAnsi" w:cstheme="minorHAnsi"/>
          <w:b/>
          <w:iCs/>
          <w:u w:val="single"/>
        </w:rPr>
      </w:pPr>
    </w:p>
    <w:p w14:paraId="6576B4A7" w14:textId="7A61CEAE" w:rsidR="006D325E" w:rsidRDefault="006D325E" w:rsidP="00C5246D">
      <w:pPr>
        <w:jc w:val="center"/>
        <w:rPr>
          <w:rFonts w:asciiTheme="minorHAnsi" w:hAnsiTheme="minorHAnsi" w:cstheme="minorHAnsi"/>
          <w:b/>
          <w:iCs/>
          <w:u w:val="single"/>
        </w:rPr>
      </w:pPr>
    </w:p>
    <w:p w14:paraId="35D4605E" w14:textId="2F81B863" w:rsidR="006D325E" w:rsidRDefault="006D325E">
      <w:pPr>
        <w:rPr>
          <w:rFonts w:asciiTheme="minorHAnsi" w:hAnsiTheme="minorHAnsi" w:cstheme="minorHAnsi"/>
          <w:b/>
          <w:iCs/>
          <w:u w:val="single"/>
        </w:rPr>
      </w:pPr>
    </w:p>
    <w:p w14:paraId="1E8B7752" w14:textId="676D57F5" w:rsidR="006D325E" w:rsidRDefault="006D325E">
      <w:pPr>
        <w:rPr>
          <w:rFonts w:asciiTheme="minorHAnsi" w:hAnsiTheme="minorHAnsi" w:cstheme="minorHAnsi"/>
          <w:b/>
          <w:iCs/>
          <w:u w:val="single"/>
        </w:rPr>
      </w:pPr>
    </w:p>
    <w:p w14:paraId="75FB8961" w14:textId="4DD24839" w:rsidR="006D325E" w:rsidRDefault="006D325E">
      <w:pPr>
        <w:rPr>
          <w:rFonts w:asciiTheme="minorHAnsi" w:hAnsiTheme="minorHAnsi" w:cstheme="minorHAnsi"/>
          <w:b/>
          <w:iCs/>
          <w:u w:val="single"/>
        </w:rPr>
      </w:pPr>
    </w:p>
    <w:p w14:paraId="17298FD9" w14:textId="308022D8" w:rsidR="006D325E" w:rsidRDefault="006D325E">
      <w:pPr>
        <w:rPr>
          <w:rFonts w:asciiTheme="minorHAnsi" w:hAnsiTheme="minorHAnsi" w:cstheme="minorHAnsi"/>
          <w:b/>
          <w:iCs/>
          <w:u w:val="single"/>
        </w:rPr>
      </w:pPr>
    </w:p>
    <w:p w14:paraId="4AA509BD" w14:textId="38736CC8" w:rsidR="006D325E" w:rsidRDefault="006D325E">
      <w:pPr>
        <w:rPr>
          <w:rFonts w:asciiTheme="minorHAnsi" w:hAnsiTheme="minorHAnsi" w:cstheme="minorHAnsi"/>
          <w:b/>
          <w:iCs/>
          <w:u w:val="single"/>
        </w:rPr>
      </w:pPr>
    </w:p>
    <w:p w14:paraId="3F20F552" w14:textId="6E701B42" w:rsidR="006D325E" w:rsidRDefault="006D325E">
      <w:pPr>
        <w:rPr>
          <w:rFonts w:asciiTheme="minorHAnsi" w:hAnsiTheme="minorHAnsi" w:cstheme="minorHAnsi"/>
          <w:b/>
          <w:iCs/>
          <w:u w:val="single"/>
        </w:rPr>
      </w:pPr>
    </w:p>
    <w:p w14:paraId="5DD2B653" w14:textId="77A97806" w:rsidR="006D325E" w:rsidRDefault="006D325E">
      <w:pPr>
        <w:rPr>
          <w:rFonts w:asciiTheme="minorHAnsi" w:hAnsiTheme="minorHAnsi" w:cstheme="minorHAnsi"/>
          <w:b/>
          <w:iCs/>
          <w:u w:val="single"/>
        </w:rPr>
      </w:pPr>
    </w:p>
    <w:p w14:paraId="3B6E7145" w14:textId="16FC3DE9" w:rsidR="006D325E" w:rsidRDefault="006D325E">
      <w:pPr>
        <w:rPr>
          <w:rFonts w:asciiTheme="minorHAnsi" w:hAnsiTheme="minorHAnsi" w:cstheme="minorHAnsi"/>
          <w:b/>
          <w:iCs/>
          <w:u w:val="single"/>
        </w:rPr>
      </w:pPr>
    </w:p>
    <w:p w14:paraId="65DFBEF3" w14:textId="53AD7007" w:rsidR="006D325E" w:rsidRDefault="006D325E">
      <w:pPr>
        <w:rPr>
          <w:rFonts w:asciiTheme="minorHAnsi" w:hAnsiTheme="minorHAnsi" w:cstheme="minorHAnsi"/>
          <w:b/>
          <w:iCs/>
          <w:u w:val="single"/>
        </w:rPr>
      </w:pPr>
    </w:p>
    <w:p w14:paraId="3FAFB122" w14:textId="522B311A" w:rsidR="006D325E" w:rsidRDefault="006D325E">
      <w:pPr>
        <w:rPr>
          <w:rFonts w:asciiTheme="minorHAnsi" w:hAnsiTheme="minorHAnsi" w:cstheme="minorHAnsi"/>
          <w:b/>
          <w:iCs/>
          <w:u w:val="single"/>
        </w:rPr>
      </w:pPr>
    </w:p>
    <w:p w14:paraId="5E07A4C9" w14:textId="664993E6" w:rsidR="006D325E" w:rsidRDefault="006D325E">
      <w:pPr>
        <w:rPr>
          <w:rFonts w:asciiTheme="minorHAnsi" w:hAnsiTheme="minorHAnsi" w:cstheme="minorHAnsi"/>
          <w:b/>
          <w:iCs/>
          <w:u w:val="single"/>
        </w:rPr>
      </w:pPr>
    </w:p>
    <w:p w14:paraId="2FBBD970" w14:textId="270A34D0" w:rsidR="008F7A15" w:rsidRDefault="008F7A15">
      <w:pPr>
        <w:rPr>
          <w:rFonts w:asciiTheme="minorHAnsi" w:hAnsiTheme="minorHAnsi" w:cstheme="minorHAnsi"/>
          <w:b/>
          <w:iCs/>
          <w:u w:val="single"/>
        </w:rPr>
      </w:pPr>
      <w:r>
        <w:rPr>
          <w:rFonts w:asciiTheme="minorHAnsi" w:hAnsiTheme="minorHAnsi" w:cstheme="minorHAnsi"/>
          <w:b/>
          <w:iCs/>
          <w:u w:val="single"/>
        </w:rPr>
        <w:br w:type="page"/>
      </w:r>
    </w:p>
    <w:p w14:paraId="166D0F6D"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ANEXO N°</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5719F1" w:rsidP="00CA3C87">
      <w:pPr>
        <w:rPr>
          <w:rFonts w:asciiTheme="minorHAnsi" w:hAnsiTheme="minorHAnsi" w:cstheme="minorHAnsi"/>
          <w:b/>
          <w:bCs/>
          <w:i/>
          <w:iCs/>
          <w:sz w:val="16"/>
          <w:szCs w:val="16"/>
        </w:rPr>
      </w:pPr>
      <w:hyperlink r:id="rId33"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352B3A">
      <w:headerReference w:type="default" r:id="rId34"/>
      <w:footerReference w:type="default" r:id="rId35"/>
      <w:type w:val="continuous"/>
      <w:pgSz w:w="11907" w:h="16839" w:code="9"/>
      <w:pgMar w:top="1760" w:right="1134" w:bottom="851"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872DBD3" w14:textId="77777777" w:rsidR="001F22B0" w:rsidRDefault="001F22B0" w:rsidP="006502B5">
      <w:r>
        <w:separator/>
      </w:r>
    </w:p>
  </w:endnote>
  <w:endnote w:type="continuationSeparator" w:id="0">
    <w:p w14:paraId="61EC7862" w14:textId="77777777" w:rsidR="001F22B0" w:rsidRDefault="001F22B0"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E15336" w14:textId="50530074"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5719F1">
          <w:rPr>
            <w:rFonts w:asciiTheme="minorHAnsi" w:hAnsiTheme="minorHAnsi" w:cstheme="minorHAnsi"/>
            <w:b/>
            <w:noProof/>
            <w:color w:val="002060"/>
          </w:rPr>
          <w:t>7</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376371">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0A99BA" w14:textId="4AA4D7A6"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5719F1">
          <w:rPr>
            <w:rFonts w:asciiTheme="minorHAnsi" w:hAnsiTheme="minorHAnsi" w:cstheme="minorHAnsi"/>
            <w:b/>
            <w:noProof/>
            <w:color w:val="002060"/>
          </w:rPr>
          <w:t>8</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757F64">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7A670A" w14:textId="77777777" w:rsidR="004F74EE" w:rsidRPr="00376371" w:rsidRDefault="004F74EE" w:rsidP="00376371">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AA845A" w14:textId="71A51B5C"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5719F1">
          <w:rPr>
            <w:rFonts w:asciiTheme="minorHAnsi" w:hAnsiTheme="minorHAnsi" w:cstheme="minorHAnsi"/>
            <w:b/>
            <w:noProof/>
            <w:color w:val="002060"/>
            <w:lang w:val="en-US"/>
          </w:rPr>
          <w:t>15</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7DAEEEB" w14:textId="77777777" w:rsidR="001F22B0" w:rsidRDefault="001F22B0" w:rsidP="006502B5">
      <w:r>
        <w:separator/>
      </w:r>
    </w:p>
  </w:footnote>
  <w:footnote w:type="continuationSeparator" w:id="0">
    <w:p w14:paraId="5D586C87" w14:textId="77777777" w:rsidR="001F22B0" w:rsidRDefault="001F22B0"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4EBD65A8" w14:textId="77777777"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0151B9" w:rsidRPr="00F3665E">
          <w:rPr>
            <w:rStyle w:val="Hipervnculo"/>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3">
    <w:p w14:paraId="52F1C030" w14:textId="77777777"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Energy</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941268" w14:textId="77777777" w:rsidR="00352B3A" w:rsidRDefault="00FF1622" w:rsidP="00FF1622">
    <w:pPr>
      <w:pStyle w:val="Encabezado"/>
      <w:tabs>
        <w:tab w:val="clear" w:pos="8838"/>
        <w:tab w:val="right" w:pos="8646"/>
      </w:tabs>
      <w:ind w:left="-1418"/>
      <w:rPr>
        <w:noProof/>
        <w:lang w:val="es-PE" w:eastAsia="es-PE"/>
      </w:rPr>
    </w:pPr>
    <w:bookmarkStart w:id="2" w:name="_Hlk68946101"/>
    <w:bookmarkStart w:id="3"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352B3A" w14:paraId="7B123DA5" w14:textId="77777777" w:rsidTr="00EC58B2">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7F45BD53" w:rsidR="00352B3A" w:rsidRPr="00352B3A" w:rsidRDefault="00352B3A" w:rsidP="00250238">
          <w:pPr>
            <w:jc w:val="center"/>
            <w:rPr>
              <w:rFonts w:ascii="Calibri" w:hAnsi="Calibri" w:cs="Calibri"/>
              <w:sz w:val="26"/>
              <w:szCs w:val="26"/>
              <w:lang w:val="it-IT"/>
            </w:rPr>
          </w:pPr>
          <w:r w:rsidRPr="00352B3A">
            <w:rPr>
              <w:rFonts w:ascii="Calibri" w:hAnsi="Calibri" w:cs="Calibri"/>
              <w:b/>
              <w:sz w:val="26"/>
              <w:szCs w:val="26"/>
              <w:lang w:val="it-IT"/>
            </w:rPr>
            <w:t xml:space="preserve">Informe N° PR- </w:t>
          </w:r>
          <w:r w:rsidR="005B53D4">
            <w:rPr>
              <w:rFonts w:ascii="Calibri" w:hAnsi="Calibri" w:cs="Calibri"/>
              <w:b/>
              <w:sz w:val="26"/>
              <w:szCs w:val="26"/>
              <w:lang w:val="it-IT"/>
            </w:rPr>
            <w:t>1</w:t>
          </w:r>
          <w:r w:rsidR="00250238">
            <w:rPr>
              <w:rFonts w:ascii="Calibri" w:hAnsi="Calibri" w:cs="Calibri"/>
              <w:b/>
              <w:sz w:val="26"/>
              <w:szCs w:val="26"/>
              <w:lang w:val="it-IT"/>
            </w:rPr>
            <w:t>1</w:t>
          </w:r>
          <w:r w:rsidRPr="00352B3A">
            <w:rPr>
              <w:rFonts w:ascii="Calibri" w:hAnsi="Calibri" w:cs="Calibri"/>
              <w:b/>
              <w:sz w:val="26"/>
              <w:szCs w:val="26"/>
              <w:lang w:val="it-IT"/>
            </w:rPr>
            <w:t>-2023-DGN/GRT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2"/>
  <w:bookmarkEnd w:id="3"/>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352B3A"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10D18582" w:rsidR="00352B3A" w:rsidRPr="00352B3A" w:rsidRDefault="00C823A9" w:rsidP="00250238">
          <w:pPr>
            <w:jc w:val="center"/>
            <w:rPr>
              <w:rFonts w:ascii="Calibri" w:hAnsi="Calibri" w:cs="Calibri"/>
              <w:sz w:val="26"/>
              <w:szCs w:val="26"/>
              <w:lang w:val="it-IT"/>
            </w:rPr>
          </w:pPr>
          <w:r>
            <w:rPr>
              <w:rFonts w:ascii="Calibri" w:hAnsi="Calibri" w:cs="Calibri"/>
              <w:b/>
              <w:sz w:val="26"/>
              <w:szCs w:val="26"/>
              <w:lang w:val="it-IT"/>
            </w:rPr>
            <w:t>Informe N° PR-</w:t>
          </w:r>
          <w:r w:rsidR="005B53D4">
            <w:rPr>
              <w:rFonts w:ascii="Calibri" w:hAnsi="Calibri" w:cs="Calibri"/>
              <w:b/>
              <w:sz w:val="26"/>
              <w:szCs w:val="26"/>
              <w:lang w:val="it-IT"/>
            </w:rPr>
            <w:t>1</w:t>
          </w:r>
          <w:r w:rsidR="00250238">
            <w:rPr>
              <w:rFonts w:ascii="Calibri" w:hAnsi="Calibri" w:cs="Calibri"/>
              <w:b/>
              <w:sz w:val="26"/>
              <w:szCs w:val="26"/>
              <w:lang w:val="it-IT"/>
            </w:rPr>
            <w:t>1</w:t>
          </w:r>
          <w:r w:rsidR="00352B3A" w:rsidRPr="00352B3A">
            <w:rPr>
              <w:rFonts w:ascii="Calibri" w:hAnsi="Calibri" w:cs="Calibri"/>
              <w:b/>
              <w:sz w:val="26"/>
              <w:szCs w:val="26"/>
              <w:lang w:val="it-IT"/>
            </w:rPr>
            <w:t>-2023-DGN/GRT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352B3A"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3971FC36" w:rsidR="00352B3A" w:rsidRPr="00352B3A" w:rsidRDefault="00C823A9" w:rsidP="005C2A13">
          <w:pPr>
            <w:jc w:val="center"/>
            <w:rPr>
              <w:rFonts w:ascii="Calibri" w:hAnsi="Calibri" w:cs="Calibri"/>
              <w:sz w:val="26"/>
              <w:szCs w:val="26"/>
              <w:lang w:val="it-IT"/>
            </w:rPr>
          </w:pPr>
          <w:r>
            <w:rPr>
              <w:rFonts w:ascii="Calibri" w:hAnsi="Calibri" w:cs="Calibri"/>
              <w:b/>
              <w:sz w:val="26"/>
              <w:szCs w:val="26"/>
              <w:lang w:val="it-IT"/>
            </w:rPr>
            <w:t>Informe N° PR -</w:t>
          </w:r>
          <w:r w:rsidR="00670C8F">
            <w:rPr>
              <w:rFonts w:ascii="Calibri" w:hAnsi="Calibri" w:cs="Calibri"/>
              <w:b/>
              <w:sz w:val="26"/>
              <w:szCs w:val="26"/>
              <w:lang w:val="it-IT"/>
            </w:rPr>
            <w:t>1</w:t>
          </w:r>
          <w:r w:rsidR="005C2A13">
            <w:rPr>
              <w:rFonts w:ascii="Calibri" w:hAnsi="Calibri" w:cs="Calibri"/>
              <w:b/>
              <w:sz w:val="26"/>
              <w:szCs w:val="26"/>
              <w:lang w:val="it-IT"/>
            </w:rPr>
            <w:t>1</w:t>
          </w:r>
          <w:r w:rsidR="00352B3A" w:rsidRPr="00352B3A">
            <w:rPr>
              <w:rFonts w:ascii="Calibri" w:hAnsi="Calibri" w:cs="Calibri"/>
              <w:b/>
              <w:sz w:val="26"/>
              <w:szCs w:val="26"/>
              <w:lang w:val="it-IT"/>
            </w:rPr>
            <w:t>-2023-DGN/GRT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962"/>
    </w:tblGrid>
    <w:tr w:rsidR="00352B3A" w:rsidRPr="00352B3A" w14:paraId="26F4E8F4" w14:textId="77777777" w:rsidTr="00AF5121">
      <w:trPr>
        <w:trHeight w:val="1275"/>
      </w:trPr>
      <w:tc>
        <w:tcPr>
          <w:tcW w:w="4962"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962" w:type="dxa"/>
          <w:vAlign w:val="center"/>
        </w:tcPr>
        <w:p w14:paraId="3461CCA7" w14:textId="24196CD2" w:rsidR="00352B3A" w:rsidRPr="00352B3A" w:rsidRDefault="00670C8F" w:rsidP="00250238">
          <w:pPr>
            <w:jc w:val="center"/>
            <w:rPr>
              <w:rFonts w:ascii="Calibri" w:hAnsi="Calibri" w:cs="Calibri"/>
              <w:sz w:val="26"/>
              <w:szCs w:val="26"/>
              <w:lang w:val="it-IT"/>
            </w:rPr>
          </w:pPr>
          <w:r>
            <w:rPr>
              <w:rFonts w:ascii="Calibri" w:hAnsi="Calibri" w:cs="Calibri"/>
              <w:b/>
              <w:sz w:val="26"/>
              <w:szCs w:val="26"/>
              <w:lang w:val="it-IT"/>
            </w:rPr>
            <w:t>Informe N° PR-1</w:t>
          </w:r>
          <w:r w:rsidR="00250238">
            <w:rPr>
              <w:rFonts w:ascii="Calibri" w:hAnsi="Calibri" w:cs="Calibri"/>
              <w:b/>
              <w:sz w:val="26"/>
              <w:szCs w:val="26"/>
              <w:lang w:val="it-IT"/>
            </w:rPr>
            <w:t>1</w:t>
          </w:r>
          <w:r w:rsidR="00352B3A" w:rsidRPr="00352B3A">
            <w:rPr>
              <w:rFonts w:ascii="Calibri" w:hAnsi="Calibri" w:cs="Calibri"/>
              <w:b/>
              <w:sz w:val="26"/>
              <w:szCs w:val="26"/>
              <w:lang w:val="it-IT"/>
            </w:rPr>
            <w:t>-2023-DGN/GRT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DF10C2B"/>
    <w:multiLevelType w:val="hybridMultilevel"/>
    <w:tmpl w:val="EC2A94D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4"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6"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0"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1"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3"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4"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5"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16"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3"/>
  </w:num>
  <w:num w:numId="2">
    <w:abstractNumId w:val="10"/>
  </w:num>
  <w:num w:numId="3">
    <w:abstractNumId w:val="11"/>
  </w:num>
  <w:num w:numId="4">
    <w:abstractNumId w:val="0"/>
  </w:num>
  <w:num w:numId="5">
    <w:abstractNumId w:val="13"/>
  </w:num>
  <w:num w:numId="6">
    <w:abstractNumId w:val="16"/>
  </w:num>
  <w:num w:numId="7">
    <w:abstractNumId w:val="15"/>
  </w:num>
  <w:num w:numId="8">
    <w:abstractNumId w:val="9"/>
  </w:num>
  <w:num w:numId="9">
    <w:abstractNumId w:val="14"/>
  </w:num>
  <w:num w:numId="10">
    <w:abstractNumId w:val="5"/>
  </w:num>
  <w:num w:numId="11">
    <w:abstractNumId w:val="12"/>
  </w:num>
  <w:num w:numId="12">
    <w:abstractNumId w:val="4"/>
  </w:num>
  <w:num w:numId="13">
    <w:abstractNumId w:val="2"/>
  </w:num>
  <w:num w:numId="14">
    <w:abstractNumId w:val="6"/>
  </w:num>
  <w:num w:numId="15">
    <w:abstractNumId w:val="8"/>
  </w:num>
  <w:num w:numId="16">
    <w:abstractNumId w:val="17"/>
  </w:num>
  <w:num w:numId="17">
    <w:abstractNumId w:val="18"/>
  </w:num>
  <w:num w:numId="18">
    <w:abstractNumId w:val="7"/>
  </w:num>
  <w:num w:numId="19">
    <w:abstractNumId w:val="1"/>
  </w:num>
  <w:num w:numId="20">
    <w:abstractNumId w:val="2"/>
  </w:num>
  <w:num w:numId="21">
    <w:abstractNumId w:val="17"/>
  </w:num>
  <w:num w:numId="2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1"/>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activeWritingStyle w:appName="MSWord" w:lang="es-MX" w:vendorID="64" w:dllVersion="131078" w:nlCheck="1" w:checkStyle="0"/>
  <w:activeWritingStyle w:appName="MSWord" w:lang="es-ES" w:vendorID="64" w:dllVersion="131078" w:nlCheck="1" w:checkStyle="0"/>
  <w:activeWritingStyle w:appName="MSWord" w:lang="en-US" w:vendorID="64" w:dllVersion="131078" w:nlCheck="1" w:checkStyle="1"/>
  <w:activeWritingStyle w:appName="MSWord" w:lang="es-PE" w:vendorID="64" w:dllVersion="131078"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61F"/>
    <w:rsid w:val="000107D2"/>
    <w:rsid w:val="00010ED1"/>
    <w:rsid w:val="00010FBC"/>
    <w:rsid w:val="00011040"/>
    <w:rsid w:val="00011253"/>
    <w:rsid w:val="000112CB"/>
    <w:rsid w:val="00011549"/>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C83"/>
    <w:rsid w:val="00015089"/>
    <w:rsid w:val="000151B9"/>
    <w:rsid w:val="000151BE"/>
    <w:rsid w:val="000154AA"/>
    <w:rsid w:val="00015583"/>
    <w:rsid w:val="00015633"/>
    <w:rsid w:val="000156A4"/>
    <w:rsid w:val="00015917"/>
    <w:rsid w:val="00015D79"/>
    <w:rsid w:val="00016055"/>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CEB"/>
    <w:rsid w:val="00024F35"/>
    <w:rsid w:val="00024F8F"/>
    <w:rsid w:val="00024FF4"/>
    <w:rsid w:val="00025004"/>
    <w:rsid w:val="00025131"/>
    <w:rsid w:val="00025229"/>
    <w:rsid w:val="000253A5"/>
    <w:rsid w:val="0002557E"/>
    <w:rsid w:val="000256F2"/>
    <w:rsid w:val="000257DF"/>
    <w:rsid w:val="00025DB1"/>
    <w:rsid w:val="00025E27"/>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AE1"/>
    <w:rsid w:val="00070DAE"/>
    <w:rsid w:val="00070E49"/>
    <w:rsid w:val="00070E5E"/>
    <w:rsid w:val="000711BC"/>
    <w:rsid w:val="0007143F"/>
    <w:rsid w:val="00071634"/>
    <w:rsid w:val="00071815"/>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D21"/>
    <w:rsid w:val="00073D5F"/>
    <w:rsid w:val="00073F13"/>
    <w:rsid w:val="0007407C"/>
    <w:rsid w:val="0007432E"/>
    <w:rsid w:val="00074465"/>
    <w:rsid w:val="00074531"/>
    <w:rsid w:val="000749E1"/>
    <w:rsid w:val="00074CB2"/>
    <w:rsid w:val="00074D35"/>
    <w:rsid w:val="00074D77"/>
    <w:rsid w:val="00074EBD"/>
    <w:rsid w:val="00075242"/>
    <w:rsid w:val="0007547A"/>
    <w:rsid w:val="0007626A"/>
    <w:rsid w:val="0007628C"/>
    <w:rsid w:val="0007633F"/>
    <w:rsid w:val="000763A1"/>
    <w:rsid w:val="00076442"/>
    <w:rsid w:val="00076544"/>
    <w:rsid w:val="00076608"/>
    <w:rsid w:val="00076C43"/>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AEF"/>
    <w:rsid w:val="000C4370"/>
    <w:rsid w:val="000C4670"/>
    <w:rsid w:val="000C4718"/>
    <w:rsid w:val="000C47B3"/>
    <w:rsid w:val="000C48B9"/>
    <w:rsid w:val="000C4AE9"/>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C6E"/>
    <w:rsid w:val="000D4DB7"/>
    <w:rsid w:val="000D4F01"/>
    <w:rsid w:val="000D4F1C"/>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A7B"/>
    <w:rsid w:val="000F4D16"/>
    <w:rsid w:val="000F4D52"/>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BD7"/>
    <w:rsid w:val="000F7028"/>
    <w:rsid w:val="000F7082"/>
    <w:rsid w:val="000F73A1"/>
    <w:rsid w:val="000F73C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9C7"/>
    <w:rsid w:val="00122A9D"/>
    <w:rsid w:val="00122BE4"/>
    <w:rsid w:val="00122D4A"/>
    <w:rsid w:val="00122F66"/>
    <w:rsid w:val="00123028"/>
    <w:rsid w:val="00123047"/>
    <w:rsid w:val="00123090"/>
    <w:rsid w:val="00123246"/>
    <w:rsid w:val="0012337F"/>
    <w:rsid w:val="001235C5"/>
    <w:rsid w:val="00123711"/>
    <w:rsid w:val="00123902"/>
    <w:rsid w:val="00123A3F"/>
    <w:rsid w:val="00123A59"/>
    <w:rsid w:val="001240E2"/>
    <w:rsid w:val="001242DB"/>
    <w:rsid w:val="00124777"/>
    <w:rsid w:val="00124A86"/>
    <w:rsid w:val="00124EF2"/>
    <w:rsid w:val="0012500E"/>
    <w:rsid w:val="001250DD"/>
    <w:rsid w:val="0012529B"/>
    <w:rsid w:val="001259EE"/>
    <w:rsid w:val="00125BE0"/>
    <w:rsid w:val="00125C53"/>
    <w:rsid w:val="00125C86"/>
    <w:rsid w:val="0012628D"/>
    <w:rsid w:val="0012640C"/>
    <w:rsid w:val="001265B3"/>
    <w:rsid w:val="00126912"/>
    <w:rsid w:val="00126AC7"/>
    <w:rsid w:val="00126C7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88D"/>
    <w:rsid w:val="00145BB2"/>
    <w:rsid w:val="00145EE3"/>
    <w:rsid w:val="00146046"/>
    <w:rsid w:val="00146047"/>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A87"/>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8"/>
    <w:rsid w:val="0018069E"/>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87"/>
    <w:rsid w:val="001867AD"/>
    <w:rsid w:val="0018695E"/>
    <w:rsid w:val="00186A93"/>
    <w:rsid w:val="00186B10"/>
    <w:rsid w:val="00186C65"/>
    <w:rsid w:val="00186CEC"/>
    <w:rsid w:val="0018707D"/>
    <w:rsid w:val="001870E8"/>
    <w:rsid w:val="001876C0"/>
    <w:rsid w:val="001877B0"/>
    <w:rsid w:val="0018789E"/>
    <w:rsid w:val="00187A88"/>
    <w:rsid w:val="00187BC8"/>
    <w:rsid w:val="00190081"/>
    <w:rsid w:val="001901D2"/>
    <w:rsid w:val="00190267"/>
    <w:rsid w:val="001907DD"/>
    <w:rsid w:val="00190898"/>
    <w:rsid w:val="00190A3E"/>
    <w:rsid w:val="00190E37"/>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E69"/>
    <w:rsid w:val="00194F98"/>
    <w:rsid w:val="001951F8"/>
    <w:rsid w:val="001952A5"/>
    <w:rsid w:val="001955B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224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FD1"/>
    <w:rsid w:val="001C6314"/>
    <w:rsid w:val="001C6474"/>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B70"/>
    <w:rsid w:val="001D4CE5"/>
    <w:rsid w:val="001D4D16"/>
    <w:rsid w:val="001D4E66"/>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730"/>
    <w:rsid w:val="001F2AEA"/>
    <w:rsid w:val="001F2B2C"/>
    <w:rsid w:val="001F2B99"/>
    <w:rsid w:val="001F2BFB"/>
    <w:rsid w:val="001F31BD"/>
    <w:rsid w:val="001F33C3"/>
    <w:rsid w:val="001F3568"/>
    <w:rsid w:val="001F3A4B"/>
    <w:rsid w:val="001F3A72"/>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5D4"/>
    <w:rsid w:val="002366C6"/>
    <w:rsid w:val="00236777"/>
    <w:rsid w:val="00236C1E"/>
    <w:rsid w:val="002374E7"/>
    <w:rsid w:val="00237757"/>
    <w:rsid w:val="002377C2"/>
    <w:rsid w:val="0023794A"/>
    <w:rsid w:val="00237DE0"/>
    <w:rsid w:val="00237E92"/>
    <w:rsid w:val="00240030"/>
    <w:rsid w:val="00240137"/>
    <w:rsid w:val="00240295"/>
    <w:rsid w:val="002402CC"/>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561"/>
    <w:rsid w:val="002437C8"/>
    <w:rsid w:val="00243869"/>
    <w:rsid w:val="00243B98"/>
    <w:rsid w:val="00243C74"/>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38"/>
    <w:rsid w:val="002502F9"/>
    <w:rsid w:val="002509AE"/>
    <w:rsid w:val="002509CE"/>
    <w:rsid w:val="00250DCA"/>
    <w:rsid w:val="0025130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F7"/>
    <w:rsid w:val="00292135"/>
    <w:rsid w:val="0029230D"/>
    <w:rsid w:val="00292438"/>
    <w:rsid w:val="00292441"/>
    <w:rsid w:val="0029245B"/>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73F"/>
    <w:rsid w:val="002B79EA"/>
    <w:rsid w:val="002B7A3C"/>
    <w:rsid w:val="002B7AE6"/>
    <w:rsid w:val="002B7BE7"/>
    <w:rsid w:val="002B7BE8"/>
    <w:rsid w:val="002C00DE"/>
    <w:rsid w:val="002C06E4"/>
    <w:rsid w:val="002C0854"/>
    <w:rsid w:val="002C085E"/>
    <w:rsid w:val="002C089D"/>
    <w:rsid w:val="002C1134"/>
    <w:rsid w:val="002C139D"/>
    <w:rsid w:val="002C18CD"/>
    <w:rsid w:val="002C18F9"/>
    <w:rsid w:val="002C19F7"/>
    <w:rsid w:val="002C1AB5"/>
    <w:rsid w:val="002C1BC4"/>
    <w:rsid w:val="002C1F75"/>
    <w:rsid w:val="002C2056"/>
    <w:rsid w:val="002C261B"/>
    <w:rsid w:val="002C2642"/>
    <w:rsid w:val="002C271F"/>
    <w:rsid w:val="002C2850"/>
    <w:rsid w:val="002C2BAD"/>
    <w:rsid w:val="002C3073"/>
    <w:rsid w:val="002C30C6"/>
    <w:rsid w:val="002C31B4"/>
    <w:rsid w:val="002C3387"/>
    <w:rsid w:val="002C3392"/>
    <w:rsid w:val="002C3435"/>
    <w:rsid w:val="002C3465"/>
    <w:rsid w:val="002C34FC"/>
    <w:rsid w:val="002C3537"/>
    <w:rsid w:val="002C353C"/>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9A5"/>
    <w:rsid w:val="003210D3"/>
    <w:rsid w:val="0032137E"/>
    <w:rsid w:val="003213E7"/>
    <w:rsid w:val="00321549"/>
    <w:rsid w:val="00321718"/>
    <w:rsid w:val="0032191F"/>
    <w:rsid w:val="003219EB"/>
    <w:rsid w:val="00321FED"/>
    <w:rsid w:val="003222C0"/>
    <w:rsid w:val="0032246B"/>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3B"/>
    <w:rsid w:val="003308A3"/>
    <w:rsid w:val="00330CA1"/>
    <w:rsid w:val="00330CC3"/>
    <w:rsid w:val="003312DD"/>
    <w:rsid w:val="003313FE"/>
    <w:rsid w:val="00331575"/>
    <w:rsid w:val="003319C9"/>
    <w:rsid w:val="00331AB7"/>
    <w:rsid w:val="00331ADE"/>
    <w:rsid w:val="00331FCB"/>
    <w:rsid w:val="003320BA"/>
    <w:rsid w:val="0033225C"/>
    <w:rsid w:val="00332403"/>
    <w:rsid w:val="00332473"/>
    <w:rsid w:val="00332547"/>
    <w:rsid w:val="00332754"/>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7016"/>
    <w:rsid w:val="003470C8"/>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A6"/>
    <w:rsid w:val="003606BA"/>
    <w:rsid w:val="003608B6"/>
    <w:rsid w:val="003608E2"/>
    <w:rsid w:val="003609A5"/>
    <w:rsid w:val="00360BF4"/>
    <w:rsid w:val="00360FCD"/>
    <w:rsid w:val="003612E7"/>
    <w:rsid w:val="00361301"/>
    <w:rsid w:val="003613E1"/>
    <w:rsid w:val="00361BA2"/>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F31"/>
    <w:rsid w:val="003830F3"/>
    <w:rsid w:val="00383565"/>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A0075"/>
    <w:rsid w:val="003A0268"/>
    <w:rsid w:val="003A063C"/>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50A"/>
    <w:rsid w:val="003B7135"/>
    <w:rsid w:val="003B745F"/>
    <w:rsid w:val="003B7648"/>
    <w:rsid w:val="003B76CC"/>
    <w:rsid w:val="003B7891"/>
    <w:rsid w:val="003B7951"/>
    <w:rsid w:val="003B7CAA"/>
    <w:rsid w:val="003B7E5B"/>
    <w:rsid w:val="003B7F38"/>
    <w:rsid w:val="003C10A7"/>
    <w:rsid w:val="003C1409"/>
    <w:rsid w:val="003C1476"/>
    <w:rsid w:val="003C1677"/>
    <w:rsid w:val="003C1A93"/>
    <w:rsid w:val="003C1CF5"/>
    <w:rsid w:val="003C1DDB"/>
    <w:rsid w:val="003C2077"/>
    <w:rsid w:val="003C20A5"/>
    <w:rsid w:val="003C2196"/>
    <w:rsid w:val="003C23F8"/>
    <w:rsid w:val="003C2478"/>
    <w:rsid w:val="003C28F0"/>
    <w:rsid w:val="003C2E8B"/>
    <w:rsid w:val="003C2F8F"/>
    <w:rsid w:val="003C30DD"/>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4BA"/>
    <w:rsid w:val="0041087D"/>
    <w:rsid w:val="004108C9"/>
    <w:rsid w:val="004108F4"/>
    <w:rsid w:val="00410CF7"/>
    <w:rsid w:val="0041107B"/>
    <w:rsid w:val="00411542"/>
    <w:rsid w:val="00411A62"/>
    <w:rsid w:val="00411F4A"/>
    <w:rsid w:val="0041226C"/>
    <w:rsid w:val="00412439"/>
    <w:rsid w:val="004124A5"/>
    <w:rsid w:val="00412602"/>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A2"/>
    <w:rsid w:val="004435F2"/>
    <w:rsid w:val="00443694"/>
    <w:rsid w:val="00443C85"/>
    <w:rsid w:val="00444005"/>
    <w:rsid w:val="00444761"/>
    <w:rsid w:val="00444807"/>
    <w:rsid w:val="00444B6A"/>
    <w:rsid w:val="00444C4E"/>
    <w:rsid w:val="00445058"/>
    <w:rsid w:val="0044533F"/>
    <w:rsid w:val="00445B59"/>
    <w:rsid w:val="00445B78"/>
    <w:rsid w:val="00445BE3"/>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31E1"/>
    <w:rsid w:val="004631F8"/>
    <w:rsid w:val="00463287"/>
    <w:rsid w:val="0046339F"/>
    <w:rsid w:val="004636D8"/>
    <w:rsid w:val="00463951"/>
    <w:rsid w:val="004639D2"/>
    <w:rsid w:val="00463E3A"/>
    <w:rsid w:val="00463EFF"/>
    <w:rsid w:val="00463FA3"/>
    <w:rsid w:val="00463FC1"/>
    <w:rsid w:val="004640C2"/>
    <w:rsid w:val="0046438C"/>
    <w:rsid w:val="004643B4"/>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7E8"/>
    <w:rsid w:val="00470A3B"/>
    <w:rsid w:val="00470B14"/>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D51"/>
    <w:rsid w:val="00475D7F"/>
    <w:rsid w:val="0047605B"/>
    <w:rsid w:val="00476151"/>
    <w:rsid w:val="004761F2"/>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67"/>
    <w:rsid w:val="004A4A94"/>
    <w:rsid w:val="004A4E5A"/>
    <w:rsid w:val="004A4F55"/>
    <w:rsid w:val="004A5064"/>
    <w:rsid w:val="004A5363"/>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FA"/>
    <w:rsid w:val="004C22CA"/>
    <w:rsid w:val="004C274E"/>
    <w:rsid w:val="004C2C5F"/>
    <w:rsid w:val="004C300E"/>
    <w:rsid w:val="004C35BD"/>
    <w:rsid w:val="004C3884"/>
    <w:rsid w:val="004C3CF1"/>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2060"/>
    <w:rsid w:val="004E20C6"/>
    <w:rsid w:val="004E2305"/>
    <w:rsid w:val="004E23F8"/>
    <w:rsid w:val="004E2551"/>
    <w:rsid w:val="004E257F"/>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9B1"/>
    <w:rsid w:val="004E6AC1"/>
    <w:rsid w:val="004E6EF0"/>
    <w:rsid w:val="004E700E"/>
    <w:rsid w:val="004E71CE"/>
    <w:rsid w:val="004E71FD"/>
    <w:rsid w:val="004E7225"/>
    <w:rsid w:val="004E7292"/>
    <w:rsid w:val="004E737A"/>
    <w:rsid w:val="004E73C7"/>
    <w:rsid w:val="004E74E3"/>
    <w:rsid w:val="004E76E4"/>
    <w:rsid w:val="004E7B86"/>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778"/>
    <w:rsid w:val="00500989"/>
    <w:rsid w:val="00500B7D"/>
    <w:rsid w:val="00500C63"/>
    <w:rsid w:val="00500D97"/>
    <w:rsid w:val="00500DFF"/>
    <w:rsid w:val="00500E89"/>
    <w:rsid w:val="00500E90"/>
    <w:rsid w:val="005012E9"/>
    <w:rsid w:val="00501311"/>
    <w:rsid w:val="005014E8"/>
    <w:rsid w:val="005015AD"/>
    <w:rsid w:val="00501A41"/>
    <w:rsid w:val="00501CC8"/>
    <w:rsid w:val="00501D22"/>
    <w:rsid w:val="00501ECD"/>
    <w:rsid w:val="00501F2B"/>
    <w:rsid w:val="00502389"/>
    <w:rsid w:val="00502974"/>
    <w:rsid w:val="00502C23"/>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A6B"/>
    <w:rsid w:val="00540B22"/>
    <w:rsid w:val="005411F2"/>
    <w:rsid w:val="005413C0"/>
    <w:rsid w:val="0054145A"/>
    <w:rsid w:val="005416D7"/>
    <w:rsid w:val="0054185D"/>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424"/>
    <w:rsid w:val="00550489"/>
    <w:rsid w:val="00550742"/>
    <w:rsid w:val="00550E9D"/>
    <w:rsid w:val="0055152C"/>
    <w:rsid w:val="005517D2"/>
    <w:rsid w:val="005517EC"/>
    <w:rsid w:val="005519FF"/>
    <w:rsid w:val="00551A87"/>
    <w:rsid w:val="00551D76"/>
    <w:rsid w:val="00552134"/>
    <w:rsid w:val="00552208"/>
    <w:rsid w:val="0055234A"/>
    <w:rsid w:val="00552618"/>
    <w:rsid w:val="00552670"/>
    <w:rsid w:val="00552C54"/>
    <w:rsid w:val="0055318F"/>
    <w:rsid w:val="005531E3"/>
    <w:rsid w:val="00553391"/>
    <w:rsid w:val="00553448"/>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70F5"/>
    <w:rsid w:val="0055727B"/>
    <w:rsid w:val="00557475"/>
    <w:rsid w:val="005574C9"/>
    <w:rsid w:val="005574D7"/>
    <w:rsid w:val="0055759A"/>
    <w:rsid w:val="0055760C"/>
    <w:rsid w:val="005577B6"/>
    <w:rsid w:val="00557ABD"/>
    <w:rsid w:val="00557BB0"/>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925"/>
    <w:rsid w:val="00562A3B"/>
    <w:rsid w:val="00562C36"/>
    <w:rsid w:val="00562DCF"/>
    <w:rsid w:val="00562E16"/>
    <w:rsid w:val="0056301E"/>
    <w:rsid w:val="005634F6"/>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901C4"/>
    <w:rsid w:val="00590285"/>
    <w:rsid w:val="005904AD"/>
    <w:rsid w:val="00590750"/>
    <w:rsid w:val="00590863"/>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817"/>
    <w:rsid w:val="005B49D4"/>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58A"/>
    <w:rsid w:val="005C1D22"/>
    <w:rsid w:val="005C1DBD"/>
    <w:rsid w:val="005C2A13"/>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549"/>
    <w:rsid w:val="005F2D4C"/>
    <w:rsid w:val="005F3121"/>
    <w:rsid w:val="005F34CC"/>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E2"/>
    <w:rsid w:val="00610DA7"/>
    <w:rsid w:val="00610DF8"/>
    <w:rsid w:val="00610EC3"/>
    <w:rsid w:val="0061157F"/>
    <w:rsid w:val="00611BC9"/>
    <w:rsid w:val="00611E50"/>
    <w:rsid w:val="00611F67"/>
    <w:rsid w:val="00612212"/>
    <w:rsid w:val="00612280"/>
    <w:rsid w:val="006122EE"/>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B4"/>
    <w:rsid w:val="00654142"/>
    <w:rsid w:val="00654184"/>
    <w:rsid w:val="0065474D"/>
    <w:rsid w:val="006547DD"/>
    <w:rsid w:val="00654802"/>
    <w:rsid w:val="006548A0"/>
    <w:rsid w:val="00654A8E"/>
    <w:rsid w:val="00654CA7"/>
    <w:rsid w:val="00654DB1"/>
    <w:rsid w:val="00655155"/>
    <w:rsid w:val="006557C9"/>
    <w:rsid w:val="006557D6"/>
    <w:rsid w:val="00655BFB"/>
    <w:rsid w:val="00655FB5"/>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517E"/>
    <w:rsid w:val="0068559C"/>
    <w:rsid w:val="006856F8"/>
    <w:rsid w:val="006858AC"/>
    <w:rsid w:val="006858AE"/>
    <w:rsid w:val="00685AF8"/>
    <w:rsid w:val="00685BD1"/>
    <w:rsid w:val="006862D3"/>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F"/>
    <w:rsid w:val="006B5ED4"/>
    <w:rsid w:val="006B64C1"/>
    <w:rsid w:val="006B684E"/>
    <w:rsid w:val="006B695F"/>
    <w:rsid w:val="006B6984"/>
    <w:rsid w:val="006B6EA0"/>
    <w:rsid w:val="006B77FA"/>
    <w:rsid w:val="006B7BDC"/>
    <w:rsid w:val="006B7D5B"/>
    <w:rsid w:val="006B7F6B"/>
    <w:rsid w:val="006B7F8D"/>
    <w:rsid w:val="006C011A"/>
    <w:rsid w:val="006C036C"/>
    <w:rsid w:val="006C0395"/>
    <w:rsid w:val="006C03F3"/>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5026"/>
    <w:rsid w:val="006C506B"/>
    <w:rsid w:val="006C5160"/>
    <w:rsid w:val="006C5273"/>
    <w:rsid w:val="006C52D8"/>
    <w:rsid w:val="006C5AF0"/>
    <w:rsid w:val="006C5B33"/>
    <w:rsid w:val="006C5B94"/>
    <w:rsid w:val="006C5C5A"/>
    <w:rsid w:val="006C5C5F"/>
    <w:rsid w:val="006C5F63"/>
    <w:rsid w:val="006C6343"/>
    <w:rsid w:val="006C6977"/>
    <w:rsid w:val="006C6995"/>
    <w:rsid w:val="006C6C68"/>
    <w:rsid w:val="006C708F"/>
    <w:rsid w:val="006C72D0"/>
    <w:rsid w:val="006C7549"/>
    <w:rsid w:val="006C76FA"/>
    <w:rsid w:val="006C7781"/>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E54"/>
    <w:rsid w:val="006E0E67"/>
    <w:rsid w:val="006E0F7D"/>
    <w:rsid w:val="006E1031"/>
    <w:rsid w:val="006E119E"/>
    <w:rsid w:val="006E12E1"/>
    <w:rsid w:val="006E13E1"/>
    <w:rsid w:val="006E15B8"/>
    <w:rsid w:val="006E1708"/>
    <w:rsid w:val="006E1747"/>
    <w:rsid w:val="006E195B"/>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F5A"/>
    <w:rsid w:val="006E6035"/>
    <w:rsid w:val="006E63CC"/>
    <w:rsid w:val="006E64E8"/>
    <w:rsid w:val="006E6751"/>
    <w:rsid w:val="006E6C43"/>
    <w:rsid w:val="006E6DD4"/>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2A4"/>
    <w:rsid w:val="007005B9"/>
    <w:rsid w:val="0070079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7EB"/>
    <w:rsid w:val="007048B0"/>
    <w:rsid w:val="007049CB"/>
    <w:rsid w:val="00704B99"/>
    <w:rsid w:val="00704F50"/>
    <w:rsid w:val="0070506C"/>
    <w:rsid w:val="00705206"/>
    <w:rsid w:val="00705625"/>
    <w:rsid w:val="007057C8"/>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D0"/>
    <w:rsid w:val="00707EF3"/>
    <w:rsid w:val="00707EFF"/>
    <w:rsid w:val="007106A7"/>
    <w:rsid w:val="007106BA"/>
    <w:rsid w:val="0071079C"/>
    <w:rsid w:val="007109AF"/>
    <w:rsid w:val="007109FA"/>
    <w:rsid w:val="00710C82"/>
    <w:rsid w:val="00710E89"/>
    <w:rsid w:val="007110EA"/>
    <w:rsid w:val="00711729"/>
    <w:rsid w:val="00711A8C"/>
    <w:rsid w:val="00711BCC"/>
    <w:rsid w:val="00711EA3"/>
    <w:rsid w:val="00712097"/>
    <w:rsid w:val="00712243"/>
    <w:rsid w:val="007122CD"/>
    <w:rsid w:val="00712470"/>
    <w:rsid w:val="0071266F"/>
    <w:rsid w:val="007126E8"/>
    <w:rsid w:val="00712837"/>
    <w:rsid w:val="00712D3B"/>
    <w:rsid w:val="00712DCD"/>
    <w:rsid w:val="0071363B"/>
    <w:rsid w:val="00714474"/>
    <w:rsid w:val="00714539"/>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332"/>
    <w:rsid w:val="007207E7"/>
    <w:rsid w:val="00720883"/>
    <w:rsid w:val="00720A57"/>
    <w:rsid w:val="00720C80"/>
    <w:rsid w:val="00720F8F"/>
    <w:rsid w:val="00720FF0"/>
    <w:rsid w:val="0072125A"/>
    <w:rsid w:val="0072158C"/>
    <w:rsid w:val="00721664"/>
    <w:rsid w:val="00721836"/>
    <w:rsid w:val="007219E7"/>
    <w:rsid w:val="00721CE0"/>
    <w:rsid w:val="00721DD2"/>
    <w:rsid w:val="00721E5C"/>
    <w:rsid w:val="00721EAF"/>
    <w:rsid w:val="00721F87"/>
    <w:rsid w:val="00722040"/>
    <w:rsid w:val="00722351"/>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AFF"/>
    <w:rsid w:val="00731CF5"/>
    <w:rsid w:val="0073203B"/>
    <w:rsid w:val="007322D0"/>
    <w:rsid w:val="0073245A"/>
    <w:rsid w:val="0073253E"/>
    <w:rsid w:val="00732759"/>
    <w:rsid w:val="007328F1"/>
    <w:rsid w:val="00732C92"/>
    <w:rsid w:val="00732D79"/>
    <w:rsid w:val="00732DFD"/>
    <w:rsid w:val="00733159"/>
    <w:rsid w:val="007333F0"/>
    <w:rsid w:val="007336EA"/>
    <w:rsid w:val="0073377A"/>
    <w:rsid w:val="007337AC"/>
    <w:rsid w:val="0073394D"/>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BDC"/>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4B2"/>
    <w:rsid w:val="00746702"/>
    <w:rsid w:val="0074679A"/>
    <w:rsid w:val="00747493"/>
    <w:rsid w:val="007475C9"/>
    <w:rsid w:val="007476BE"/>
    <w:rsid w:val="00747907"/>
    <w:rsid w:val="00747CFC"/>
    <w:rsid w:val="00747ED9"/>
    <w:rsid w:val="00747F91"/>
    <w:rsid w:val="007500EB"/>
    <w:rsid w:val="00750115"/>
    <w:rsid w:val="007501BF"/>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EB"/>
    <w:rsid w:val="00791526"/>
    <w:rsid w:val="007915A4"/>
    <w:rsid w:val="0079169F"/>
    <w:rsid w:val="00791940"/>
    <w:rsid w:val="00791F25"/>
    <w:rsid w:val="00791FA8"/>
    <w:rsid w:val="007928F0"/>
    <w:rsid w:val="00792AB3"/>
    <w:rsid w:val="00792C47"/>
    <w:rsid w:val="00793035"/>
    <w:rsid w:val="0079348B"/>
    <w:rsid w:val="0079373D"/>
    <w:rsid w:val="00793B5C"/>
    <w:rsid w:val="007946B8"/>
    <w:rsid w:val="007949D7"/>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6235"/>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E48"/>
    <w:rsid w:val="008450D1"/>
    <w:rsid w:val="008450D5"/>
    <w:rsid w:val="00845710"/>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5534"/>
    <w:rsid w:val="008656E5"/>
    <w:rsid w:val="0086589B"/>
    <w:rsid w:val="00865B16"/>
    <w:rsid w:val="00865ED0"/>
    <w:rsid w:val="00865F4B"/>
    <w:rsid w:val="00865F65"/>
    <w:rsid w:val="008660C7"/>
    <w:rsid w:val="00866363"/>
    <w:rsid w:val="0086648A"/>
    <w:rsid w:val="0086667B"/>
    <w:rsid w:val="00866780"/>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3C1"/>
    <w:rsid w:val="0087290B"/>
    <w:rsid w:val="00872F5F"/>
    <w:rsid w:val="00872FD5"/>
    <w:rsid w:val="00873053"/>
    <w:rsid w:val="00873156"/>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D8C"/>
    <w:rsid w:val="00892DB4"/>
    <w:rsid w:val="00892E91"/>
    <w:rsid w:val="00893034"/>
    <w:rsid w:val="00893168"/>
    <w:rsid w:val="0089324E"/>
    <w:rsid w:val="00893277"/>
    <w:rsid w:val="00893360"/>
    <w:rsid w:val="00893467"/>
    <w:rsid w:val="00893772"/>
    <w:rsid w:val="00893940"/>
    <w:rsid w:val="00893F27"/>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754"/>
    <w:rsid w:val="008B582E"/>
    <w:rsid w:val="008B589F"/>
    <w:rsid w:val="008B5974"/>
    <w:rsid w:val="008B5E82"/>
    <w:rsid w:val="008B5F1B"/>
    <w:rsid w:val="008B60CB"/>
    <w:rsid w:val="008B62B0"/>
    <w:rsid w:val="008B68C0"/>
    <w:rsid w:val="008B6BE1"/>
    <w:rsid w:val="008B6C39"/>
    <w:rsid w:val="008B6E82"/>
    <w:rsid w:val="008B702D"/>
    <w:rsid w:val="008B72D6"/>
    <w:rsid w:val="008B7398"/>
    <w:rsid w:val="008B757C"/>
    <w:rsid w:val="008B7834"/>
    <w:rsid w:val="008B783C"/>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7BA"/>
    <w:rsid w:val="008C6889"/>
    <w:rsid w:val="008C6932"/>
    <w:rsid w:val="008C6998"/>
    <w:rsid w:val="008C6A5C"/>
    <w:rsid w:val="008C6E82"/>
    <w:rsid w:val="008C743A"/>
    <w:rsid w:val="008C7684"/>
    <w:rsid w:val="008C76AB"/>
    <w:rsid w:val="008C76AE"/>
    <w:rsid w:val="008C7741"/>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D0"/>
    <w:rsid w:val="008D755F"/>
    <w:rsid w:val="008D75CA"/>
    <w:rsid w:val="008D7628"/>
    <w:rsid w:val="008D78C9"/>
    <w:rsid w:val="008D7961"/>
    <w:rsid w:val="008D7BC2"/>
    <w:rsid w:val="008D7C1C"/>
    <w:rsid w:val="008D7DF6"/>
    <w:rsid w:val="008D7E7B"/>
    <w:rsid w:val="008E02FF"/>
    <w:rsid w:val="008E0570"/>
    <w:rsid w:val="008E088D"/>
    <w:rsid w:val="008E0CA8"/>
    <w:rsid w:val="008E11E1"/>
    <w:rsid w:val="008E1751"/>
    <w:rsid w:val="008E17B2"/>
    <w:rsid w:val="008E181B"/>
    <w:rsid w:val="008E1906"/>
    <w:rsid w:val="008E1915"/>
    <w:rsid w:val="008E1991"/>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68F"/>
    <w:rsid w:val="0092070A"/>
    <w:rsid w:val="00920B1A"/>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BD"/>
    <w:rsid w:val="00940A00"/>
    <w:rsid w:val="00940B26"/>
    <w:rsid w:val="00940B65"/>
    <w:rsid w:val="00940DB7"/>
    <w:rsid w:val="00940F29"/>
    <w:rsid w:val="00941093"/>
    <w:rsid w:val="0094148B"/>
    <w:rsid w:val="00941727"/>
    <w:rsid w:val="00941B64"/>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74"/>
    <w:rsid w:val="00947349"/>
    <w:rsid w:val="009476FE"/>
    <w:rsid w:val="00947823"/>
    <w:rsid w:val="00947C10"/>
    <w:rsid w:val="00947CA1"/>
    <w:rsid w:val="00947CF2"/>
    <w:rsid w:val="0095003E"/>
    <w:rsid w:val="00950460"/>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60395"/>
    <w:rsid w:val="009605CB"/>
    <w:rsid w:val="0096062D"/>
    <w:rsid w:val="00960643"/>
    <w:rsid w:val="00960A8E"/>
    <w:rsid w:val="00960DAE"/>
    <w:rsid w:val="00960DDF"/>
    <w:rsid w:val="00961057"/>
    <w:rsid w:val="00961074"/>
    <w:rsid w:val="00961190"/>
    <w:rsid w:val="00961615"/>
    <w:rsid w:val="009617DD"/>
    <w:rsid w:val="00961D05"/>
    <w:rsid w:val="00962047"/>
    <w:rsid w:val="00962050"/>
    <w:rsid w:val="00962254"/>
    <w:rsid w:val="009627BF"/>
    <w:rsid w:val="009627D8"/>
    <w:rsid w:val="009630E5"/>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8CD"/>
    <w:rsid w:val="00976999"/>
    <w:rsid w:val="00976C76"/>
    <w:rsid w:val="00976C87"/>
    <w:rsid w:val="0097719D"/>
    <w:rsid w:val="0097747A"/>
    <w:rsid w:val="009775FA"/>
    <w:rsid w:val="00977D15"/>
    <w:rsid w:val="00977D78"/>
    <w:rsid w:val="00977FE5"/>
    <w:rsid w:val="0098016A"/>
    <w:rsid w:val="009803D6"/>
    <w:rsid w:val="0098043C"/>
    <w:rsid w:val="00980592"/>
    <w:rsid w:val="00980A79"/>
    <w:rsid w:val="00980C11"/>
    <w:rsid w:val="00980DBF"/>
    <w:rsid w:val="00980E2F"/>
    <w:rsid w:val="009813E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937"/>
    <w:rsid w:val="009F09DC"/>
    <w:rsid w:val="009F0A8A"/>
    <w:rsid w:val="009F0BF3"/>
    <w:rsid w:val="009F0E64"/>
    <w:rsid w:val="009F0EB0"/>
    <w:rsid w:val="009F1070"/>
    <w:rsid w:val="009F129F"/>
    <w:rsid w:val="009F172D"/>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7119"/>
    <w:rsid w:val="009F7422"/>
    <w:rsid w:val="009F7455"/>
    <w:rsid w:val="009F754F"/>
    <w:rsid w:val="009F7A32"/>
    <w:rsid w:val="009F7B79"/>
    <w:rsid w:val="009F7DA5"/>
    <w:rsid w:val="00A0008D"/>
    <w:rsid w:val="00A00411"/>
    <w:rsid w:val="00A00438"/>
    <w:rsid w:val="00A0046B"/>
    <w:rsid w:val="00A009DC"/>
    <w:rsid w:val="00A00A6E"/>
    <w:rsid w:val="00A00AA8"/>
    <w:rsid w:val="00A00E05"/>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DD0"/>
    <w:rsid w:val="00A06033"/>
    <w:rsid w:val="00A0636A"/>
    <w:rsid w:val="00A06631"/>
    <w:rsid w:val="00A0663B"/>
    <w:rsid w:val="00A06976"/>
    <w:rsid w:val="00A06E24"/>
    <w:rsid w:val="00A06F86"/>
    <w:rsid w:val="00A07245"/>
    <w:rsid w:val="00A07459"/>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CA"/>
    <w:rsid w:val="00A3224E"/>
    <w:rsid w:val="00A327FA"/>
    <w:rsid w:val="00A329DA"/>
    <w:rsid w:val="00A32B2B"/>
    <w:rsid w:val="00A32B88"/>
    <w:rsid w:val="00A32BD3"/>
    <w:rsid w:val="00A32D6A"/>
    <w:rsid w:val="00A32F2E"/>
    <w:rsid w:val="00A33235"/>
    <w:rsid w:val="00A3368A"/>
    <w:rsid w:val="00A33712"/>
    <w:rsid w:val="00A3384F"/>
    <w:rsid w:val="00A33855"/>
    <w:rsid w:val="00A33D94"/>
    <w:rsid w:val="00A34292"/>
    <w:rsid w:val="00A346D7"/>
    <w:rsid w:val="00A34710"/>
    <w:rsid w:val="00A34801"/>
    <w:rsid w:val="00A34E15"/>
    <w:rsid w:val="00A350AD"/>
    <w:rsid w:val="00A353CE"/>
    <w:rsid w:val="00A355DC"/>
    <w:rsid w:val="00A356E3"/>
    <w:rsid w:val="00A3594E"/>
    <w:rsid w:val="00A35A4E"/>
    <w:rsid w:val="00A35D88"/>
    <w:rsid w:val="00A35DA3"/>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7EF"/>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7A2"/>
    <w:rsid w:val="00A83861"/>
    <w:rsid w:val="00A8387B"/>
    <w:rsid w:val="00A83A9E"/>
    <w:rsid w:val="00A83EA3"/>
    <w:rsid w:val="00A8403A"/>
    <w:rsid w:val="00A84459"/>
    <w:rsid w:val="00A8487C"/>
    <w:rsid w:val="00A848D0"/>
    <w:rsid w:val="00A84907"/>
    <w:rsid w:val="00A84AFA"/>
    <w:rsid w:val="00A84F28"/>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63B"/>
    <w:rsid w:val="00A93872"/>
    <w:rsid w:val="00A93BE5"/>
    <w:rsid w:val="00A93C1E"/>
    <w:rsid w:val="00A93C8E"/>
    <w:rsid w:val="00A944E1"/>
    <w:rsid w:val="00A945DF"/>
    <w:rsid w:val="00A94728"/>
    <w:rsid w:val="00A948F4"/>
    <w:rsid w:val="00A94A02"/>
    <w:rsid w:val="00A94B03"/>
    <w:rsid w:val="00A94B2B"/>
    <w:rsid w:val="00A94BE6"/>
    <w:rsid w:val="00A94BFE"/>
    <w:rsid w:val="00A94DC2"/>
    <w:rsid w:val="00A9567E"/>
    <w:rsid w:val="00A9572F"/>
    <w:rsid w:val="00A95A61"/>
    <w:rsid w:val="00A95F43"/>
    <w:rsid w:val="00A9613A"/>
    <w:rsid w:val="00A96432"/>
    <w:rsid w:val="00A9692E"/>
    <w:rsid w:val="00A96A93"/>
    <w:rsid w:val="00A96ABA"/>
    <w:rsid w:val="00A96DF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89D"/>
    <w:rsid w:val="00AF48C9"/>
    <w:rsid w:val="00AF4FAA"/>
    <w:rsid w:val="00AF5121"/>
    <w:rsid w:val="00AF5AD6"/>
    <w:rsid w:val="00AF5D8A"/>
    <w:rsid w:val="00AF6354"/>
    <w:rsid w:val="00AF6361"/>
    <w:rsid w:val="00AF63A5"/>
    <w:rsid w:val="00AF64F2"/>
    <w:rsid w:val="00AF68F4"/>
    <w:rsid w:val="00AF6B55"/>
    <w:rsid w:val="00AF6C2D"/>
    <w:rsid w:val="00AF702A"/>
    <w:rsid w:val="00AF70BD"/>
    <w:rsid w:val="00AF7480"/>
    <w:rsid w:val="00AF7613"/>
    <w:rsid w:val="00AF778E"/>
    <w:rsid w:val="00AF79D5"/>
    <w:rsid w:val="00B0027B"/>
    <w:rsid w:val="00B0033F"/>
    <w:rsid w:val="00B0045B"/>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82C"/>
    <w:rsid w:val="00B06A00"/>
    <w:rsid w:val="00B06F7B"/>
    <w:rsid w:val="00B0707E"/>
    <w:rsid w:val="00B071BA"/>
    <w:rsid w:val="00B072F8"/>
    <w:rsid w:val="00B07D62"/>
    <w:rsid w:val="00B07DC4"/>
    <w:rsid w:val="00B07F27"/>
    <w:rsid w:val="00B100CD"/>
    <w:rsid w:val="00B10238"/>
    <w:rsid w:val="00B107EF"/>
    <w:rsid w:val="00B109BF"/>
    <w:rsid w:val="00B10B42"/>
    <w:rsid w:val="00B10B95"/>
    <w:rsid w:val="00B112D5"/>
    <w:rsid w:val="00B113D9"/>
    <w:rsid w:val="00B11528"/>
    <w:rsid w:val="00B1157B"/>
    <w:rsid w:val="00B11B32"/>
    <w:rsid w:val="00B11C7C"/>
    <w:rsid w:val="00B11C9A"/>
    <w:rsid w:val="00B11D79"/>
    <w:rsid w:val="00B123FB"/>
    <w:rsid w:val="00B12784"/>
    <w:rsid w:val="00B12A09"/>
    <w:rsid w:val="00B12AD8"/>
    <w:rsid w:val="00B12D97"/>
    <w:rsid w:val="00B132CF"/>
    <w:rsid w:val="00B132F3"/>
    <w:rsid w:val="00B13313"/>
    <w:rsid w:val="00B133F7"/>
    <w:rsid w:val="00B13444"/>
    <w:rsid w:val="00B13697"/>
    <w:rsid w:val="00B136FD"/>
    <w:rsid w:val="00B1383B"/>
    <w:rsid w:val="00B13A6D"/>
    <w:rsid w:val="00B13B63"/>
    <w:rsid w:val="00B13B8A"/>
    <w:rsid w:val="00B14119"/>
    <w:rsid w:val="00B146DB"/>
    <w:rsid w:val="00B14D01"/>
    <w:rsid w:val="00B14D8A"/>
    <w:rsid w:val="00B14EBB"/>
    <w:rsid w:val="00B15203"/>
    <w:rsid w:val="00B1545E"/>
    <w:rsid w:val="00B15775"/>
    <w:rsid w:val="00B1580E"/>
    <w:rsid w:val="00B15AA8"/>
    <w:rsid w:val="00B15ACA"/>
    <w:rsid w:val="00B15BA5"/>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AB7"/>
    <w:rsid w:val="00B21E04"/>
    <w:rsid w:val="00B224AE"/>
    <w:rsid w:val="00B2291B"/>
    <w:rsid w:val="00B22E3D"/>
    <w:rsid w:val="00B22E73"/>
    <w:rsid w:val="00B22FED"/>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7B3"/>
    <w:rsid w:val="00B30807"/>
    <w:rsid w:val="00B30AA1"/>
    <w:rsid w:val="00B30D50"/>
    <w:rsid w:val="00B30DDD"/>
    <w:rsid w:val="00B30E38"/>
    <w:rsid w:val="00B31118"/>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9D"/>
    <w:rsid w:val="00B56BC9"/>
    <w:rsid w:val="00B56D57"/>
    <w:rsid w:val="00B56E8A"/>
    <w:rsid w:val="00B56EAF"/>
    <w:rsid w:val="00B5722D"/>
    <w:rsid w:val="00B5727E"/>
    <w:rsid w:val="00B577A4"/>
    <w:rsid w:val="00B57BB4"/>
    <w:rsid w:val="00B57EAA"/>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B3E"/>
    <w:rsid w:val="00B64D51"/>
    <w:rsid w:val="00B652C0"/>
    <w:rsid w:val="00B6543C"/>
    <w:rsid w:val="00B65B5D"/>
    <w:rsid w:val="00B660E9"/>
    <w:rsid w:val="00B661DC"/>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AF4"/>
    <w:rsid w:val="00BB1D30"/>
    <w:rsid w:val="00BB1D41"/>
    <w:rsid w:val="00BB1D84"/>
    <w:rsid w:val="00BB1F25"/>
    <w:rsid w:val="00BB2078"/>
    <w:rsid w:val="00BB20CE"/>
    <w:rsid w:val="00BB2F1C"/>
    <w:rsid w:val="00BB30C4"/>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8C6"/>
    <w:rsid w:val="00BD2AB8"/>
    <w:rsid w:val="00BD2B1B"/>
    <w:rsid w:val="00BD2CD0"/>
    <w:rsid w:val="00BD3187"/>
    <w:rsid w:val="00BD3639"/>
    <w:rsid w:val="00BD3943"/>
    <w:rsid w:val="00BD3B84"/>
    <w:rsid w:val="00BD3F81"/>
    <w:rsid w:val="00BD4001"/>
    <w:rsid w:val="00BD41D1"/>
    <w:rsid w:val="00BD41E5"/>
    <w:rsid w:val="00BD45B6"/>
    <w:rsid w:val="00BD462C"/>
    <w:rsid w:val="00BD4646"/>
    <w:rsid w:val="00BD467B"/>
    <w:rsid w:val="00BD48BE"/>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39A"/>
    <w:rsid w:val="00C04796"/>
    <w:rsid w:val="00C04823"/>
    <w:rsid w:val="00C0496E"/>
    <w:rsid w:val="00C049BD"/>
    <w:rsid w:val="00C04CA5"/>
    <w:rsid w:val="00C04CF8"/>
    <w:rsid w:val="00C04D05"/>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A53"/>
    <w:rsid w:val="00C13A8C"/>
    <w:rsid w:val="00C13BB7"/>
    <w:rsid w:val="00C13E58"/>
    <w:rsid w:val="00C1411E"/>
    <w:rsid w:val="00C14351"/>
    <w:rsid w:val="00C14526"/>
    <w:rsid w:val="00C14640"/>
    <w:rsid w:val="00C14B3F"/>
    <w:rsid w:val="00C14EE2"/>
    <w:rsid w:val="00C14F1F"/>
    <w:rsid w:val="00C15026"/>
    <w:rsid w:val="00C150BC"/>
    <w:rsid w:val="00C15212"/>
    <w:rsid w:val="00C152B2"/>
    <w:rsid w:val="00C1548B"/>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D3E"/>
    <w:rsid w:val="00C16E1E"/>
    <w:rsid w:val="00C16ED8"/>
    <w:rsid w:val="00C17110"/>
    <w:rsid w:val="00C174B4"/>
    <w:rsid w:val="00C1761E"/>
    <w:rsid w:val="00C17740"/>
    <w:rsid w:val="00C177B5"/>
    <w:rsid w:val="00C1790C"/>
    <w:rsid w:val="00C1793F"/>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4DC"/>
    <w:rsid w:val="00C25A58"/>
    <w:rsid w:val="00C25B6C"/>
    <w:rsid w:val="00C25CA9"/>
    <w:rsid w:val="00C25F5D"/>
    <w:rsid w:val="00C26397"/>
    <w:rsid w:val="00C267AB"/>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C2"/>
    <w:rsid w:val="00C35A26"/>
    <w:rsid w:val="00C35B6B"/>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BA4"/>
    <w:rsid w:val="00C54F35"/>
    <w:rsid w:val="00C5508E"/>
    <w:rsid w:val="00C551AF"/>
    <w:rsid w:val="00C55905"/>
    <w:rsid w:val="00C55BB4"/>
    <w:rsid w:val="00C55C98"/>
    <w:rsid w:val="00C5609B"/>
    <w:rsid w:val="00C5615A"/>
    <w:rsid w:val="00C56165"/>
    <w:rsid w:val="00C5619B"/>
    <w:rsid w:val="00C563D7"/>
    <w:rsid w:val="00C56965"/>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676"/>
    <w:rsid w:val="00C628AF"/>
    <w:rsid w:val="00C629DE"/>
    <w:rsid w:val="00C62AAC"/>
    <w:rsid w:val="00C62ADD"/>
    <w:rsid w:val="00C62D09"/>
    <w:rsid w:val="00C62F42"/>
    <w:rsid w:val="00C6306B"/>
    <w:rsid w:val="00C6317D"/>
    <w:rsid w:val="00C632E8"/>
    <w:rsid w:val="00C635C2"/>
    <w:rsid w:val="00C635F9"/>
    <w:rsid w:val="00C637D7"/>
    <w:rsid w:val="00C63A3A"/>
    <w:rsid w:val="00C63C72"/>
    <w:rsid w:val="00C642E7"/>
    <w:rsid w:val="00C64847"/>
    <w:rsid w:val="00C64D47"/>
    <w:rsid w:val="00C64E01"/>
    <w:rsid w:val="00C6502C"/>
    <w:rsid w:val="00C65516"/>
    <w:rsid w:val="00C6576D"/>
    <w:rsid w:val="00C65776"/>
    <w:rsid w:val="00C659C3"/>
    <w:rsid w:val="00C65B38"/>
    <w:rsid w:val="00C65B8B"/>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6221"/>
    <w:rsid w:val="00C86276"/>
    <w:rsid w:val="00C862F4"/>
    <w:rsid w:val="00C865B9"/>
    <w:rsid w:val="00C865E0"/>
    <w:rsid w:val="00C869BB"/>
    <w:rsid w:val="00C86A1A"/>
    <w:rsid w:val="00C86A57"/>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827"/>
    <w:rsid w:val="00CB3998"/>
    <w:rsid w:val="00CB3A04"/>
    <w:rsid w:val="00CB3A24"/>
    <w:rsid w:val="00CB3C8B"/>
    <w:rsid w:val="00CB4251"/>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91A"/>
    <w:rsid w:val="00CE3ADE"/>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8C"/>
    <w:rsid w:val="00D37789"/>
    <w:rsid w:val="00D37928"/>
    <w:rsid w:val="00D3796F"/>
    <w:rsid w:val="00D379EF"/>
    <w:rsid w:val="00D37A24"/>
    <w:rsid w:val="00D37BFF"/>
    <w:rsid w:val="00D37C63"/>
    <w:rsid w:val="00D37CD0"/>
    <w:rsid w:val="00D37CD1"/>
    <w:rsid w:val="00D4007B"/>
    <w:rsid w:val="00D4026A"/>
    <w:rsid w:val="00D403AC"/>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3FE"/>
    <w:rsid w:val="00D445B7"/>
    <w:rsid w:val="00D44A9C"/>
    <w:rsid w:val="00D44ACD"/>
    <w:rsid w:val="00D44C25"/>
    <w:rsid w:val="00D44D36"/>
    <w:rsid w:val="00D44D74"/>
    <w:rsid w:val="00D44E19"/>
    <w:rsid w:val="00D4520A"/>
    <w:rsid w:val="00D45277"/>
    <w:rsid w:val="00D45326"/>
    <w:rsid w:val="00D4551D"/>
    <w:rsid w:val="00D455C6"/>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7E3"/>
    <w:rsid w:val="00D5783D"/>
    <w:rsid w:val="00D5792F"/>
    <w:rsid w:val="00D57A54"/>
    <w:rsid w:val="00D57BE2"/>
    <w:rsid w:val="00D60111"/>
    <w:rsid w:val="00D60284"/>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CB0"/>
    <w:rsid w:val="00D81F6B"/>
    <w:rsid w:val="00D82379"/>
    <w:rsid w:val="00D82600"/>
    <w:rsid w:val="00D82690"/>
    <w:rsid w:val="00D82B1A"/>
    <w:rsid w:val="00D82BDA"/>
    <w:rsid w:val="00D82CE0"/>
    <w:rsid w:val="00D82EA9"/>
    <w:rsid w:val="00D832C2"/>
    <w:rsid w:val="00D833CA"/>
    <w:rsid w:val="00D834CE"/>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69B"/>
    <w:rsid w:val="00D92799"/>
    <w:rsid w:val="00D92808"/>
    <w:rsid w:val="00D9289A"/>
    <w:rsid w:val="00D92C58"/>
    <w:rsid w:val="00D92E88"/>
    <w:rsid w:val="00D93136"/>
    <w:rsid w:val="00D93219"/>
    <w:rsid w:val="00D932AF"/>
    <w:rsid w:val="00D93400"/>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CAB"/>
    <w:rsid w:val="00DD1D93"/>
    <w:rsid w:val="00DD2221"/>
    <w:rsid w:val="00DD2349"/>
    <w:rsid w:val="00DD2396"/>
    <w:rsid w:val="00DD2575"/>
    <w:rsid w:val="00DD29D4"/>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756"/>
    <w:rsid w:val="00DE7C13"/>
    <w:rsid w:val="00DE7C40"/>
    <w:rsid w:val="00DE7F68"/>
    <w:rsid w:val="00DE7FB4"/>
    <w:rsid w:val="00DF0702"/>
    <w:rsid w:val="00DF09F7"/>
    <w:rsid w:val="00DF0A5C"/>
    <w:rsid w:val="00DF0BDC"/>
    <w:rsid w:val="00DF0C0B"/>
    <w:rsid w:val="00DF0E3E"/>
    <w:rsid w:val="00DF1422"/>
    <w:rsid w:val="00DF14E1"/>
    <w:rsid w:val="00DF14EF"/>
    <w:rsid w:val="00DF1508"/>
    <w:rsid w:val="00DF1B05"/>
    <w:rsid w:val="00DF1CF3"/>
    <w:rsid w:val="00DF1D37"/>
    <w:rsid w:val="00DF1EAD"/>
    <w:rsid w:val="00DF1EF5"/>
    <w:rsid w:val="00DF1FA2"/>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E45"/>
    <w:rsid w:val="00E111DF"/>
    <w:rsid w:val="00E11339"/>
    <w:rsid w:val="00E114D8"/>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FA"/>
    <w:rsid w:val="00E2432C"/>
    <w:rsid w:val="00E2467A"/>
    <w:rsid w:val="00E24693"/>
    <w:rsid w:val="00E248C1"/>
    <w:rsid w:val="00E24C9E"/>
    <w:rsid w:val="00E24E9E"/>
    <w:rsid w:val="00E24ED4"/>
    <w:rsid w:val="00E24F8E"/>
    <w:rsid w:val="00E25112"/>
    <w:rsid w:val="00E25416"/>
    <w:rsid w:val="00E256D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7BB"/>
    <w:rsid w:val="00E3187A"/>
    <w:rsid w:val="00E318C6"/>
    <w:rsid w:val="00E31CE6"/>
    <w:rsid w:val="00E31D6A"/>
    <w:rsid w:val="00E31E59"/>
    <w:rsid w:val="00E32404"/>
    <w:rsid w:val="00E32665"/>
    <w:rsid w:val="00E3275E"/>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A81"/>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DB"/>
    <w:rsid w:val="00E60DC2"/>
    <w:rsid w:val="00E61059"/>
    <w:rsid w:val="00E6126B"/>
    <w:rsid w:val="00E616BB"/>
    <w:rsid w:val="00E61895"/>
    <w:rsid w:val="00E61EC2"/>
    <w:rsid w:val="00E6202E"/>
    <w:rsid w:val="00E6207B"/>
    <w:rsid w:val="00E62222"/>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53"/>
    <w:rsid w:val="00E72E27"/>
    <w:rsid w:val="00E73042"/>
    <w:rsid w:val="00E73071"/>
    <w:rsid w:val="00E734C1"/>
    <w:rsid w:val="00E73C1B"/>
    <w:rsid w:val="00E73C87"/>
    <w:rsid w:val="00E73DE8"/>
    <w:rsid w:val="00E740F1"/>
    <w:rsid w:val="00E74247"/>
    <w:rsid w:val="00E74271"/>
    <w:rsid w:val="00E742F2"/>
    <w:rsid w:val="00E743F3"/>
    <w:rsid w:val="00E747E9"/>
    <w:rsid w:val="00E748CA"/>
    <w:rsid w:val="00E748F2"/>
    <w:rsid w:val="00E74D63"/>
    <w:rsid w:val="00E74E25"/>
    <w:rsid w:val="00E74EA6"/>
    <w:rsid w:val="00E75035"/>
    <w:rsid w:val="00E7509A"/>
    <w:rsid w:val="00E751C6"/>
    <w:rsid w:val="00E75513"/>
    <w:rsid w:val="00E755B5"/>
    <w:rsid w:val="00E75627"/>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81B"/>
    <w:rsid w:val="00E849A7"/>
    <w:rsid w:val="00E84B23"/>
    <w:rsid w:val="00E84BBA"/>
    <w:rsid w:val="00E84C2A"/>
    <w:rsid w:val="00E84EAD"/>
    <w:rsid w:val="00E85236"/>
    <w:rsid w:val="00E853D2"/>
    <w:rsid w:val="00E853D9"/>
    <w:rsid w:val="00E854F3"/>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F75"/>
    <w:rsid w:val="00E95029"/>
    <w:rsid w:val="00E95316"/>
    <w:rsid w:val="00E9549D"/>
    <w:rsid w:val="00E95843"/>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4E6"/>
    <w:rsid w:val="00EC1549"/>
    <w:rsid w:val="00EC18D6"/>
    <w:rsid w:val="00EC18F5"/>
    <w:rsid w:val="00EC19FA"/>
    <w:rsid w:val="00EC1BDE"/>
    <w:rsid w:val="00EC1DC3"/>
    <w:rsid w:val="00EC1F6A"/>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DF6"/>
    <w:rsid w:val="00EE7F14"/>
    <w:rsid w:val="00EF029E"/>
    <w:rsid w:val="00EF06BE"/>
    <w:rsid w:val="00EF07A9"/>
    <w:rsid w:val="00EF07E9"/>
    <w:rsid w:val="00EF0E35"/>
    <w:rsid w:val="00EF17A6"/>
    <w:rsid w:val="00EF1922"/>
    <w:rsid w:val="00EF1B0F"/>
    <w:rsid w:val="00EF1C24"/>
    <w:rsid w:val="00EF1DCB"/>
    <w:rsid w:val="00EF216E"/>
    <w:rsid w:val="00EF21E2"/>
    <w:rsid w:val="00EF220E"/>
    <w:rsid w:val="00EF241F"/>
    <w:rsid w:val="00EF342E"/>
    <w:rsid w:val="00EF34A4"/>
    <w:rsid w:val="00EF3919"/>
    <w:rsid w:val="00EF3BCC"/>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A"/>
    <w:rsid w:val="00F01EC8"/>
    <w:rsid w:val="00F02064"/>
    <w:rsid w:val="00F0224E"/>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325"/>
    <w:rsid w:val="00F04460"/>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E80"/>
    <w:rsid w:val="00F1000D"/>
    <w:rsid w:val="00F1000F"/>
    <w:rsid w:val="00F1017C"/>
    <w:rsid w:val="00F10530"/>
    <w:rsid w:val="00F10565"/>
    <w:rsid w:val="00F1063E"/>
    <w:rsid w:val="00F1083B"/>
    <w:rsid w:val="00F10EB8"/>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73"/>
    <w:rsid w:val="00F1467B"/>
    <w:rsid w:val="00F14812"/>
    <w:rsid w:val="00F14A77"/>
    <w:rsid w:val="00F14DAE"/>
    <w:rsid w:val="00F14FE9"/>
    <w:rsid w:val="00F15664"/>
    <w:rsid w:val="00F1572D"/>
    <w:rsid w:val="00F15776"/>
    <w:rsid w:val="00F1586C"/>
    <w:rsid w:val="00F1595C"/>
    <w:rsid w:val="00F15A6B"/>
    <w:rsid w:val="00F15BCE"/>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7E"/>
    <w:rsid w:val="00F677DE"/>
    <w:rsid w:val="00F67A05"/>
    <w:rsid w:val="00F67A20"/>
    <w:rsid w:val="00F67B75"/>
    <w:rsid w:val="00F67B95"/>
    <w:rsid w:val="00F67D83"/>
    <w:rsid w:val="00F67E3D"/>
    <w:rsid w:val="00F70005"/>
    <w:rsid w:val="00F7010D"/>
    <w:rsid w:val="00F7039D"/>
    <w:rsid w:val="00F707A4"/>
    <w:rsid w:val="00F70891"/>
    <w:rsid w:val="00F70902"/>
    <w:rsid w:val="00F70B2A"/>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DF7"/>
    <w:rsid w:val="00F91EA0"/>
    <w:rsid w:val="00F91EC0"/>
    <w:rsid w:val="00F91F48"/>
    <w:rsid w:val="00F920AE"/>
    <w:rsid w:val="00F920CE"/>
    <w:rsid w:val="00F92149"/>
    <w:rsid w:val="00F922E4"/>
    <w:rsid w:val="00F92E77"/>
    <w:rsid w:val="00F92EC7"/>
    <w:rsid w:val="00F92F3C"/>
    <w:rsid w:val="00F93328"/>
    <w:rsid w:val="00F933F4"/>
    <w:rsid w:val="00F93B7D"/>
    <w:rsid w:val="00F93BBD"/>
    <w:rsid w:val="00F93D36"/>
    <w:rsid w:val="00F94636"/>
    <w:rsid w:val="00F94642"/>
    <w:rsid w:val="00F95053"/>
    <w:rsid w:val="00F95095"/>
    <w:rsid w:val="00F95489"/>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C61"/>
    <w:rsid w:val="00FE1DB6"/>
    <w:rsid w:val="00FE1E8B"/>
    <w:rsid w:val="00FE1F2A"/>
    <w:rsid w:val="00FE1F7D"/>
    <w:rsid w:val="00FE21E7"/>
    <w:rsid w:val="00FE248C"/>
    <w:rsid w:val="00FE2510"/>
    <w:rsid w:val="00FE2707"/>
    <w:rsid w:val="00FE2ECE"/>
    <w:rsid w:val="00FE328A"/>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FDE"/>
    <w:rsid w:val="00FF6FE9"/>
    <w:rsid w:val="00FF719F"/>
    <w:rsid w:val="00FF71F0"/>
    <w:rsid w:val="00FF72DE"/>
    <w:rsid w:val="00FF73C6"/>
    <w:rsid w:val="00FF73FC"/>
    <w:rsid w:val="00FF7542"/>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3B6FD177"/>
  <w15:docId w15:val="{6F1B464A-F92F-43A4-A3D1-AD721CA8CE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4.emf"/><Relationship Id="rId26" Type="http://schemas.openxmlformats.org/officeDocument/2006/relationships/image" Target="media/image11.emf"/><Relationship Id="rId21" Type="http://schemas.openxmlformats.org/officeDocument/2006/relationships/image" Target="media/image6.emf"/><Relationship Id="rId34" Type="http://schemas.openxmlformats.org/officeDocument/2006/relationships/header" Target="header4.xml"/><Relationship Id="rId7" Type="http://schemas.openxmlformats.org/officeDocument/2006/relationships/endnotes" Target="endnotes.xml"/><Relationship Id="rId12" Type="http://schemas.openxmlformats.org/officeDocument/2006/relationships/hyperlink" Target="https://elperuano.pe/NormasElperuano/2021/09/06/1988935-2/1988935-2.htm" TargetMode="External"/><Relationship Id="rId17" Type="http://schemas.openxmlformats.org/officeDocument/2006/relationships/footer" Target="footer2.xml"/><Relationship Id="rId25" Type="http://schemas.openxmlformats.org/officeDocument/2006/relationships/image" Target="media/image10.emf"/><Relationship Id="rId33" Type="http://schemas.openxmlformats.org/officeDocument/2006/relationships/hyperlink" Target="https://www.osinergmin.gob.pe/seccion/centro_documental/gart/precios_referencia_banda_precios/PreciosReferencia/Informe-Tecnico-479-2021-GRT.pdf" TargetMode="Externa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header" Target="header3.xml"/><Relationship Id="rId29" Type="http://schemas.openxmlformats.org/officeDocument/2006/relationships/image" Target="media/image14.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lperuano.pe/NormasElperuano/2021/09/06/1988935-2/1988935-2.htm" TargetMode="External"/><Relationship Id="rId24" Type="http://schemas.openxmlformats.org/officeDocument/2006/relationships/image" Target="media/image9.emf"/><Relationship Id="rId32" Type="http://schemas.openxmlformats.org/officeDocument/2006/relationships/image" Target="media/image17.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8.emf"/><Relationship Id="rId28" Type="http://schemas.openxmlformats.org/officeDocument/2006/relationships/image" Target="media/image13.gif"/><Relationship Id="rId36" Type="http://schemas.openxmlformats.org/officeDocument/2006/relationships/fontTable" Target="fontTable.xml"/><Relationship Id="rId10" Type="http://schemas.openxmlformats.org/officeDocument/2006/relationships/hyperlink" Target="https://www.peruweek.pe/tag/glp/" TargetMode="External"/><Relationship Id="rId19" Type="http://schemas.openxmlformats.org/officeDocument/2006/relationships/footer" Target="footer3.xml"/><Relationship Id="rId31" Type="http://schemas.openxmlformats.org/officeDocument/2006/relationships/image" Target="media/image16.png"/><Relationship Id="rId4" Type="http://schemas.openxmlformats.org/officeDocument/2006/relationships/settings" Target="settings.xml"/><Relationship Id="rId9" Type="http://schemas.openxmlformats.org/officeDocument/2006/relationships/hyperlink" Target="https://elperuano.pe/NormasElperuano/2021/09/06/1988935-2/1988935-2.htm" TargetMode="External"/><Relationship Id="rId14" Type="http://schemas.openxmlformats.org/officeDocument/2006/relationships/header" Target="header1.xml"/><Relationship Id="rId22" Type="http://schemas.openxmlformats.org/officeDocument/2006/relationships/image" Target="media/image7.png"/><Relationship Id="rId27" Type="http://schemas.openxmlformats.org/officeDocument/2006/relationships/image" Target="media/image12.gif"/><Relationship Id="rId30" Type="http://schemas.openxmlformats.org/officeDocument/2006/relationships/image" Target="media/image15.gif"/><Relationship Id="rId35" Type="http://schemas.openxmlformats.org/officeDocument/2006/relationships/footer" Target="footer4.xml"/><Relationship Id="rId8" Type="http://schemas.openxmlformats.org/officeDocument/2006/relationships/image" Target="media/image1.png"/><Relationship Id="rId3" Type="http://schemas.openxmlformats.org/officeDocument/2006/relationships/styles" Target="styles.xml"/></Relationships>
</file>

<file path=word/_rels/footer3.xml.rels><?xml version="1.0" encoding="UTF-8" standalone="yes"?>
<Relationships xmlns="http://schemas.openxmlformats.org/package/2006/relationships"><Relationship Id="rId1" Type="http://schemas.openxmlformats.org/officeDocument/2006/relationships/image" Target="media/image5.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A5E9644-43A7-4C64-8AFB-0EEEBA4258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75</TotalTime>
  <Pages>15</Pages>
  <Words>3101</Words>
  <Characters>17056</Characters>
  <Application>Microsoft Office Word</Application>
  <DocSecurity>0</DocSecurity>
  <Lines>142</Lines>
  <Paragraphs>40</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20117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creator>FREDY</dc:creator>
  <cp:lastModifiedBy>Maritza Mercedes Medina Tacuri</cp:lastModifiedBy>
  <cp:revision>6</cp:revision>
  <cp:lastPrinted>2023-01-12T22:49:00Z</cp:lastPrinted>
  <dcterms:created xsi:type="dcterms:W3CDTF">2023-03-14T23:46:00Z</dcterms:created>
  <dcterms:modified xsi:type="dcterms:W3CDTF">2023-03-16T15:40:00Z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ies>
</file>