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78470C04"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INFORME N° PR</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0</w:t>
      </w:r>
      <w:r w:rsidR="008458DA">
        <w:rPr>
          <w:rFonts w:asciiTheme="minorHAnsi" w:hAnsiTheme="minorHAnsi" w:cstheme="minorHAnsi"/>
          <w:sz w:val="32"/>
          <w:szCs w:val="28"/>
          <w:u w:val="single"/>
          <w:lang w:val="it-IT"/>
        </w:rPr>
        <w:t>7</w:t>
      </w:r>
      <w:r w:rsidRPr="00352B3A">
        <w:rPr>
          <w:rFonts w:asciiTheme="minorHAnsi" w:hAnsiTheme="minorHAnsi" w:cstheme="minorHAnsi"/>
          <w:sz w:val="32"/>
          <w:szCs w:val="28"/>
          <w:u w:val="single"/>
          <w:lang w:val="it-IT"/>
        </w:rPr>
        <w:t>-2023-DGN/GRT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35067CB7"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8458DA">
        <w:rPr>
          <w:rFonts w:asciiTheme="minorHAnsi" w:hAnsiTheme="minorHAnsi" w:cstheme="minorHAnsi"/>
          <w:b/>
          <w:bCs/>
          <w:sz w:val="28"/>
          <w:szCs w:val="28"/>
        </w:rPr>
        <w:t>13</w:t>
      </w:r>
      <w:r w:rsidR="00D13504" w:rsidRPr="00FB18F8">
        <w:rPr>
          <w:rFonts w:asciiTheme="minorHAnsi" w:hAnsiTheme="minorHAnsi" w:cstheme="minorHAnsi"/>
          <w:b/>
          <w:bCs/>
          <w:sz w:val="28"/>
          <w:szCs w:val="28"/>
        </w:rPr>
        <w:t>/</w:t>
      </w:r>
      <w:r w:rsidR="00C823A9">
        <w:rPr>
          <w:rFonts w:asciiTheme="minorHAnsi" w:hAnsiTheme="minorHAnsi" w:cstheme="minorHAnsi"/>
          <w:b/>
          <w:bCs/>
          <w:sz w:val="28"/>
          <w:szCs w:val="28"/>
        </w:rPr>
        <w:t>0</w:t>
      </w:r>
      <w:r w:rsidR="00277E11">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4B5DD064" w:rsidR="00E53D92" w:rsidRPr="002B3648" w:rsidRDefault="008458DA"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5E3967">
        <w:rPr>
          <w:noProof/>
          <w:lang w:val="es-PE" w:eastAsia="es-PE"/>
        </w:rPr>
        <w:drawing>
          <wp:inline distT="0" distB="0" distL="0" distR="0" wp14:anchorId="691066C4" wp14:editId="35435042">
            <wp:extent cx="5356860" cy="3406140"/>
            <wp:effectExtent l="0" t="0" r="0" b="381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8"/>
                    <a:stretch>
                      <a:fillRect/>
                    </a:stretch>
                  </pic:blipFill>
                  <pic:spPr>
                    <a:xfrm>
                      <a:off x="0" y="0"/>
                      <a:ext cx="5356860" cy="340614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5F46842"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 variante Delta del Coronavirus, que retrasó, a nivel global,</w:t>
      </w:r>
      <w:r w:rsidRPr="00470CF5">
        <w:rPr>
          <w:rFonts w:asciiTheme="minorHAnsi" w:hAnsiTheme="minorHAnsi" w:cstheme="minorHAnsi"/>
          <w:sz w:val="22"/>
          <w:szCs w:val="22"/>
        </w:rPr>
        <w:t xml:space="preserve"> la reactivación que habían experimentado los precios del petróleo </w:t>
      </w:r>
      <w:r>
        <w:rPr>
          <w:rFonts w:asciiTheme="minorHAnsi" w:hAnsiTheme="minorHAnsi" w:cstheme="minorHAnsi"/>
          <w:sz w:val="22"/>
          <w:szCs w:val="22"/>
        </w:rPr>
        <w:t>y combustibles a lo largo de</w:t>
      </w:r>
      <w:r w:rsidRPr="00470CF5">
        <w:rPr>
          <w:rFonts w:asciiTheme="minorHAnsi" w:hAnsiTheme="minorHAnsi" w:cstheme="minorHAnsi"/>
          <w:sz w:val="22"/>
          <w:szCs w:val="22"/>
        </w:rPr>
        <w:t xml:space="preserve"> la pandemia.</w:t>
      </w:r>
    </w:p>
    <w:p w14:paraId="6C50A32F"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 xml:space="preserve">  </w:t>
      </w:r>
    </w:p>
    <w:p w14:paraId="27346E1E" w14:textId="77777777" w:rsidR="008458DA" w:rsidRDefault="008458DA" w:rsidP="008458DA">
      <w:pPr>
        <w:jc w:val="both"/>
        <w:rPr>
          <w:rFonts w:asciiTheme="minorHAnsi" w:hAnsiTheme="minorHAnsi" w:cstheme="minorHAnsi"/>
          <w:sz w:val="22"/>
          <w:szCs w:val="22"/>
        </w:rPr>
      </w:pPr>
      <w:r>
        <w:rPr>
          <w:rFonts w:asciiTheme="minorHAnsi" w:hAnsiTheme="minorHAnsi" w:cstheme="minorHAnsi"/>
          <w:sz w:val="22"/>
          <w:szCs w:val="22"/>
        </w:rPr>
        <w:t>Durante el primer semestre del año 2022, los precios del petróleo crudo y productos mostraron una tendencia alcista, en medio de la alta volatilidad registrada; mientras que a partir del segundo semestre los precios se movieron dentro de una banda de menor amplitud, con una tendencia a la baja, particularmente en el caso del petróleo crudo WTI, el GLP y el Residual 3%. Asimismo, al cierre de la última semana del periodo de evaluación</w:t>
      </w:r>
      <w:r>
        <w:rPr>
          <w:rStyle w:val="Refdenotaalpie"/>
          <w:rFonts w:asciiTheme="minorHAnsi" w:hAnsiTheme="minorHAnsi" w:cstheme="minorHAnsi"/>
          <w:sz w:val="22"/>
          <w:szCs w:val="22"/>
        </w:rPr>
        <w:footnoteReference w:id="2"/>
      </w:r>
      <w:r>
        <w:rPr>
          <w:rFonts w:asciiTheme="minorHAnsi" w:hAnsiTheme="minorHAnsi" w:cstheme="minorHAnsi"/>
          <w:sz w:val="22"/>
          <w:szCs w:val="22"/>
        </w:rPr>
        <w:t>, el precio del crudo WTI se ubicó en</w:t>
      </w:r>
      <w:r w:rsidRPr="00CC0F16">
        <w:rPr>
          <w:rFonts w:asciiTheme="minorHAnsi" w:hAnsiTheme="minorHAnsi" w:cstheme="minorHAnsi"/>
          <w:sz w:val="22"/>
          <w:szCs w:val="22"/>
        </w:rPr>
        <w:t xml:space="preserve"> </w:t>
      </w:r>
      <w:r>
        <w:rPr>
          <w:rFonts w:asciiTheme="minorHAnsi" w:hAnsiTheme="minorHAnsi" w:cstheme="minorHAnsi"/>
          <w:sz w:val="22"/>
          <w:szCs w:val="22"/>
        </w:rPr>
        <w:t xml:space="preserve">78.90 </w:t>
      </w:r>
      <w:r w:rsidRPr="00CC0F16">
        <w:rPr>
          <w:rFonts w:asciiTheme="minorHAnsi" w:hAnsiTheme="minorHAnsi" w:cstheme="minorHAnsi"/>
          <w:sz w:val="22"/>
          <w:szCs w:val="22"/>
        </w:rPr>
        <w:t>US$/</w:t>
      </w:r>
      <w:proofErr w:type="spellStart"/>
      <w:r w:rsidRPr="00CC0F16">
        <w:rPr>
          <w:rFonts w:asciiTheme="minorHAnsi" w:hAnsiTheme="minorHAnsi" w:cstheme="minorHAnsi"/>
          <w:sz w:val="22"/>
          <w:szCs w:val="22"/>
        </w:rPr>
        <w:t>Bl</w:t>
      </w:r>
      <w:proofErr w:type="spellEnd"/>
      <w:r w:rsidRPr="00CC0F16">
        <w:rPr>
          <w:rFonts w:asciiTheme="minorHAnsi" w:hAnsiTheme="minorHAnsi" w:cstheme="minorHAnsi"/>
          <w:sz w:val="22"/>
          <w:szCs w:val="22"/>
        </w:rPr>
        <w:t>, las gasolinas</w:t>
      </w:r>
      <w:r>
        <w:rPr>
          <w:rFonts w:asciiTheme="minorHAnsi" w:hAnsiTheme="minorHAnsi" w:cstheme="minorHAnsi"/>
          <w:sz w:val="22"/>
          <w:szCs w:val="22"/>
        </w:rPr>
        <w:t xml:space="preserve"> registraron un precio superior a 100 US$/</w:t>
      </w:r>
      <w:proofErr w:type="spellStart"/>
      <w:r>
        <w:rPr>
          <w:rFonts w:asciiTheme="minorHAnsi" w:hAnsiTheme="minorHAnsi" w:cstheme="minorHAnsi"/>
          <w:sz w:val="22"/>
          <w:szCs w:val="22"/>
        </w:rPr>
        <w:t>Bl</w:t>
      </w:r>
      <w:proofErr w:type="spellEnd"/>
      <w:r w:rsidRPr="00CC0F16">
        <w:rPr>
          <w:rFonts w:asciiTheme="minorHAnsi" w:hAnsiTheme="minorHAnsi" w:cstheme="minorHAnsi"/>
          <w:sz w:val="22"/>
          <w:szCs w:val="22"/>
        </w:rPr>
        <w:t xml:space="preserve"> </w:t>
      </w:r>
      <w:r>
        <w:rPr>
          <w:rFonts w:asciiTheme="minorHAnsi" w:hAnsiTheme="minorHAnsi" w:cstheme="minorHAnsi"/>
          <w:sz w:val="22"/>
          <w:szCs w:val="22"/>
        </w:rPr>
        <w:t>y los destilados medios registraron</w:t>
      </w:r>
      <w:r w:rsidRPr="00CC0F16">
        <w:rPr>
          <w:rFonts w:asciiTheme="minorHAnsi" w:hAnsiTheme="minorHAnsi" w:cstheme="minorHAnsi"/>
          <w:sz w:val="22"/>
          <w:szCs w:val="22"/>
        </w:rPr>
        <w:t xml:space="preserve"> niveles </w:t>
      </w:r>
      <w:r>
        <w:rPr>
          <w:rFonts w:asciiTheme="minorHAnsi" w:hAnsiTheme="minorHAnsi" w:cstheme="minorHAnsi"/>
          <w:sz w:val="22"/>
          <w:szCs w:val="22"/>
        </w:rPr>
        <w:t>por encima de</w:t>
      </w:r>
      <w:r w:rsidRPr="00CC0F16">
        <w:rPr>
          <w:rFonts w:asciiTheme="minorHAnsi" w:hAnsiTheme="minorHAnsi" w:cstheme="minorHAnsi"/>
          <w:sz w:val="22"/>
          <w:szCs w:val="22"/>
        </w:rPr>
        <w:t xml:space="preserve"> los </w:t>
      </w:r>
      <w:r>
        <w:rPr>
          <w:rFonts w:asciiTheme="minorHAnsi" w:hAnsiTheme="minorHAnsi" w:cstheme="minorHAnsi"/>
          <w:sz w:val="22"/>
          <w:szCs w:val="22"/>
        </w:rPr>
        <w:t>115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Para el mismo periodo, el precio del GLP cerró la semana en 42.14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21714872" w14:textId="77777777" w:rsidR="008458DA" w:rsidRDefault="008458DA" w:rsidP="008458DA">
      <w:pPr>
        <w:ind w:left="284"/>
        <w:jc w:val="both"/>
        <w:rPr>
          <w:rFonts w:asciiTheme="minorHAnsi" w:hAnsiTheme="minorHAnsi" w:cstheme="minorHAnsi"/>
          <w:sz w:val="22"/>
          <w:szCs w:val="22"/>
        </w:rPr>
      </w:pPr>
    </w:p>
    <w:p w14:paraId="11F50533" w14:textId="77777777" w:rsidR="008458DA" w:rsidRDefault="008458DA" w:rsidP="008458DA">
      <w:pPr>
        <w:jc w:val="both"/>
        <w:rPr>
          <w:rFonts w:asciiTheme="minorHAnsi" w:hAnsiTheme="minorHAnsi" w:cstheme="minorHAnsi"/>
          <w:bCs/>
          <w:sz w:val="22"/>
          <w:szCs w:val="22"/>
        </w:rPr>
      </w:pPr>
      <w:r w:rsidRPr="00431A8E">
        <w:rPr>
          <w:rFonts w:asciiTheme="minorHAnsi" w:hAnsiTheme="minorHAnsi" w:cstheme="minorHAnsi"/>
          <w:sz w:val="22"/>
          <w:szCs w:val="22"/>
        </w:rPr>
        <w:t xml:space="preserve">En las semanas del </w:t>
      </w:r>
      <w:r>
        <w:rPr>
          <w:rFonts w:asciiTheme="minorHAnsi" w:hAnsiTheme="minorHAnsi" w:cstheme="minorHAnsi"/>
          <w:sz w:val="22"/>
          <w:szCs w:val="22"/>
        </w:rPr>
        <w:t>30</w:t>
      </w:r>
      <w:r w:rsidRPr="00431A8E">
        <w:rPr>
          <w:rFonts w:asciiTheme="minorHAnsi" w:hAnsiTheme="minorHAnsi" w:cstheme="minorHAnsi"/>
          <w:sz w:val="22"/>
          <w:szCs w:val="22"/>
        </w:rPr>
        <w:t>.</w:t>
      </w:r>
      <w:r>
        <w:rPr>
          <w:rFonts w:asciiTheme="minorHAnsi" w:hAnsiTheme="minorHAnsi" w:cstheme="minorHAnsi"/>
          <w:sz w:val="22"/>
          <w:szCs w:val="22"/>
        </w:rPr>
        <w:t>01</w:t>
      </w:r>
      <w:r w:rsidRPr="00431A8E">
        <w:rPr>
          <w:rFonts w:asciiTheme="minorHAnsi" w:hAnsiTheme="minorHAnsi" w:cstheme="minorHAnsi"/>
          <w:sz w:val="22"/>
          <w:szCs w:val="22"/>
        </w:rPr>
        <w:t>.202</w:t>
      </w:r>
      <w:r>
        <w:rPr>
          <w:rFonts w:asciiTheme="minorHAnsi" w:hAnsiTheme="minorHAnsi" w:cstheme="minorHAnsi"/>
          <w:sz w:val="22"/>
          <w:szCs w:val="22"/>
        </w:rPr>
        <w:t>3</w:t>
      </w:r>
      <w:r w:rsidRPr="00431A8E">
        <w:rPr>
          <w:rFonts w:asciiTheme="minorHAnsi" w:hAnsiTheme="minorHAnsi" w:cstheme="minorHAnsi"/>
          <w:sz w:val="22"/>
          <w:szCs w:val="22"/>
        </w:rPr>
        <w:t xml:space="preserve"> al </w:t>
      </w:r>
      <w:r>
        <w:rPr>
          <w:rFonts w:asciiTheme="minorHAnsi" w:hAnsiTheme="minorHAnsi" w:cstheme="minorHAnsi"/>
          <w:sz w:val="22"/>
          <w:szCs w:val="22"/>
        </w:rPr>
        <w:t>10</w:t>
      </w:r>
      <w:r w:rsidRPr="00431A8E">
        <w:rPr>
          <w:rFonts w:asciiTheme="minorHAnsi" w:hAnsiTheme="minorHAnsi" w:cstheme="minorHAnsi"/>
          <w:sz w:val="22"/>
          <w:szCs w:val="22"/>
        </w:rPr>
        <w:t>.0</w:t>
      </w:r>
      <w:r>
        <w:rPr>
          <w:rFonts w:asciiTheme="minorHAnsi" w:hAnsiTheme="minorHAnsi" w:cstheme="minorHAnsi"/>
          <w:sz w:val="22"/>
          <w:szCs w:val="22"/>
        </w:rPr>
        <w:t>2</w:t>
      </w:r>
      <w:r w:rsidRPr="00431A8E">
        <w:rPr>
          <w:rFonts w:asciiTheme="minorHAnsi" w:hAnsiTheme="minorHAnsi" w:cstheme="minorHAnsi"/>
          <w:sz w:val="22"/>
          <w:szCs w:val="22"/>
        </w:rPr>
        <w:t>.202</w:t>
      </w:r>
      <w:r>
        <w:rPr>
          <w:rFonts w:asciiTheme="minorHAnsi" w:hAnsiTheme="minorHAnsi" w:cstheme="minorHAnsi"/>
          <w:sz w:val="22"/>
          <w:szCs w:val="22"/>
        </w:rPr>
        <w:t>3</w:t>
      </w:r>
      <w:r w:rsidRPr="00431A8E">
        <w:rPr>
          <w:rFonts w:asciiTheme="minorHAnsi" w:hAnsiTheme="minorHAnsi" w:cstheme="minorHAnsi"/>
          <w:sz w:val="22"/>
          <w:szCs w:val="22"/>
        </w:rPr>
        <w:t>, los principales factores que incidieron en la variación de los precios del petróleo crudo y combustibles fueron los siguientes:</w:t>
      </w:r>
    </w:p>
    <w:p w14:paraId="7FD52973" w14:textId="77777777" w:rsidR="008458DA" w:rsidRPr="00702238" w:rsidRDefault="008458DA" w:rsidP="008458DA">
      <w:pPr>
        <w:ind w:left="709"/>
        <w:rPr>
          <w:rFonts w:asciiTheme="minorHAnsi" w:hAnsiTheme="minorHAnsi" w:cstheme="minorHAnsi"/>
          <w:bCs/>
          <w:sz w:val="22"/>
          <w:szCs w:val="22"/>
        </w:rPr>
      </w:pPr>
    </w:p>
    <w:p w14:paraId="2FA41C43" w14:textId="77777777" w:rsidR="008458DA" w:rsidRPr="00702238" w:rsidRDefault="008458DA" w:rsidP="008458DA">
      <w:pPr>
        <w:pStyle w:val="Prrafodelista"/>
        <w:numPr>
          <w:ilvl w:val="0"/>
          <w:numId w:val="13"/>
        </w:numPr>
        <w:ind w:left="426"/>
        <w:contextualSpacing/>
        <w:jc w:val="both"/>
        <w:rPr>
          <w:rFonts w:asciiTheme="minorHAnsi" w:hAnsiTheme="minorHAnsi" w:cstheme="minorHAnsi"/>
          <w:b/>
          <w:sz w:val="22"/>
          <w:szCs w:val="22"/>
        </w:rPr>
      </w:pPr>
      <w:r w:rsidRPr="00702238">
        <w:rPr>
          <w:rFonts w:asciiTheme="minorHAnsi" w:hAnsiTheme="minorHAnsi" w:cstheme="minorHAnsi"/>
          <w:b/>
          <w:sz w:val="22"/>
          <w:szCs w:val="22"/>
        </w:rPr>
        <w:t>El aumento de los inventarios de crudo, gasolinas y destilados; así como la reducción de las existencias de propano, al 03 de febrero del 2023.</w:t>
      </w:r>
    </w:p>
    <w:p w14:paraId="45DCF701" w14:textId="77777777" w:rsidR="008458DA" w:rsidRPr="00702238" w:rsidRDefault="008458DA" w:rsidP="008458DA">
      <w:pPr>
        <w:pStyle w:val="Prrafodelista"/>
        <w:ind w:left="426"/>
        <w:jc w:val="both"/>
        <w:rPr>
          <w:rFonts w:asciiTheme="minorHAnsi" w:hAnsiTheme="minorHAnsi" w:cstheme="minorHAnsi"/>
          <w:sz w:val="22"/>
          <w:szCs w:val="22"/>
        </w:rPr>
      </w:pPr>
    </w:p>
    <w:p w14:paraId="48FCB1D6"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Los inventarios de petróleo subieron 2,4 millones de barriles, registrando un total de 455,1 millones de barriles, un 4% por encima de la media de los últimos 5 años en esta época del año.</w:t>
      </w:r>
    </w:p>
    <w:p w14:paraId="213F3BBB" w14:textId="77777777" w:rsidR="008458DA" w:rsidRPr="00702238" w:rsidRDefault="008458DA" w:rsidP="008458DA">
      <w:pPr>
        <w:pStyle w:val="Prrafodelista"/>
        <w:ind w:left="426"/>
        <w:jc w:val="both"/>
        <w:rPr>
          <w:rFonts w:asciiTheme="minorHAnsi" w:hAnsiTheme="minorHAnsi" w:cstheme="minorHAnsi"/>
          <w:sz w:val="22"/>
          <w:szCs w:val="22"/>
        </w:rPr>
      </w:pPr>
    </w:p>
    <w:p w14:paraId="11E3385F"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Las existencias de gasolina se incrementaron en 5,0 millones de barriles, reportando un total de 239,6 millones de barriles; mientras los inventarios de destilados, que incluyen al diésel y al combustible para calefacción, aumentaron 2,9 millones de barriles, con un total de 120,5 millones de barriles. Finalmente, las existencias de propano se redujeron 4,31 millones de barriles, ubicándose en los 68,87 millones de barriles.</w:t>
      </w:r>
    </w:p>
    <w:p w14:paraId="54F65A45" w14:textId="77777777" w:rsidR="008458DA" w:rsidRPr="00702238" w:rsidRDefault="008458DA" w:rsidP="008458DA">
      <w:pPr>
        <w:pStyle w:val="Prrafodelista"/>
        <w:ind w:left="426"/>
        <w:jc w:val="both"/>
        <w:rPr>
          <w:rFonts w:asciiTheme="minorHAnsi" w:hAnsiTheme="minorHAnsi" w:cstheme="minorHAnsi"/>
          <w:sz w:val="22"/>
          <w:szCs w:val="22"/>
        </w:rPr>
      </w:pPr>
    </w:p>
    <w:p w14:paraId="09F1E708" w14:textId="77777777" w:rsidR="008458DA" w:rsidRPr="00702238" w:rsidRDefault="008458DA" w:rsidP="008458DA">
      <w:pPr>
        <w:pStyle w:val="Prrafodelista"/>
        <w:numPr>
          <w:ilvl w:val="0"/>
          <w:numId w:val="13"/>
        </w:numPr>
        <w:ind w:left="360"/>
        <w:contextualSpacing/>
        <w:jc w:val="both"/>
        <w:rPr>
          <w:rFonts w:asciiTheme="minorHAnsi" w:hAnsiTheme="minorHAnsi" w:cstheme="minorHAnsi"/>
          <w:b/>
          <w:bCs/>
          <w:sz w:val="22"/>
          <w:szCs w:val="22"/>
        </w:rPr>
      </w:pPr>
      <w:r w:rsidRPr="00702238">
        <w:rPr>
          <w:rFonts w:asciiTheme="minorHAnsi" w:hAnsiTheme="minorHAnsi" w:cstheme="minorHAnsi"/>
          <w:b/>
          <w:bCs/>
          <w:sz w:val="22"/>
          <w:szCs w:val="22"/>
        </w:rPr>
        <w:t xml:space="preserve">La reanudación de los flujos de crudo desde el oleoducto iraquí hacia el centro de exportaciones y de las exportaciones de petróleo azerbaiyano desde la terminal turca de </w:t>
      </w:r>
      <w:proofErr w:type="spellStart"/>
      <w:r w:rsidRPr="00702238">
        <w:rPr>
          <w:rFonts w:asciiTheme="minorHAnsi" w:hAnsiTheme="minorHAnsi" w:cstheme="minorHAnsi"/>
          <w:b/>
          <w:bCs/>
          <w:sz w:val="22"/>
          <w:szCs w:val="22"/>
        </w:rPr>
        <w:t>Ceyhan</w:t>
      </w:r>
      <w:proofErr w:type="spellEnd"/>
      <w:r w:rsidRPr="00702238">
        <w:rPr>
          <w:rFonts w:asciiTheme="minorHAnsi" w:hAnsiTheme="minorHAnsi" w:cstheme="minorHAnsi"/>
          <w:b/>
          <w:bCs/>
          <w:sz w:val="22"/>
          <w:szCs w:val="22"/>
        </w:rPr>
        <w:t>, después de las interrupciones causadas por los terremotos en Turquía y Siria.</w:t>
      </w:r>
    </w:p>
    <w:p w14:paraId="2038C8D8" w14:textId="77777777" w:rsidR="008458DA" w:rsidRPr="00702238" w:rsidRDefault="008458DA" w:rsidP="008458DA">
      <w:pPr>
        <w:pStyle w:val="Prrafodelista"/>
        <w:ind w:left="360"/>
        <w:jc w:val="both"/>
        <w:rPr>
          <w:rFonts w:asciiTheme="minorHAnsi" w:hAnsiTheme="minorHAnsi" w:cstheme="minorHAnsi"/>
          <w:sz w:val="22"/>
          <w:szCs w:val="22"/>
        </w:rPr>
      </w:pPr>
    </w:p>
    <w:p w14:paraId="3D7DBD04"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 xml:space="preserve">Los terremotos ocurridos el lunes 6 de febrero en Turquía y Siria interrumpieron los flujos de crudo procedentes de Irak y Azerbaiyán desde </w:t>
      </w:r>
      <w:proofErr w:type="spellStart"/>
      <w:r w:rsidRPr="00702238">
        <w:rPr>
          <w:rFonts w:asciiTheme="minorHAnsi" w:hAnsiTheme="minorHAnsi" w:cstheme="minorHAnsi"/>
          <w:sz w:val="22"/>
          <w:szCs w:val="22"/>
        </w:rPr>
        <w:t>Ceyhan</w:t>
      </w:r>
      <w:proofErr w:type="spellEnd"/>
      <w:r w:rsidRPr="00702238">
        <w:rPr>
          <w:rFonts w:asciiTheme="minorHAnsi" w:hAnsiTheme="minorHAnsi" w:cstheme="minorHAnsi"/>
          <w:sz w:val="22"/>
          <w:szCs w:val="22"/>
        </w:rPr>
        <w:t xml:space="preserve">. Las operaciones en la terminal turca de exportación de petróleo de 1 millón de barriles diarios (bpd) de </w:t>
      </w:r>
      <w:proofErr w:type="spellStart"/>
      <w:r w:rsidRPr="00702238">
        <w:rPr>
          <w:rFonts w:asciiTheme="minorHAnsi" w:hAnsiTheme="minorHAnsi" w:cstheme="minorHAnsi"/>
          <w:sz w:val="22"/>
          <w:szCs w:val="22"/>
        </w:rPr>
        <w:t>Ceyhan</w:t>
      </w:r>
      <w:proofErr w:type="spellEnd"/>
      <w:r w:rsidRPr="00702238">
        <w:rPr>
          <w:rFonts w:asciiTheme="minorHAnsi" w:hAnsiTheme="minorHAnsi" w:cstheme="minorHAnsi"/>
          <w:sz w:val="22"/>
          <w:szCs w:val="22"/>
        </w:rPr>
        <w:t xml:space="preserve"> se suspendieron debido a que sufrió serios daños por el fuerte terremoto que sacudió la región.</w:t>
      </w:r>
    </w:p>
    <w:p w14:paraId="1BC92549" w14:textId="77777777" w:rsidR="008458DA" w:rsidRPr="00702238" w:rsidRDefault="008458DA" w:rsidP="008458DA">
      <w:pPr>
        <w:pStyle w:val="Prrafodelista"/>
        <w:ind w:left="426"/>
        <w:jc w:val="both"/>
        <w:rPr>
          <w:rFonts w:asciiTheme="minorHAnsi" w:hAnsiTheme="minorHAnsi" w:cstheme="minorHAnsi"/>
          <w:sz w:val="22"/>
          <w:szCs w:val="22"/>
        </w:rPr>
      </w:pPr>
    </w:p>
    <w:p w14:paraId="0EA82B67"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La terminal turca es el punto de almacenamiento y carga de los oleoductos que transportan petróleo desde Azerbaiyán e Irak.</w:t>
      </w:r>
    </w:p>
    <w:p w14:paraId="6495C5A3" w14:textId="77777777" w:rsidR="008458DA" w:rsidRDefault="008458DA" w:rsidP="008458DA">
      <w:pPr>
        <w:rPr>
          <w:rFonts w:asciiTheme="minorHAnsi" w:hAnsiTheme="minorHAnsi" w:cstheme="minorHAnsi"/>
          <w:sz w:val="22"/>
          <w:szCs w:val="22"/>
        </w:rPr>
      </w:pPr>
      <w:r>
        <w:rPr>
          <w:rFonts w:asciiTheme="minorHAnsi" w:hAnsiTheme="minorHAnsi" w:cstheme="minorHAnsi"/>
          <w:sz w:val="22"/>
          <w:szCs w:val="22"/>
        </w:rPr>
        <w:br w:type="page"/>
      </w:r>
    </w:p>
    <w:p w14:paraId="0C2B8936" w14:textId="77777777" w:rsidR="008458DA" w:rsidRPr="00702238" w:rsidRDefault="008458DA" w:rsidP="008458DA">
      <w:pPr>
        <w:pStyle w:val="Prrafodelista"/>
        <w:numPr>
          <w:ilvl w:val="0"/>
          <w:numId w:val="13"/>
        </w:numPr>
        <w:ind w:left="426"/>
        <w:contextualSpacing/>
        <w:jc w:val="both"/>
        <w:rPr>
          <w:rFonts w:asciiTheme="minorHAnsi" w:hAnsiTheme="minorHAnsi" w:cstheme="minorHAnsi"/>
          <w:b/>
          <w:bCs/>
          <w:sz w:val="22"/>
          <w:szCs w:val="22"/>
        </w:rPr>
      </w:pPr>
      <w:r w:rsidRPr="00702238">
        <w:rPr>
          <w:rFonts w:asciiTheme="minorHAnsi" w:hAnsiTheme="minorHAnsi" w:cstheme="minorHAnsi"/>
          <w:b/>
          <w:bCs/>
          <w:sz w:val="22"/>
          <w:szCs w:val="22"/>
        </w:rPr>
        <w:lastRenderedPageBreak/>
        <w:t>Las preocupaciones por el alza de las tasas de interés en Estados Unidos, a raíz de la publicación de los sólidos datos de empleo en dicho país y los resultados de un destacado informe sobre inflación que podría obligar a la FED a endurecer su política monetaria de forma mucho más agresiva</w:t>
      </w:r>
    </w:p>
    <w:p w14:paraId="7D3B9735" w14:textId="77777777" w:rsidR="008458DA" w:rsidRPr="00702238" w:rsidRDefault="008458DA" w:rsidP="008458DA">
      <w:pPr>
        <w:jc w:val="both"/>
        <w:rPr>
          <w:rFonts w:asciiTheme="minorHAnsi" w:hAnsiTheme="minorHAnsi" w:cstheme="minorHAnsi"/>
          <w:b/>
          <w:bCs/>
          <w:sz w:val="22"/>
          <w:szCs w:val="22"/>
        </w:rPr>
      </w:pPr>
    </w:p>
    <w:p w14:paraId="7224CE1A" w14:textId="77777777" w:rsidR="008458DA" w:rsidRPr="00702238" w:rsidRDefault="008458DA" w:rsidP="008458DA">
      <w:pPr>
        <w:ind w:left="426"/>
        <w:jc w:val="both"/>
        <w:rPr>
          <w:rFonts w:asciiTheme="minorHAnsi" w:hAnsiTheme="minorHAnsi" w:cstheme="minorHAnsi"/>
          <w:sz w:val="22"/>
          <w:szCs w:val="22"/>
        </w:rPr>
      </w:pPr>
      <w:r w:rsidRPr="00702238">
        <w:rPr>
          <w:rFonts w:asciiTheme="minorHAnsi" w:hAnsiTheme="minorHAnsi" w:cstheme="minorHAnsi"/>
          <w:sz w:val="22"/>
          <w:szCs w:val="22"/>
        </w:rPr>
        <w:t>La FED ha estado elevando las tasas para frenar la inflación, lo que ha suscitado la preocupación de que esta medida ralentice la actividad económica y la demanda de petróleo. Funcionarios de la Reserva Federal de Estados Unidos manifestaron que se prevén más subidas de las tasas de interés.</w:t>
      </w:r>
    </w:p>
    <w:p w14:paraId="0903B369" w14:textId="77777777" w:rsidR="008458DA" w:rsidRPr="00702238" w:rsidRDefault="008458DA" w:rsidP="008458DA">
      <w:pPr>
        <w:pStyle w:val="Prrafodelista"/>
        <w:ind w:left="426"/>
        <w:jc w:val="both"/>
        <w:rPr>
          <w:rFonts w:asciiTheme="minorHAnsi" w:hAnsiTheme="minorHAnsi" w:cstheme="minorHAnsi"/>
          <w:sz w:val="22"/>
          <w:szCs w:val="22"/>
        </w:rPr>
      </w:pPr>
    </w:p>
    <w:p w14:paraId="6E066F46" w14:textId="77777777" w:rsidR="008458DA" w:rsidRPr="00702238" w:rsidRDefault="008458DA" w:rsidP="008458DA">
      <w:pPr>
        <w:pStyle w:val="NormalWeb"/>
        <w:shd w:val="clear" w:color="auto" w:fill="FFFFFF"/>
        <w:spacing w:before="0" w:beforeAutospacing="0" w:after="180" w:afterAutospacing="0"/>
        <w:ind w:left="426"/>
        <w:jc w:val="both"/>
        <w:rPr>
          <w:rFonts w:asciiTheme="minorHAnsi" w:eastAsia="Calibri" w:hAnsiTheme="minorHAnsi" w:cstheme="minorHAnsi"/>
          <w:sz w:val="22"/>
          <w:szCs w:val="22"/>
          <w:lang w:eastAsia="en-US"/>
        </w:rPr>
      </w:pPr>
      <w:r w:rsidRPr="00702238">
        <w:rPr>
          <w:rFonts w:asciiTheme="minorHAnsi" w:eastAsia="Calibri" w:hAnsiTheme="minorHAnsi" w:cstheme="minorHAnsi"/>
          <w:sz w:val="22"/>
          <w:szCs w:val="22"/>
          <w:lang w:eastAsia="en-US"/>
        </w:rPr>
        <w:t xml:space="preserve">Por otro lado, el crecimiento del empleo en Estados Unidos se aceleró significativamente en enero 2023, en el contexto de un mercado laboral resistente, no obstante, se espera que una mayor moderación de las ganancias salariales tranquilice a la Reserva Federal en su lucha frente la inflación. </w:t>
      </w:r>
    </w:p>
    <w:p w14:paraId="07E7D01C" w14:textId="77777777" w:rsidR="008458DA" w:rsidRPr="00702238" w:rsidRDefault="008458DA" w:rsidP="008458DA">
      <w:pPr>
        <w:pStyle w:val="NormalWeb"/>
        <w:shd w:val="clear" w:color="auto" w:fill="FFFFFF"/>
        <w:spacing w:before="0" w:beforeAutospacing="0" w:after="180" w:afterAutospacing="0"/>
        <w:ind w:left="426"/>
        <w:jc w:val="both"/>
        <w:rPr>
          <w:rFonts w:asciiTheme="minorHAnsi" w:eastAsia="Calibri" w:hAnsiTheme="minorHAnsi" w:cstheme="minorHAnsi"/>
          <w:sz w:val="22"/>
          <w:szCs w:val="22"/>
          <w:lang w:eastAsia="en-US"/>
        </w:rPr>
      </w:pPr>
      <w:r w:rsidRPr="00702238">
        <w:rPr>
          <w:rFonts w:asciiTheme="minorHAnsi" w:eastAsia="Calibri" w:hAnsiTheme="minorHAnsi" w:cstheme="minorHAnsi"/>
          <w:sz w:val="22"/>
          <w:szCs w:val="22"/>
          <w:lang w:eastAsia="en-US"/>
        </w:rPr>
        <w:t xml:space="preserve">El Banco Central estadounidense redujo los aumentos de sus tasas de interés respecto a las del año pasado, sin embargo, los responsables políticos también previeron que serían necesarios “continuos aumentos” de los costos de endeudamiento. En este sentido, </w:t>
      </w:r>
      <w:r w:rsidRPr="00702238">
        <w:rPr>
          <w:rFonts w:asciiTheme="minorHAnsi" w:eastAsia="Calibri" w:hAnsiTheme="minorHAnsi" w:cstheme="minorHAnsi"/>
          <w:sz w:val="22"/>
          <w:szCs w:val="22"/>
          <w:lang w:eastAsia="en-US"/>
        </w:rPr>
        <w:br/>
        <w:t>es probable que las subidas de tasas de interés en 2023 pesen sobre las economías estadounidense y europea, aumentando los temores a una ralentización económica y a una reducción de la demanda de combustibles.</w:t>
      </w:r>
    </w:p>
    <w:p w14:paraId="6327896D" w14:textId="77777777" w:rsidR="008458DA" w:rsidRPr="00702238" w:rsidRDefault="008458DA" w:rsidP="008458DA">
      <w:pPr>
        <w:pStyle w:val="Prrafodelista"/>
        <w:ind w:left="426"/>
        <w:jc w:val="both"/>
        <w:rPr>
          <w:rFonts w:asciiTheme="minorHAnsi" w:hAnsiTheme="minorHAnsi" w:cstheme="minorHAnsi"/>
          <w:sz w:val="22"/>
          <w:szCs w:val="22"/>
        </w:rPr>
      </w:pPr>
    </w:p>
    <w:p w14:paraId="7ED010D5" w14:textId="77777777" w:rsidR="008458DA" w:rsidRPr="00702238" w:rsidRDefault="008458DA" w:rsidP="008458DA">
      <w:pPr>
        <w:pStyle w:val="Prrafodelista"/>
        <w:numPr>
          <w:ilvl w:val="0"/>
          <w:numId w:val="13"/>
        </w:numPr>
        <w:ind w:left="426"/>
        <w:contextualSpacing/>
        <w:jc w:val="both"/>
        <w:rPr>
          <w:rFonts w:asciiTheme="minorHAnsi" w:hAnsiTheme="minorHAnsi" w:cstheme="minorHAnsi"/>
          <w:b/>
          <w:sz w:val="22"/>
          <w:szCs w:val="22"/>
        </w:rPr>
      </w:pPr>
      <w:r>
        <w:rPr>
          <w:rFonts w:asciiTheme="minorHAnsi" w:hAnsiTheme="minorHAnsi" w:cstheme="minorHAnsi"/>
          <w:b/>
          <w:sz w:val="22"/>
          <w:szCs w:val="22"/>
        </w:rPr>
        <w:t>El a</w:t>
      </w:r>
      <w:r w:rsidRPr="00702238">
        <w:rPr>
          <w:rFonts w:asciiTheme="minorHAnsi" w:hAnsiTheme="minorHAnsi" w:cstheme="minorHAnsi"/>
          <w:b/>
          <w:sz w:val="22"/>
          <w:szCs w:val="22"/>
        </w:rPr>
        <w:t>umento de la oferta rusa vía marítima a pesar de las sanciones de Occidente.</w:t>
      </w:r>
    </w:p>
    <w:p w14:paraId="0F22AD59" w14:textId="77777777" w:rsidR="008458DA" w:rsidRPr="00702238" w:rsidRDefault="008458DA" w:rsidP="008458DA">
      <w:pPr>
        <w:pStyle w:val="Prrafodelista"/>
        <w:ind w:left="426"/>
        <w:jc w:val="both"/>
        <w:rPr>
          <w:rFonts w:asciiTheme="minorHAnsi" w:hAnsiTheme="minorHAnsi" w:cstheme="minorHAnsi"/>
          <w:b/>
          <w:bCs/>
          <w:sz w:val="22"/>
          <w:szCs w:val="22"/>
        </w:rPr>
      </w:pPr>
    </w:p>
    <w:p w14:paraId="4060ED73"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 xml:space="preserve">Durante las últimas semanas, el mercado se vio presionado por una fuerte oferta rusa a pesar de la prohibición de la Unión Europea y el tope de precios impuesto por el G7. Los precios de los crudos Urales registraron </w:t>
      </w:r>
      <w:r>
        <w:rPr>
          <w:rFonts w:asciiTheme="minorHAnsi" w:hAnsiTheme="minorHAnsi" w:cstheme="minorHAnsi"/>
          <w:sz w:val="22"/>
          <w:szCs w:val="22"/>
        </w:rPr>
        <w:t xml:space="preserve">en la primera semana del periodo de evaluación </w:t>
      </w:r>
      <w:r w:rsidRPr="00702238">
        <w:rPr>
          <w:rFonts w:asciiTheme="minorHAnsi" w:hAnsiTheme="minorHAnsi" w:cstheme="minorHAnsi"/>
          <w:sz w:val="22"/>
          <w:szCs w:val="22"/>
        </w:rPr>
        <w:t xml:space="preserve">su primera pérdida semanal, </w:t>
      </w:r>
      <w:r>
        <w:rPr>
          <w:rFonts w:asciiTheme="minorHAnsi" w:hAnsiTheme="minorHAnsi" w:cstheme="minorHAnsi"/>
          <w:sz w:val="22"/>
          <w:szCs w:val="22"/>
        </w:rPr>
        <w:t>debido a que</w:t>
      </w:r>
      <w:r w:rsidRPr="00702238">
        <w:rPr>
          <w:rFonts w:asciiTheme="minorHAnsi" w:hAnsiTheme="minorHAnsi" w:cstheme="minorHAnsi"/>
          <w:sz w:val="22"/>
          <w:szCs w:val="22"/>
        </w:rPr>
        <w:t xml:space="preserve"> Rusia aumentó sus exportaciones de petróleo en alta mar en 480 000 barriles por día (bpd) respecto a la semana anterior (+16%) llegando a 3,6 millones de bpd, según estimaciones de analistas de </w:t>
      </w:r>
      <w:proofErr w:type="spellStart"/>
      <w:r w:rsidRPr="00702238">
        <w:rPr>
          <w:rFonts w:asciiTheme="minorHAnsi" w:hAnsiTheme="minorHAnsi" w:cstheme="minorHAnsi"/>
          <w:sz w:val="22"/>
          <w:szCs w:val="22"/>
        </w:rPr>
        <w:t>Bloomberg</w:t>
      </w:r>
      <w:proofErr w:type="spellEnd"/>
      <w:r w:rsidRPr="00702238">
        <w:rPr>
          <w:rFonts w:asciiTheme="minorHAnsi" w:hAnsiTheme="minorHAnsi" w:cstheme="minorHAnsi"/>
          <w:sz w:val="22"/>
          <w:szCs w:val="22"/>
        </w:rPr>
        <w:t>, basadas en datos de tráfico de embarcaciones.</w:t>
      </w:r>
    </w:p>
    <w:p w14:paraId="61821E81" w14:textId="77777777" w:rsidR="008458DA" w:rsidRPr="00702238" w:rsidRDefault="008458DA" w:rsidP="008458DA">
      <w:pPr>
        <w:pStyle w:val="Prrafodelista"/>
        <w:ind w:left="426"/>
        <w:jc w:val="both"/>
        <w:rPr>
          <w:rFonts w:asciiTheme="minorHAnsi" w:hAnsiTheme="minorHAnsi" w:cstheme="minorHAnsi"/>
          <w:sz w:val="22"/>
          <w:szCs w:val="22"/>
        </w:rPr>
      </w:pPr>
    </w:p>
    <w:p w14:paraId="57D930E0" w14:textId="77777777" w:rsidR="008458DA" w:rsidRPr="00702238" w:rsidRDefault="008458DA" w:rsidP="008458DA">
      <w:pPr>
        <w:pStyle w:val="Prrafodelista"/>
        <w:ind w:left="426"/>
        <w:jc w:val="both"/>
        <w:rPr>
          <w:rFonts w:asciiTheme="minorHAnsi" w:hAnsiTheme="minorHAnsi" w:cstheme="minorHAnsi"/>
          <w:sz w:val="22"/>
          <w:szCs w:val="22"/>
        </w:rPr>
      </w:pPr>
      <w:r>
        <w:rPr>
          <w:rFonts w:asciiTheme="minorHAnsi" w:hAnsiTheme="minorHAnsi" w:cstheme="minorHAnsi"/>
          <w:sz w:val="22"/>
          <w:szCs w:val="22"/>
        </w:rPr>
        <w:t xml:space="preserve">Actualmente, </w:t>
      </w:r>
      <w:r w:rsidRPr="00702238">
        <w:rPr>
          <w:rFonts w:asciiTheme="minorHAnsi" w:hAnsiTheme="minorHAnsi" w:cstheme="minorHAnsi"/>
          <w:sz w:val="22"/>
          <w:szCs w:val="22"/>
        </w:rPr>
        <w:t>China, India y Turquía son los tres mayores compradores de petróleo ruso. Asimismo, se desconocen los compradores de una parte importante de los suministros, dado que el número de petroleros que no muestran su destino final también está creciendo a medida que el comercio de barriles rusos se dinamiza.</w:t>
      </w:r>
    </w:p>
    <w:p w14:paraId="4234DE70" w14:textId="77777777" w:rsidR="008458DA" w:rsidRPr="00702238" w:rsidRDefault="008458DA" w:rsidP="008458DA">
      <w:pPr>
        <w:pStyle w:val="Prrafodelista"/>
        <w:ind w:left="426"/>
        <w:jc w:val="both"/>
        <w:rPr>
          <w:rFonts w:asciiTheme="minorHAnsi" w:hAnsiTheme="minorHAnsi" w:cstheme="minorHAnsi"/>
          <w:sz w:val="22"/>
          <w:szCs w:val="22"/>
        </w:rPr>
      </w:pPr>
    </w:p>
    <w:p w14:paraId="01463918" w14:textId="77777777" w:rsidR="008458DA" w:rsidRPr="00702238" w:rsidRDefault="008458DA" w:rsidP="008458DA">
      <w:pPr>
        <w:pStyle w:val="Prrafodelista"/>
        <w:numPr>
          <w:ilvl w:val="0"/>
          <w:numId w:val="13"/>
        </w:numPr>
        <w:ind w:left="360"/>
        <w:contextualSpacing/>
        <w:jc w:val="both"/>
        <w:rPr>
          <w:rFonts w:asciiTheme="minorHAnsi" w:hAnsiTheme="minorHAnsi" w:cstheme="minorHAnsi"/>
          <w:b/>
          <w:bCs/>
          <w:sz w:val="22"/>
          <w:szCs w:val="22"/>
        </w:rPr>
      </w:pPr>
      <w:r w:rsidRPr="00702238">
        <w:rPr>
          <w:rFonts w:asciiTheme="minorHAnsi" w:hAnsiTheme="minorHAnsi" w:cstheme="minorHAnsi"/>
          <w:b/>
          <w:bCs/>
          <w:sz w:val="22"/>
          <w:szCs w:val="22"/>
        </w:rPr>
        <w:t xml:space="preserve">Las expectativas de crecimiento de la demanda en China, a raíz de la reapertura de sus fronteras y la relajación de las restricciones para combatir el COVID </w:t>
      </w:r>
    </w:p>
    <w:p w14:paraId="7E090F5A" w14:textId="77777777" w:rsidR="008458DA" w:rsidRPr="00702238" w:rsidRDefault="008458DA" w:rsidP="008458DA">
      <w:pPr>
        <w:pStyle w:val="Prrafodelista"/>
        <w:ind w:left="426"/>
        <w:jc w:val="both"/>
        <w:rPr>
          <w:rFonts w:asciiTheme="minorHAnsi" w:hAnsiTheme="minorHAnsi" w:cstheme="minorHAnsi"/>
          <w:b/>
          <w:bCs/>
          <w:sz w:val="22"/>
          <w:szCs w:val="22"/>
        </w:rPr>
      </w:pPr>
    </w:p>
    <w:p w14:paraId="3C9EF465"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Arabia Saudita, primer exportador mundial de petróleo, subió por primera vez en seis meses los precios de su crudo estrella para los compradores asiáticos, ante las expectativas de recuperación de la demanda, sobre todo de China.</w:t>
      </w:r>
    </w:p>
    <w:p w14:paraId="3912A015" w14:textId="77777777" w:rsidR="008458DA" w:rsidRPr="00702238" w:rsidRDefault="008458DA" w:rsidP="008458DA">
      <w:pPr>
        <w:pStyle w:val="Prrafodelista"/>
        <w:ind w:left="426"/>
        <w:jc w:val="both"/>
        <w:rPr>
          <w:rFonts w:asciiTheme="minorHAnsi" w:hAnsiTheme="minorHAnsi" w:cstheme="minorHAnsi"/>
          <w:sz w:val="22"/>
          <w:szCs w:val="22"/>
        </w:rPr>
      </w:pPr>
    </w:p>
    <w:p w14:paraId="1A9413DB"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Analistas del mercado señalaron un fuerte aumento del tráfico en las 15 ciudades más grandes de China</w:t>
      </w:r>
      <w:r>
        <w:rPr>
          <w:rFonts w:asciiTheme="minorHAnsi" w:hAnsiTheme="minorHAnsi" w:cstheme="minorHAnsi"/>
          <w:sz w:val="22"/>
          <w:szCs w:val="22"/>
        </w:rPr>
        <w:t>,</w:t>
      </w:r>
      <w:r w:rsidRPr="00702238">
        <w:rPr>
          <w:rFonts w:asciiTheme="minorHAnsi" w:hAnsiTheme="minorHAnsi" w:cstheme="minorHAnsi"/>
          <w:sz w:val="22"/>
          <w:szCs w:val="22"/>
        </w:rPr>
        <w:t xml:space="preserve"> </w:t>
      </w:r>
      <w:r>
        <w:rPr>
          <w:rFonts w:asciiTheme="minorHAnsi" w:hAnsiTheme="minorHAnsi" w:cstheme="minorHAnsi"/>
          <w:sz w:val="22"/>
          <w:szCs w:val="22"/>
        </w:rPr>
        <w:t>al iniciarse</w:t>
      </w:r>
      <w:r w:rsidRPr="00702238">
        <w:rPr>
          <w:rFonts w:asciiTheme="minorHAnsi" w:hAnsiTheme="minorHAnsi" w:cstheme="minorHAnsi"/>
          <w:sz w:val="22"/>
          <w:szCs w:val="22"/>
        </w:rPr>
        <w:t xml:space="preserve"> las vacaciones del Año Nuevo Lunar.</w:t>
      </w:r>
    </w:p>
    <w:p w14:paraId="3DCA8450" w14:textId="77777777" w:rsidR="008458DA" w:rsidRPr="00702238" w:rsidRDefault="008458DA" w:rsidP="008458DA">
      <w:pPr>
        <w:pStyle w:val="Prrafodelista"/>
        <w:ind w:left="426"/>
        <w:jc w:val="both"/>
        <w:rPr>
          <w:rFonts w:asciiTheme="minorHAnsi" w:hAnsiTheme="minorHAnsi" w:cstheme="minorHAnsi"/>
          <w:b/>
          <w:bCs/>
          <w:sz w:val="22"/>
          <w:szCs w:val="22"/>
        </w:rPr>
      </w:pPr>
    </w:p>
    <w:p w14:paraId="1D42BD0B"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lastRenderedPageBreak/>
        <w:t>Por su parte, la Agencia Internacional de la Energía (AIE) estima que el levantamiento de las restricciones por el COVID en China impulsará la demanda mundial de petróleo en el año 2023 a un nuevo máximo histórico, mientras que los precios máximos impuestos a los productos de Rusia como sanción, podrían mermar la oferta. Asimismo, la Agencia espera que la mitad del crecimiento de la demanda petrolera mundial del año 2023 proceda de China.</w:t>
      </w:r>
    </w:p>
    <w:p w14:paraId="245B0984" w14:textId="77777777" w:rsidR="008458DA" w:rsidRPr="00702238" w:rsidRDefault="008458DA" w:rsidP="008458DA">
      <w:pPr>
        <w:pStyle w:val="Prrafodelista"/>
        <w:ind w:left="426"/>
        <w:jc w:val="both"/>
        <w:rPr>
          <w:rFonts w:asciiTheme="minorHAnsi" w:hAnsiTheme="minorHAnsi" w:cstheme="minorHAnsi"/>
          <w:sz w:val="22"/>
          <w:szCs w:val="22"/>
        </w:rPr>
      </w:pPr>
    </w:p>
    <w:p w14:paraId="5388E179"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De otro lado, pese a la incertidumbre, la OPEP espera que la demanda en China se eleve un 3,48%, hasta los 15,27 millones de barriles por día, con lo que China se consolidaría como el segundo país que más consume crudo, después de Estados Unidos.</w:t>
      </w:r>
    </w:p>
    <w:p w14:paraId="453EB49A" w14:textId="77777777" w:rsidR="008458DA" w:rsidRPr="00702238" w:rsidRDefault="008458DA" w:rsidP="008458DA">
      <w:pPr>
        <w:pStyle w:val="Prrafodelista"/>
        <w:ind w:left="426"/>
        <w:jc w:val="both"/>
        <w:rPr>
          <w:rFonts w:asciiTheme="minorHAnsi" w:hAnsiTheme="minorHAnsi" w:cstheme="minorHAnsi"/>
          <w:sz w:val="22"/>
          <w:szCs w:val="22"/>
        </w:rPr>
      </w:pPr>
    </w:p>
    <w:p w14:paraId="11A34307" w14:textId="77777777" w:rsidR="008458DA" w:rsidRPr="00702238" w:rsidRDefault="008458DA" w:rsidP="008458DA">
      <w:pPr>
        <w:pStyle w:val="Prrafodelista"/>
        <w:numPr>
          <w:ilvl w:val="0"/>
          <w:numId w:val="13"/>
        </w:numPr>
        <w:ind w:left="426"/>
        <w:contextualSpacing/>
        <w:jc w:val="both"/>
        <w:rPr>
          <w:rFonts w:asciiTheme="minorHAnsi" w:hAnsiTheme="minorHAnsi" w:cstheme="minorHAnsi"/>
          <w:b/>
          <w:bCs/>
          <w:sz w:val="22"/>
          <w:szCs w:val="22"/>
        </w:rPr>
      </w:pPr>
      <w:r w:rsidRPr="00702238">
        <w:rPr>
          <w:rFonts w:asciiTheme="minorHAnsi" w:hAnsiTheme="minorHAnsi" w:cstheme="minorHAnsi"/>
          <w:b/>
          <w:bCs/>
          <w:sz w:val="22"/>
          <w:szCs w:val="22"/>
        </w:rPr>
        <w:t>La visión optimista de la OPEP sobre el crecimiento de la demanda petrolera en 2023 a un nivel de 101,8 millones de barriles por día.</w:t>
      </w:r>
    </w:p>
    <w:p w14:paraId="3F4F172B" w14:textId="77777777" w:rsidR="008458DA" w:rsidRPr="00702238" w:rsidRDefault="008458DA" w:rsidP="008458DA">
      <w:pPr>
        <w:pStyle w:val="Prrafodelista"/>
        <w:ind w:left="426"/>
        <w:jc w:val="both"/>
        <w:rPr>
          <w:rFonts w:asciiTheme="minorHAnsi" w:hAnsiTheme="minorHAnsi" w:cstheme="minorHAnsi"/>
          <w:b/>
          <w:bCs/>
          <w:sz w:val="22"/>
          <w:szCs w:val="22"/>
        </w:rPr>
      </w:pPr>
    </w:p>
    <w:p w14:paraId="5838AC3A"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En el informe mensual de la OPEP, de enero 2023, se calcula que el mundo consumirá este 2023 unos 101,8 millones de barriles de crudo al día (</w:t>
      </w:r>
      <w:proofErr w:type="spellStart"/>
      <w:r w:rsidRPr="00702238">
        <w:rPr>
          <w:rFonts w:asciiTheme="minorHAnsi" w:hAnsiTheme="minorHAnsi" w:cstheme="minorHAnsi"/>
          <w:sz w:val="22"/>
          <w:szCs w:val="22"/>
        </w:rPr>
        <w:t>mbd</w:t>
      </w:r>
      <w:proofErr w:type="spellEnd"/>
      <w:r w:rsidRPr="00702238">
        <w:rPr>
          <w:rFonts w:asciiTheme="minorHAnsi" w:hAnsiTheme="minorHAnsi" w:cstheme="minorHAnsi"/>
          <w:sz w:val="22"/>
          <w:szCs w:val="22"/>
        </w:rPr>
        <w:t>), sin cambios desde sus estimaciones de diciembre 2022, bajo la advertencia de que esta previsión de la demanda está sujeta a muchas incertidumbres, como la evolución económica mundial, los cambios en las políticas para combatir el COVID y las tensiones geopolíticas en curso. Este nivel de demanda implica una subida del 2,2% respecto a la demanda del año 2022, siendo China e India los países que más influirán en el mencionado aumento.</w:t>
      </w:r>
    </w:p>
    <w:p w14:paraId="11342496" w14:textId="77777777" w:rsidR="008458DA" w:rsidRPr="00702238" w:rsidRDefault="008458DA" w:rsidP="008458DA">
      <w:pPr>
        <w:pStyle w:val="Prrafodelista"/>
        <w:ind w:left="426"/>
        <w:jc w:val="both"/>
        <w:rPr>
          <w:rFonts w:asciiTheme="minorHAnsi" w:hAnsiTheme="minorHAnsi" w:cstheme="minorHAnsi"/>
          <w:sz w:val="22"/>
          <w:szCs w:val="22"/>
        </w:rPr>
      </w:pPr>
    </w:p>
    <w:p w14:paraId="186C371B"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Según la previsión de la OPEP, entre los países industrializados de Europa, América y Asia, integrados en la Organización para la Cooperación y Desarrollo Económico (OCDE), la subida de la demanda será en 2023, del 0,72%, menos de un tercio del aumento experimentado el año pasado. Respecto a Europa, el informe advierte que la inflación eleva el riesgo de una recesión y que la demanda de crudo podría estancarse en los dos primeros trimestres del 2023.</w:t>
      </w:r>
    </w:p>
    <w:p w14:paraId="0A8ACB85" w14:textId="77777777" w:rsidR="008458DA" w:rsidRPr="00702238" w:rsidRDefault="008458DA" w:rsidP="008458DA">
      <w:pPr>
        <w:pStyle w:val="Prrafodelista"/>
        <w:ind w:left="426"/>
        <w:jc w:val="both"/>
        <w:rPr>
          <w:rFonts w:asciiTheme="minorHAnsi" w:hAnsiTheme="minorHAnsi" w:cstheme="minorHAnsi"/>
          <w:sz w:val="22"/>
          <w:szCs w:val="22"/>
        </w:rPr>
      </w:pPr>
    </w:p>
    <w:p w14:paraId="09AE7673"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En Estados Unidos, el aumento de la demanda en el primer y segundo trimestres del 2023 estará impulsada principalmente por el diésel y el combustible de aviación. Para América Latina, la OPEP espera una ralentización del crecimiento económico.</w:t>
      </w:r>
    </w:p>
    <w:p w14:paraId="0502D80C" w14:textId="77777777" w:rsidR="008458DA" w:rsidRPr="00702238" w:rsidRDefault="008458DA" w:rsidP="008458DA">
      <w:pPr>
        <w:pStyle w:val="Prrafodelista"/>
        <w:ind w:left="426"/>
        <w:jc w:val="both"/>
        <w:rPr>
          <w:rFonts w:asciiTheme="minorHAnsi" w:hAnsiTheme="minorHAnsi" w:cstheme="minorHAnsi"/>
          <w:sz w:val="22"/>
          <w:szCs w:val="22"/>
        </w:rPr>
      </w:pPr>
    </w:p>
    <w:p w14:paraId="5926F5A9" w14:textId="77777777" w:rsidR="008458DA" w:rsidRPr="00702238" w:rsidRDefault="008458DA" w:rsidP="008458DA">
      <w:pPr>
        <w:pStyle w:val="Prrafodelista"/>
        <w:ind w:left="426"/>
        <w:jc w:val="both"/>
        <w:rPr>
          <w:rFonts w:asciiTheme="minorHAnsi" w:hAnsiTheme="minorHAnsi" w:cstheme="minorHAnsi"/>
          <w:sz w:val="22"/>
          <w:szCs w:val="22"/>
        </w:rPr>
      </w:pPr>
      <w:r w:rsidRPr="00702238">
        <w:rPr>
          <w:rFonts w:asciiTheme="minorHAnsi" w:hAnsiTheme="minorHAnsi" w:cstheme="minorHAnsi"/>
          <w:sz w:val="22"/>
          <w:szCs w:val="22"/>
        </w:rPr>
        <w:t xml:space="preserve">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  </w:t>
      </w:r>
    </w:p>
    <w:p w14:paraId="73A9FEEC" w14:textId="2D0862D3" w:rsidR="00277E11" w:rsidRDefault="00277E11" w:rsidP="00277E11">
      <w:pPr>
        <w:pStyle w:val="Prrafodelista"/>
        <w:ind w:left="426"/>
        <w:jc w:val="both"/>
        <w:rPr>
          <w:rFonts w:asciiTheme="minorHAnsi" w:hAnsiTheme="minorHAnsi" w:cstheme="minorHAnsi"/>
          <w:sz w:val="22"/>
          <w:szCs w:val="22"/>
        </w:rPr>
      </w:pPr>
    </w:p>
    <w:p w14:paraId="35C40F58" w14:textId="77777777" w:rsidR="00277E11" w:rsidRDefault="00277E11" w:rsidP="00277E11">
      <w:pPr>
        <w:pStyle w:val="Prrafodelista"/>
        <w:ind w:left="426"/>
        <w:jc w:val="both"/>
        <w:rPr>
          <w:rFonts w:asciiTheme="minorHAnsi" w:hAnsiTheme="minorHAnsi" w:cstheme="minorHAnsi"/>
          <w:sz w:val="22"/>
          <w:szCs w:val="22"/>
        </w:rPr>
      </w:pPr>
    </w:p>
    <w:p w14:paraId="2369B158" w14:textId="5389E712" w:rsidR="00973DE9" w:rsidRDefault="00973DE9" w:rsidP="00973DE9">
      <w:pPr>
        <w:ind w:left="426"/>
        <w:jc w:val="both"/>
        <w:rPr>
          <w:rFonts w:asciiTheme="minorHAnsi" w:hAnsiTheme="minorHAnsi" w:cstheme="minorHAnsi"/>
          <w:sz w:val="22"/>
          <w:szCs w:val="22"/>
        </w:rPr>
      </w:pPr>
    </w:p>
    <w:p w14:paraId="6C727E6B" w14:textId="46F4799F" w:rsidR="008458DA" w:rsidRDefault="008458DA" w:rsidP="00973DE9">
      <w:pPr>
        <w:ind w:left="426"/>
        <w:jc w:val="both"/>
        <w:rPr>
          <w:rFonts w:asciiTheme="minorHAnsi" w:hAnsiTheme="minorHAnsi" w:cstheme="minorHAnsi"/>
          <w:sz w:val="22"/>
          <w:szCs w:val="22"/>
        </w:rPr>
      </w:pPr>
    </w:p>
    <w:p w14:paraId="2BEA90B2" w14:textId="00F86ABA" w:rsidR="008458DA" w:rsidRDefault="008458DA" w:rsidP="00973DE9">
      <w:pPr>
        <w:ind w:left="426"/>
        <w:jc w:val="both"/>
        <w:rPr>
          <w:rFonts w:asciiTheme="minorHAnsi" w:hAnsiTheme="minorHAnsi" w:cstheme="minorHAnsi"/>
          <w:sz w:val="22"/>
          <w:szCs w:val="22"/>
        </w:rPr>
      </w:pPr>
    </w:p>
    <w:p w14:paraId="55231F89" w14:textId="6D00294F" w:rsidR="008458DA" w:rsidRDefault="008458DA" w:rsidP="00973DE9">
      <w:pPr>
        <w:ind w:left="426"/>
        <w:jc w:val="both"/>
        <w:rPr>
          <w:rFonts w:asciiTheme="minorHAnsi" w:hAnsiTheme="minorHAnsi" w:cstheme="minorHAnsi"/>
          <w:sz w:val="22"/>
          <w:szCs w:val="22"/>
        </w:rPr>
      </w:pPr>
    </w:p>
    <w:p w14:paraId="3A3DA44D" w14:textId="0450F607" w:rsidR="008458DA" w:rsidRDefault="008458DA" w:rsidP="00973DE9">
      <w:pPr>
        <w:ind w:left="426"/>
        <w:jc w:val="both"/>
        <w:rPr>
          <w:rFonts w:asciiTheme="minorHAnsi" w:hAnsiTheme="minorHAnsi" w:cstheme="minorHAnsi"/>
          <w:sz w:val="22"/>
          <w:szCs w:val="22"/>
        </w:rPr>
      </w:pPr>
    </w:p>
    <w:p w14:paraId="30FB2896" w14:textId="073BBD2E" w:rsidR="008458DA" w:rsidRDefault="008458DA" w:rsidP="00973DE9">
      <w:pPr>
        <w:ind w:left="426"/>
        <w:jc w:val="both"/>
        <w:rPr>
          <w:rFonts w:asciiTheme="minorHAnsi" w:hAnsiTheme="minorHAnsi" w:cstheme="minorHAnsi"/>
          <w:sz w:val="22"/>
          <w:szCs w:val="22"/>
        </w:rPr>
      </w:pPr>
    </w:p>
    <w:p w14:paraId="19D5466F" w14:textId="33A4844C" w:rsidR="008458DA" w:rsidRDefault="008458DA" w:rsidP="00973DE9">
      <w:pPr>
        <w:ind w:left="426"/>
        <w:jc w:val="both"/>
        <w:rPr>
          <w:rFonts w:asciiTheme="minorHAnsi" w:hAnsiTheme="minorHAnsi" w:cstheme="minorHAnsi"/>
          <w:sz w:val="22"/>
          <w:szCs w:val="22"/>
        </w:rPr>
      </w:pPr>
    </w:p>
    <w:p w14:paraId="497423A9" w14:textId="3D151B8E" w:rsidR="008458DA" w:rsidRDefault="008458DA" w:rsidP="00973DE9">
      <w:pPr>
        <w:ind w:left="426"/>
        <w:jc w:val="both"/>
        <w:rPr>
          <w:rFonts w:asciiTheme="minorHAnsi" w:hAnsiTheme="minorHAnsi" w:cstheme="minorHAnsi"/>
          <w:sz w:val="22"/>
          <w:szCs w:val="22"/>
        </w:rPr>
      </w:pPr>
    </w:p>
    <w:p w14:paraId="6DCEF837" w14:textId="77777777" w:rsidR="008458DA" w:rsidRPr="00AD6299" w:rsidRDefault="008458DA" w:rsidP="00973DE9">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590C6561" w:rsidR="0074476A"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5EFC9D28" w14:textId="77777777" w:rsidR="004D4B7D" w:rsidRDefault="004D4B7D" w:rsidP="004D4B7D">
      <w:pPr>
        <w:pStyle w:val="Prrafodelista"/>
        <w:rPr>
          <w:rFonts w:asciiTheme="minorHAnsi" w:hAnsiTheme="minorHAnsi" w:cstheme="minorHAnsi"/>
          <w:sz w:val="22"/>
          <w:szCs w:val="22"/>
        </w:rPr>
      </w:pPr>
    </w:p>
    <w:p w14:paraId="58929CEF" w14:textId="3C6B5028" w:rsidR="004D4B7D" w:rsidRDefault="004D4B7D" w:rsidP="004D4B7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Mediante Resolución N”074-2022-OS/GRT, se fijaron, entre otros, las Bandas de Precios y los Márgenes Comerciales para el Petróleo Industrial N°6 utilizado en activida</w:t>
      </w:r>
      <w:bookmarkStart w:id="1" w:name="_GoBack"/>
      <w:bookmarkEnd w:id="1"/>
      <w:r>
        <w:rPr>
          <w:rFonts w:asciiTheme="minorHAnsi" w:hAnsiTheme="minorHAnsi" w:cstheme="minorHAnsi"/>
          <w:sz w:val="22"/>
          <w:szCs w:val="22"/>
        </w:rPr>
        <w:t>des de generación eléctrica en sistemas eléctricos Aislados, con vigencia a partir del 30 de diciembre de 2022 hasta el 23 de febrero de 2023.</w:t>
      </w:r>
    </w:p>
    <w:p w14:paraId="45AAA73A" w14:textId="273014A8"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0A45E724" w14:textId="77777777" w:rsidR="004D4B7D" w:rsidRPr="00562D12" w:rsidRDefault="004D4B7D" w:rsidP="004D4B7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p>
    <w:p w14:paraId="7A953DAE" w14:textId="77777777" w:rsidR="004D4B7D" w:rsidRDefault="004D4B7D" w:rsidP="0074476A">
      <w:pPr>
        <w:pStyle w:val="Textonotapie"/>
        <w:tabs>
          <w:tab w:val="left" w:pos="709"/>
        </w:tabs>
        <w:spacing w:before="0" w:after="0"/>
        <w:ind w:left="568"/>
        <w:rPr>
          <w:rFonts w:asciiTheme="minorHAnsi" w:hAnsiTheme="minorHAnsi" w:cstheme="minorHAnsi"/>
          <w:sz w:val="22"/>
          <w:szCs w:val="22"/>
        </w:rPr>
      </w:pPr>
    </w:p>
    <w:p w14:paraId="24F917D0" w14:textId="77777777" w:rsidR="004D4B7D" w:rsidRDefault="009F0937" w:rsidP="003D1BCE">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4D4B7D">
        <w:rPr>
          <w:rFonts w:asciiTheme="minorHAnsi" w:hAnsiTheme="minorHAnsi" w:cstheme="minorHAnsi"/>
          <w:sz w:val="22"/>
          <w:szCs w:val="22"/>
        </w:rPr>
        <w:t>Mediante Resolución N° 0</w:t>
      </w:r>
      <w:r w:rsidR="004D4B7D" w:rsidRPr="004D4B7D">
        <w:rPr>
          <w:rFonts w:asciiTheme="minorHAnsi" w:hAnsiTheme="minorHAnsi" w:cstheme="minorHAnsi"/>
          <w:sz w:val="22"/>
          <w:szCs w:val="22"/>
        </w:rPr>
        <w:t>03</w:t>
      </w:r>
      <w:r w:rsidRPr="004D4B7D">
        <w:rPr>
          <w:rFonts w:asciiTheme="minorHAnsi" w:hAnsiTheme="minorHAnsi" w:cstheme="minorHAnsi"/>
          <w:sz w:val="22"/>
          <w:szCs w:val="22"/>
        </w:rPr>
        <w:t>-202</w:t>
      </w:r>
      <w:r w:rsidR="004D4B7D" w:rsidRPr="004D4B7D">
        <w:rPr>
          <w:rFonts w:asciiTheme="minorHAnsi" w:hAnsiTheme="minorHAnsi" w:cstheme="minorHAnsi"/>
          <w:sz w:val="22"/>
          <w:szCs w:val="22"/>
        </w:rPr>
        <w:t>3</w:t>
      </w:r>
      <w:r w:rsidRPr="004D4B7D">
        <w:rPr>
          <w:rFonts w:asciiTheme="minorHAnsi" w:hAnsiTheme="minorHAnsi" w:cstheme="minorHAnsi"/>
          <w:sz w:val="22"/>
          <w:szCs w:val="22"/>
        </w:rPr>
        <w:t>-OS/GRT, se fijaron la</w:t>
      </w:r>
      <w:r w:rsidR="00952F32" w:rsidRPr="004D4B7D">
        <w:rPr>
          <w:rFonts w:asciiTheme="minorHAnsi" w:hAnsiTheme="minorHAnsi" w:cstheme="minorHAnsi"/>
          <w:sz w:val="22"/>
          <w:szCs w:val="22"/>
        </w:rPr>
        <w:t>s</w:t>
      </w:r>
      <w:r w:rsidRPr="004D4B7D">
        <w:rPr>
          <w:rFonts w:asciiTheme="minorHAnsi" w:hAnsiTheme="minorHAnsi" w:cstheme="minorHAnsi"/>
          <w:sz w:val="22"/>
          <w:szCs w:val="22"/>
        </w:rPr>
        <w:t xml:space="preserve"> Bandas de Precios y los Márgenes Comerciales para</w:t>
      </w:r>
      <w:r w:rsidR="0079038D" w:rsidRPr="004D4B7D">
        <w:rPr>
          <w:rFonts w:asciiTheme="minorHAnsi" w:hAnsiTheme="minorHAnsi" w:cstheme="minorHAnsi"/>
          <w:sz w:val="22"/>
          <w:szCs w:val="22"/>
        </w:rPr>
        <w:t xml:space="preserve"> el </w:t>
      </w:r>
      <w:r w:rsidR="004D4B7D" w:rsidRPr="004D4B7D">
        <w:rPr>
          <w:rFonts w:asciiTheme="minorHAnsi" w:hAnsiTheme="minorHAnsi" w:cstheme="minorHAnsi"/>
          <w:sz w:val="22"/>
          <w:szCs w:val="22"/>
        </w:rPr>
        <w:t xml:space="preserve">Gas Licuado de Petróleo destinado a envasado (GLP-E), el Gas Licuado </w:t>
      </w:r>
      <w:r w:rsidR="004D4B7D" w:rsidRPr="004D4B7D">
        <w:rPr>
          <w:rFonts w:asciiTheme="minorHAnsi" w:hAnsiTheme="minorHAnsi" w:cstheme="minorHAnsi"/>
          <w:sz w:val="22"/>
          <w:szCs w:val="22"/>
        </w:rPr>
        <w:lastRenderedPageBreak/>
        <w:t xml:space="preserve">de Petróleo destinado a granel (GLP-G) y </w:t>
      </w:r>
      <w:r w:rsidR="0079038D" w:rsidRPr="004D4B7D">
        <w:rPr>
          <w:rFonts w:asciiTheme="minorHAnsi" w:hAnsiTheme="minorHAnsi" w:cstheme="minorHAnsi"/>
          <w:sz w:val="22"/>
          <w:szCs w:val="22"/>
        </w:rPr>
        <w:t>Diésel B5 destinado al uso vehicular</w:t>
      </w:r>
      <w:r w:rsidR="00A526AB" w:rsidRPr="004D4B7D">
        <w:rPr>
          <w:rFonts w:asciiTheme="minorHAnsi" w:hAnsiTheme="minorHAnsi" w:cstheme="minorHAnsi"/>
          <w:sz w:val="22"/>
          <w:szCs w:val="22"/>
        </w:rPr>
        <w:t xml:space="preserve"> </w:t>
      </w:r>
      <w:r w:rsidR="009C0925" w:rsidRPr="004D4B7D">
        <w:rPr>
          <w:rFonts w:asciiTheme="minorHAnsi" w:hAnsiTheme="minorHAnsi" w:cstheme="minorHAnsi"/>
          <w:sz w:val="22"/>
          <w:szCs w:val="22"/>
        </w:rPr>
        <w:t xml:space="preserve">con vigencia desde el </w:t>
      </w:r>
      <w:r w:rsidR="004D4B7D" w:rsidRPr="004D4B7D">
        <w:rPr>
          <w:rFonts w:asciiTheme="minorHAnsi" w:hAnsiTheme="minorHAnsi" w:cstheme="minorHAnsi"/>
          <w:sz w:val="22"/>
          <w:szCs w:val="22"/>
        </w:rPr>
        <w:t>27</w:t>
      </w:r>
      <w:r w:rsidR="009C0925" w:rsidRPr="004D4B7D">
        <w:rPr>
          <w:rFonts w:asciiTheme="minorHAnsi" w:hAnsiTheme="minorHAnsi" w:cstheme="minorHAnsi"/>
          <w:sz w:val="22"/>
          <w:szCs w:val="22"/>
        </w:rPr>
        <w:t xml:space="preserve"> de </w:t>
      </w:r>
      <w:r w:rsidR="004D4B7D" w:rsidRPr="004D4B7D">
        <w:rPr>
          <w:rFonts w:asciiTheme="minorHAnsi" w:hAnsiTheme="minorHAnsi" w:cstheme="minorHAnsi"/>
          <w:sz w:val="22"/>
          <w:szCs w:val="22"/>
        </w:rPr>
        <w:t>enero</w:t>
      </w:r>
      <w:r w:rsidR="009C0925" w:rsidRPr="004D4B7D">
        <w:rPr>
          <w:rFonts w:asciiTheme="minorHAnsi" w:hAnsiTheme="minorHAnsi" w:cstheme="minorHAnsi"/>
          <w:sz w:val="22"/>
          <w:szCs w:val="22"/>
        </w:rPr>
        <w:t xml:space="preserve"> hasta el jueves 2</w:t>
      </w:r>
      <w:r w:rsidR="004D4B7D" w:rsidRPr="004D4B7D">
        <w:rPr>
          <w:rFonts w:asciiTheme="minorHAnsi" w:hAnsiTheme="minorHAnsi" w:cstheme="minorHAnsi"/>
          <w:sz w:val="22"/>
          <w:szCs w:val="22"/>
        </w:rPr>
        <w:t>3</w:t>
      </w:r>
      <w:r w:rsidR="009C0925" w:rsidRPr="004D4B7D">
        <w:rPr>
          <w:rFonts w:asciiTheme="minorHAnsi" w:hAnsiTheme="minorHAnsi" w:cstheme="minorHAnsi"/>
          <w:sz w:val="22"/>
          <w:szCs w:val="22"/>
        </w:rPr>
        <w:t xml:space="preserve"> de </w:t>
      </w:r>
      <w:r w:rsidR="004D4B7D" w:rsidRPr="004D4B7D">
        <w:rPr>
          <w:rFonts w:asciiTheme="minorHAnsi" w:hAnsiTheme="minorHAnsi" w:cstheme="minorHAnsi"/>
          <w:sz w:val="22"/>
          <w:szCs w:val="22"/>
        </w:rPr>
        <w:t>febrer</w:t>
      </w:r>
      <w:r w:rsidR="009C0925" w:rsidRPr="004D4B7D">
        <w:rPr>
          <w:rFonts w:asciiTheme="minorHAnsi" w:hAnsiTheme="minorHAnsi" w:cstheme="minorHAnsi"/>
          <w:sz w:val="22"/>
          <w:szCs w:val="22"/>
        </w:rPr>
        <w:t>o de 2023.</w:t>
      </w:r>
    </w:p>
    <w:p w14:paraId="394E0522" w14:textId="57921E4E" w:rsidR="00162126" w:rsidRDefault="009C0925" w:rsidP="004D4B7D">
      <w:pPr>
        <w:pStyle w:val="Textonotapie"/>
        <w:tabs>
          <w:tab w:val="left" w:pos="709"/>
        </w:tabs>
        <w:spacing w:before="0" w:after="0"/>
        <w:ind w:left="568"/>
        <w:rPr>
          <w:rFonts w:asciiTheme="minorHAnsi" w:hAnsiTheme="minorHAnsi" w:cstheme="minorHAnsi"/>
          <w:sz w:val="22"/>
          <w:szCs w:val="22"/>
        </w:rPr>
      </w:pPr>
      <w:r w:rsidRPr="004D4B7D">
        <w:rPr>
          <w:rFonts w:asciiTheme="minorHAnsi" w:hAnsiTheme="minorHAnsi" w:cstheme="minorHAnsi"/>
          <w:sz w:val="22"/>
          <w:szCs w:val="22"/>
        </w:rPr>
        <w:t xml:space="preserve"> </w:t>
      </w:r>
    </w:p>
    <w:p w14:paraId="304D497A" w14:textId="2D5F68F5" w:rsidR="00277E11" w:rsidRDefault="00277E11" w:rsidP="00277E11">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 Resoluci</w:t>
      </w:r>
      <w:r>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Pr>
          <w:rFonts w:asciiTheme="minorHAnsi" w:hAnsiTheme="minorHAnsi" w:cstheme="minorHAnsi"/>
          <w:sz w:val="22"/>
          <w:szCs w:val="22"/>
        </w:rPr>
        <w:t>74</w:t>
      </w:r>
      <w:r w:rsidRPr="00300844">
        <w:rPr>
          <w:rFonts w:asciiTheme="minorHAnsi" w:hAnsiTheme="minorHAnsi" w:cstheme="minorHAnsi"/>
          <w:sz w:val="22"/>
          <w:szCs w:val="22"/>
        </w:rPr>
        <w:t xml:space="preserve">-2022-OS/GRT, el MINEM publicó los Factores de Aportación y/o Compensación vigentes desde el </w:t>
      </w:r>
      <w:r>
        <w:rPr>
          <w:rFonts w:asciiTheme="minorHAnsi" w:hAnsiTheme="minorHAnsi" w:cstheme="minorHAnsi"/>
          <w:sz w:val="22"/>
          <w:szCs w:val="22"/>
        </w:rPr>
        <w:t xml:space="preserve">martes </w:t>
      </w:r>
      <w:r w:rsidR="008458DA">
        <w:rPr>
          <w:rFonts w:asciiTheme="minorHAnsi" w:hAnsiTheme="minorHAnsi" w:cstheme="minorHAnsi"/>
          <w:sz w:val="22"/>
          <w:szCs w:val="22"/>
        </w:rPr>
        <w:t>07</w:t>
      </w:r>
      <w:r w:rsidRPr="00300844">
        <w:rPr>
          <w:rFonts w:asciiTheme="minorHAnsi" w:hAnsiTheme="minorHAnsi" w:cstheme="minorHAnsi"/>
          <w:sz w:val="22"/>
          <w:szCs w:val="22"/>
        </w:rPr>
        <w:t xml:space="preserve"> al </w:t>
      </w:r>
      <w:r>
        <w:rPr>
          <w:rFonts w:asciiTheme="minorHAnsi" w:hAnsiTheme="minorHAnsi" w:cstheme="minorHAnsi"/>
          <w:sz w:val="22"/>
          <w:szCs w:val="22"/>
        </w:rPr>
        <w:t xml:space="preserve">lunes </w:t>
      </w:r>
      <w:r w:rsidR="008458DA">
        <w:rPr>
          <w:rFonts w:asciiTheme="minorHAnsi" w:hAnsiTheme="minorHAnsi" w:cstheme="minorHAnsi"/>
          <w:sz w:val="22"/>
          <w:szCs w:val="22"/>
        </w:rPr>
        <w:t>13</w:t>
      </w:r>
      <w:r w:rsidRPr="00300844">
        <w:rPr>
          <w:rFonts w:asciiTheme="minorHAnsi" w:hAnsiTheme="minorHAnsi" w:cstheme="minorHAnsi"/>
          <w:sz w:val="22"/>
          <w:szCs w:val="22"/>
        </w:rPr>
        <w:t xml:space="preserve"> de </w:t>
      </w:r>
      <w:r>
        <w:rPr>
          <w:rFonts w:asciiTheme="minorHAnsi" w:hAnsiTheme="minorHAnsi" w:cstheme="minorHAnsi"/>
          <w:sz w:val="22"/>
          <w:szCs w:val="22"/>
        </w:rPr>
        <w:t>febrero</w:t>
      </w:r>
      <w:r w:rsidRPr="00300844">
        <w:rPr>
          <w:rFonts w:asciiTheme="minorHAnsi" w:hAnsiTheme="minorHAnsi" w:cstheme="minorHAnsi"/>
          <w:sz w:val="22"/>
          <w:szCs w:val="22"/>
        </w:rPr>
        <w:t xml:space="preserve"> de 202</w:t>
      </w:r>
      <w:r>
        <w:rPr>
          <w:rFonts w:asciiTheme="minorHAnsi" w:hAnsiTheme="minorHAnsi" w:cstheme="minorHAnsi"/>
          <w:sz w:val="22"/>
          <w:szCs w:val="22"/>
        </w:rPr>
        <w:t>3</w:t>
      </w:r>
      <w:r w:rsidRPr="00300844">
        <w:rPr>
          <w:rFonts w:asciiTheme="minorHAnsi" w:hAnsiTheme="minorHAnsi" w:cstheme="minorHAnsi"/>
          <w:sz w:val="22"/>
          <w:szCs w:val="22"/>
        </w:rPr>
        <w:t>.</w:t>
      </w:r>
    </w:p>
    <w:p w14:paraId="20088CF0" w14:textId="77777777" w:rsidR="00277E11" w:rsidRDefault="00277E11" w:rsidP="00277E11">
      <w:pPr>
        <w:pStyle w:val="Prrafodelista"/>
        <w:rPr>
          <w:rFonts w:asciiTheme="minorHAnsi" w:hAnsiTheme="minorHAnsi" w:cstheme="minorHAnsi"/>
          <w:sz w:val="22"/>
          <w:szCs w:val="22"/>
        </w:rPr>
      </w:pPr>
    </w:p>
    <w:p w14:paraId="6739831F" w14:textId="0DB3E5D3" w:rsidR="008458DA" w:rsidRPr="00232A32" w:rsidRDefault="008458DA" w:rsidP="008458DA">
      <w:pPr>
        <w:pStyle w:val="Sangradetextonormal"/>
        <w:numPr>
          <w:ilvl w:val="0"/>
          <w:numId w:val="16"/>
        </w:numPr>
        <w:ind w:left="568" w:hanging="426"/>
        <w:rPr>
          <w:rFonts w:asciiTheme="minorHAnsi" w:hAnsiTheme="minorHAnsi" w:cstheme="minorHAnsi"/>
          <w:sz w:val="22"/>
          <w:szCs w:val="22"/>
        </w:rPr>
      </w:pPr>
      <w:r w:rsidRPr="00232A32">
        <w:rPr>
          <w:rFonts w:asciiTheme="minorHAnsi" w:hAnsiTheme="minorHAnsi" w:cstheme="minorHAnsi"/>
          <w:sz w:val="22"/>
          <w:szCs w:val="22"/>
        </w:rPr>
        <w:t xml:space="preserve">El día </w:t>
      </w:r>
      <w:r>
        <w:rPr>
          <w:rFonts w:asciiTheme="minorHAnsi" w:hAnsiTheme="minorHAnsi" w:cstheme="minorHAnsi"/>
          <w:sz w:val="22"/>
          <w:szCs w:val="22"/>
        </w:rPr>
        <w:t>10</w:t>
      </w:r>
      <w:r w:rsidRPr="00232A32">
        <w:rPr>
          <w:rFonts w:asciiTheme="minorHAnsi" w:hAnsiTheme="minorHAnsi" w:cstheme="minorHAnsi"/>
          <w:sz w:val="22"/>
          <w:szCs w:val="22"/>
        </w:rPr>
        <w:t>.</w:t>
      </w:r>
      <w:r>
        <w:rPr>
          <w:rFonts w:asciiTheme="minorHAnsi" w:hAnsiTheme="minorHAnsi" w:cstheme="minorHAnsi"/>
          <w:sz w:val="22"/>
          <w:szCs w:val="22"/>
        </w:rPr>
        <w:t>02</w:t>
      </w:r>
      <w:r w:rsidRPr="00232A32">
        <w:rPr>
          <w:rFonts w:asciiTheme="minorHAnsi" w:hAnsiTheme="minorHAnsi" w:cstheme="minorHAnsi"/>
          <w:sz w:val="22"/>
          <w:szCs w:val="22"/>
        </w:rPr>
        <w:t>.202</w:t>
      </w:r>
      <w:r>
        <w:rPr>
          <w:rFonts w:asciiTheme="minorHAnsi" w:hAnsiTheme="minorHAnsi" w:cstheme="minorHAnsi"/>
          <w:sz w:val="22"/>
          <w:szCs w:val="22"/>
        </w:rPr>
        <w:t>3</w:t>
      </w:r>
      <w:r w:rsidRPr="00232A32">
        <w:rPr>
          <w:rFonts w:asciiTheme="minorHAnsi" w:hAnsiTheme="minorHAnsi" w:cstheme="minorHAnsi"/>
          <w:sz w:val="22"/>
          <w:szCs w:val="22"/>
        </w:rPr>
        <w:t>, PETROPERÚ publicó su lista de precios de venta de combustibles. Se registraron variaciones en los precios de las gasolinas de 97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24</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26</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28</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29</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octanos, los gasoholes de 97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24</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27</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27</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xml:space="preserve">) octanos, así como en el </w:t>
      </w:r>
      <w:proofErr w:type="spellStart"/>
      <w:r w:rsidRPr="00232A32">
        <w:rPr>
          <w:rFonts w:asciiTheme="minorHAnsi" w:hAnsiTheme="minorHAnsi" w:cstheme="minorHAnsi"/>
          <w:sz w:val="22"/>
          <w:szCs w:val="22"/>
        </w:rPr>
        <w:t>Diesel</w:t>
      </w:r>
      <w:proofErr w:type="spellEnd"/>
      <w:r w:rsidRPr="00232A32">
        <w:rPr>
          <w:rFonts w:asciiTheme="minorHAnsi" w:hAnsiTheme="minorHAnsi" w:cstheme="minorHAnsi"/>
          <w:sz w:val="22"/>
          <w:szCs w:val="22"/>
        </w:rPr>
        <w:t xml:space="preserve"> B5(</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33</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los residuales R6(</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15</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R500(</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11</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xml:space="preserve">).  </w:t>
      </w: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68171A31" w14:textId="0B925F2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 la composición porcentual de los Precios de Referencia de Combustibles, durante e</w:t>
      </w:r>
      <w:r w:rsidR="009D3604">
        <w:rPr>
          <w:rFonts w:asciiTheme="minorHAnsi" w:hAnsiTheme="minorHAnsi" w:cstheme="minorHAnsi"/>
          <w:sz w:val="22"/>
          <w:szCs w:val="22"/>
        </w:rPr>
        <w:t xml:space="preserve">l periodo comprendido entre el </w:t>
      </w:r>
      <w:r w:rsidR="00277E11">
        <w:rPr>
          <w:rFonts w:asciiTheme="minorHAnsi" w:hAnsiTheme="minorHAnsi" w:cstheme="minorHAnsi"/>
          <w:sz w:val="22"/>
          <w:szCs w:val="22"/>
        </w:rPr>
        <w:t>3</w:t>
      </w:r>
      <w:r w:rsidR="008458DA">
        <w:rPr>
          <w:rFonts w:asciiTheme="minorHAnsi" w:hAnsiTheme="minorHAnsi" w:cstheme="minorHAnsi"/>
          <w:sz w:val="22"/>
          <w:szCs w:val="22"/>
        </w:rPr>
        <w:t>0</w:t>
      </w:r>
      <w:r>
        <w:rPr>
          <w:rFonts w:asciiTheme="minorHAnsi" w:hAnsiTheme="minorHAnsi" w:cstheme="minorHAnsi"/>
          <w:sz w:val="22"/>
          <w:szCs w:val="22"/>
        </w:rPr>
        <w:t xml:space="preserve">/01/2023 y el </w:t>
      </w:r>
      <w:r w:rsidR="008458DA">
        <w:rPr>
          <w:rFonts w:asciiTheme="minorHAnsi" w:hAnsiTheme="minorHAnsi" w:cstheme="minorHAnsi"/>
          <w:sz w:val="22"/>
          <w:szCs w:val="22"/>
        </w:rPr>
        <w:t>1</w:t>
      </w:r>
      <w:r w:rsidR="00277E11">
        <w:rPr>
          <w:rFonts w:asciiTheme="minorHAnsi" w:hAnsiTheme="minorHAnsi" w:cstheme="minorHAnsi"/>
          <w:sz w:val="22"/>
          <w:szCs w:val="22"/>
        </w:rPr>
        <w:t>0</w:t>
      </w:r>
      <w:r>
        <w:rPr>
          <w:rFonts w:asciiTheme="minorHAnsi" w:hAnsiTheme="minorHAnsi" w:cstheme="minorHAnsi"/>
          <w:sz w:val="22"/>
          <w:szCs w:val="22"/>
        </w:rPr>
        <w:t>/0</w:t>
      </w:r>
      <w:r w:rsidR="00277E11">
        <w:rPr>
          <w:rFonts w:asciiTheme="minorHAnsi" w:hAnsiTheme="minorHAnsi" w:cstheme="minorHAnsi"/>
          <w:sz w:val="22"/>
          <w:szCs w:val="22"/>
        </w:rPr>
        <w:t>2</w:t>
      </w:r>
      <w:r>
        <w:rPr>
          <w:rFonts w:asciiTheme="minorHAnsi" w:hAnsiTheme="minorHAnsi" w:cstheme="minorHAnsi"/>
          <w:sz w:val="22"/>
          <w:szCs w:val="22"/>
        </w:rPr>
        <w:t>/2023, se muestra en la Gráfica N°2.</w:t>
      </w:r>
    </w:p>
    <w:p w14:paraId="5BC0A457"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 </w:t>
      </w:r>
    </w:p>
    <w:p w14:paraId="086D8755" w14:textId="5F70421D" w:rsidR="00A86191" w:rsidRPr="00884871" w:rsidRDefault="00A86191" w:rsidP="00A86191">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Pr="00884871">
        <w:rPr>
          <w:rFonts w:ascii="Calibri" w:hAnsi="Calibri" w:cs="Arial"/>
          <w:b/>
          <w:bCs/>
          <w:i/>
          <w:sz w:val="22"/>
          <w:szCs w:val="22"/>
          <w:lang w:eastAsia="es-PE"/>
        </w:rPr>
        <w:t>Composición del Precio de Referencia</w:t>
      </w:r>
      <w:r>
        <w:rPr>
          <w:rFonts w:ascii="Calibri" w:hAnsi="Calibri" w:cs="Arial"/>
          <w:b/>
          <w:bCs/>
          <w:i/>
          <w:sz w:val="22"/>
          <w:szCs w:val="22"/>
          <w:lang w:eastAsia="es-PE"/>
        </w:rPr>
        <w:t xml:space="preserve"> </w:t>
      </w:r>
      <w:r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w:t>
      </w:r>
      <w:r w:rsidR="008458DA">
        <w:rPr>
          <w:rFonts w:ascii="Calibri" w:hAnsi="Calibri" w:cs="Arial"/>
          <w:b/>
          <w:bCs/>
          <w:i/>
          <w:sz w:val="22"/>
          <w:szCs w:val="22"/>
          <w:lang w:eastAsia="es-PE"/>
        </w:rPr>
        <w:t>, al 10</w:t>
      </w:r>
      <w:r>
        <w:rPr>
          <w:rFonts w:ascii="Calibri" w:hAnsi="Calibri" w:cs="Arial"/>
          <w:b/>
          <w:bCs/>
          <w:i/>
          <w:sz w:val="22"/>
          <w:szCs w:val="22"/>
          <w:lang w:eastAsia="es-PE"/>
        </w:rPr>
        <w:t>-0</w:t>
      </w:r>
      <w:r w:rsidR="00277E11">
        <w:rPr>
          <w:rFonts w:ascii="Calibri" w:hAnsi="Calibri" w:cs="Arial"/>
          <w:b/>
          <w:bCs/>
          <w:i/>
          <w:sz w:val="22"/>
          <w:szCs w:val="22"/>
          <w:lang w:eastAsia="es-PE"/>
        </w:rPr>
        <w:t>2</w:t>
      </w:r>
      <w:r>
        <w:rPr>
          <w:rFonts w:ascii="Calibri" w:hAnsi="Calibri" w:cs="Arial"/>
          <w:b/>
          <w:bCs/>
          <w:i/>
          <w:sz w:val="22"/>
          <w:szCs w:val="22"/>
          <w:lang w:eastAsia="es-PE"/>
        </w:rPr>
        <w:t>-23</w:t>
      </w:r>
      <w:r w:rsidRPr="00884871">
        <w:rPr>
          <w:rFonts w:ascii="Calibri" w:hAnsi="Calibri" w:cs="Arial"/>
          <w:b/>
          <w:bCs/>
          <w:i/>
          <w:sz w:val="22"/>
          <w:szCs w:val="22"/>
          <w:lang w:eastAsia="es-PE"/>
        </w:rPr>
        <w:t>, en %</w:t>
      </w:r>
    </w:p>
    <w:p w14:paraId="6CED86AB" w14:textId="3A07A1B3" w:rsidR="00A86191" w:rsidRPr="00CC2A8A" w:rsidRDefault="008458DA" w:rsidP="00A86191">
      <w:pPr>
        <w:pBdr>
          <w:top w:val="single" w:sz="4" w:space="1" w:color="auto"/>
          <w:bottom w:val="single" w:sz="4" w:space="1" w:color="auto"/>
        </w:pBdr>
        <w:rPr>
          <w:rFonts w:ascii="Calibri" w:hAnsi="Calibri" w:cs="Arial"/>
          <w:bCs/>
          <w:sz w:val="32"/>
          <w:szCs w:val="32"/>
        </w:rPr>
      </w:pPr>
      <w:r w:rsidRPr="00F04257">
        <w:rPr>
          <w:noProof/>
          <w:lang w:val="es-PE" w:eastAsia="es-PE"/>
        </w:rPr>
        <w:drawing>
          <wp:inline distT="0" distB="0" distL="0" distR="0" wp14:anchorId="51D3114A" wp14:editId="603DDDE8">
            <wp:extent cx="5490845" cy="29197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9730"/>
                    </a:xfrm>
                    <a:prstGeom prst="rect">
                      <a:avLst/>
                    </a:prstGeom>
                    <a:noFill/>
                    <a:ln>
                      <a:noFill/>
                    </a:ln>
                  </pic:spPr>
                </pic:pic>
              </a:graphicData>
            </a:graphic>
          </wp:inline>
        </w:drawing>
      </w:r>
    </w:p>
    <w:p w14:paraId="6F543033" w14:textId="58F09ADD" w:rsidR="00A86191" w:rsidRPr="001A4F79" w:rsidRDefault="00A86191" w:rsidP="00A86191">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sidR="00AF3F44">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0BCA0BE4" w14:textId="77777777" w:rsidR="00A86191" w:rsidRPr="001A4F79" w:rsidRDefault="00A86191" w:rsidP="00A86191">
      <w:pPr>
        <w:spacing w:line="276" w:lineRule="auto"/>
        <w:rPr>
          <w:rFonts w:ascii="Calibri" w:eastAsia="Calibri" w:hAnsi="Calibri"/>
          <w:sz w:val="22"/>
          <w:szCs w:val="22"/>
        </w:rPr>
      </w:pPr>
    </w:p>
    <w:p w14:paraId="5187EED7"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 El Precio FOB y el Flete desde el mercado relevante al Callao, son los componentes que tienen un mayor impacto en el comportamiento de los precios de referencia de los combustibles.</w:t>
      </w:r>
    </w:p>
    <w:p w14:paraId="66E28CE3" w14:textId="77777777" w:rsidR="00AF3F44" w:rsidRDefault="00AF3F44" w:rsidP="00AF3F44">
      <w:pPr>
        <w:jc w:val="both"/>
        <w:rPr>
          <w:rFonts w:asciiTheme="minorHAnsi" w:hAnsiTheme="minorHAnsi" w:cstheme="minorHAnsi"/>
          <w:sz w:val="22"/>
          <w:szCs w:val="22"/>
        </w:rPr>
      </w:pPr>
      <w:r>
        <w:rPr>
          <w:rFonts w:asciiTheme="minorHAnsi" w:hAnsiTheme="minorHAnsi" w:cstheme="minorHAnsi"/>
          <w:sz w:val="22"/>
          <w:szCs w:val="22"/>
        </w:rPr>
        <w:t xml:space="preserve">  </w:t>
      </w:r>
    </w:p>
    <w:p w14:paraId="2AC92D60" w14:textId="7A2E83B9" w:rsidR="008458DA" w:rsidRDefault="008458DA" w:rsidP="008458DA">
      <w:pPr>
        <w:jc w:val="both"/>
        <w:rPr>
          <w:rFonts w:asciiTheme="minorHAnsi" w:hAnsiTheme="minorHAnsi" w:cstheme="minorHAnsi"/>
          <w:sz w:val="22"/>
          <w:szCs w:val="22"/>
        </w:rPr>
      </w:pPr>
      <w:r w:rsidRPr="00061BE1">
        <w:rPr>
          <w:rFonts w:asciiTheme="minorHAnsi" w:hAnsiTheme="minorHAnsi" w:cstheme="minorHAnsi"/>
          <w:sz w:val="22"/>
          <w:szCs w:val="22"/>
        </w:rPr>
        <w:t xml:space="preserve">En la Gráfica N°2, se aprecia que el Precio FOB se ubicó en </w:t>
      </w:r>
      <w:r>
        <w:rPr>
          <w:rFonts w:asciiTheme="minorHAnsi" w:hAnsiTheme="minorHAnsi" w:cstheme="minorHAnsi"/>
          <w:sz w:val="22"/>
          <w:szCs w:val="22"/>
        </w:rPr>
        <w:t>79</w:t>
      </w:r>
      <w:r w:rsidRPr="00061BE1">
        <w:rPr>
          <w:rFonts w:asciiTheme="minorHAnsi" w:hAnsiTheme="minorHAnsi" w:cstheme="minorHAnsi"/>
          <w:sz w:val="22"/>
          <w:szCs w:val="22"/>
        </w:rPr>
        <w:t>% del precio de referencia del GLP</w:t>
      </w:r>
      <w:r>
        <w:rPr>
          <w:rFonts w:asciiTheme="minorHAnsi" w:hAnsiTheme="minorHAnsi" w:cstheme="minorHAnsi"/>
          <w:sz w:val="22"/>
          <w:szCs w:val="22"/>
        </w:rPr>
        <w:t xml:space="preserve">, 88% del precio de referencia de los biocombustibles, 80 % del precio de los residuales R6 y R500; y fue igual o </w:t>
      </w:r>
      <w:r w:rsidRPr="00061BE1">
        <w:rPr>
          <w:rFonts w:asciiTheme="minorHAnsi" w:hAnsiTheme="minorHAnsi" w:cstheme="minorHAnsi"/>
          <w:sz w:val="22"/>
          <w:szCs w:val="22"/>
        </w:rPr>
        <w:t xml:space="preserve">superior al </w:t>
      </w:r>
      <w:r>
        <w:rPr>
          <w:rFonts w:asciiTheme="minorHAnsi" w:hAnsiTheme="minorHAnsi" w:cstheme="minorHAnsi"/>
          <w:sz w:val="22"/>
          <w:szCs w:val="22"/>
        </w:rPr>
        <w:t>89</w:t>
      </w:r>
      <w:r w:rsidRPr="00061BE1">
        <w:rPr>
          <w:rFonts w:asciiTheme="minorHAnsi" w:hAnsiTheme="minorHAnsi" w:cstheme="minorHAnsi"/>
          <w:sz w:val="22"/>
          <w:szCs w:val="22"/>
        </w:rPr>
        <w:t>% del precio de referencia de los demás combustibles.</w:t>
      </w:r>
      <w:r>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incluye</w:t>
      </w:r>
      <w:r>
        <w:rPr>
          <w:rFonts w:asciiTheme="minorHAnsi" w:hAnsiTheme="minorHAnsi" w:cstheme="minorHAnsi"/>
          <w:sz w:val="22"/>
          <w:szCs w:val="22"/>
        </w:rPr>
        <w:t xml:space="preserve"> la tarifa “Terminalling” del GLP; el descuento por concepto de RVO, aplicado al precio de las Gasolinas y Diésel 2; y</w:t>
      </w:r>
      <w:r w:rsidRPr="00E14E7E">
        <w:rPr>
          <w:rFonts w:asciiTheme="minorHAnsi" w:hAnsiTheme="minorHAnsi" w:cstheme="minorHAnsi"/>
          <w:sz w:val="22"/>
          <w:szCs w:val="22"/>
        </w:rPr>
        <w:t xml:space="preserve"> </w:t>
      </w:r>
      <w:r>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Pr>
          <w:rFonts w:asciiTheme="minorHAnsi" w:hAnsiTheme="minorHAnsi" w:cstheme="minorHAnsi"/>
          <w:sz w:val="22"/>
          <w:szCs w:val="22"/>
        </w:rPr>
        <w:t xml:space="preserve"> de calidad para las G</w:t>
      </w:r>
      <w:r w:rsidRPr="00E14E7E">
        <w:rPr>
          <w:rFonts w:asciiTheme="minorHAnsi" w:hAnsiTheme="minorHAnsi" w:cstheme="minorHAnsi"/>
          <w:sz w:val="22"/>
          <w:szCs w:val="22"/>
        </w:rPr>
        <w:t>asolinas,</w:t>
      </w:r>
      <w:r>
        <w:rPr>
          <w:rFonts w:asciiTheme="minorHAnsi" w:hAnsiTheme="minorHAnsi" w:cstheme="minorHAnsi"/>
          <w:sz w:val="22"/>
          <w:szCs w:val="22"/>
        </w:rPr>
        <w:t xml:space="preserve"> D</w:t>
      </w:r>
      <w:r w:rsidRPr="00E14E7E">
        <w:rPr>
          <w:rFonts w:asciiTheme="minorHAnsi" w:hAnsiTheme="minorHAnsi" w:cstheme="minorHAnsi"/>
          <w:sz w:val="22"/>
          <w:szCs w:val="22"/>
        </w:rPr>
        <w:t>iésel</w:t>
      </w:r>
      <w:r>
        <w:rPr>
          <w:rFonts w:asciiTheme="minorHAnsi" w:hAnsiTheme="minorHAnsi" w:cstheme="minorHAnsi"/>
          <w:sz w:val="22"/>
          <w:szCs w:val="22"/>
        </w:rPr>
        <w:t xml:space="preserve"> y R</w:t>
      </w:r>
      <w:r w:rsidRPr="00E14E7E">
        <w:rPr>
          <w:rFonts w:asciiTheme="minorHAnsi" w:hAnsiTheme="minorHAnsi" w:cstheme="minorHAnsi"/>
          <w:sz w:val="22"/>
          <w:szCs w:val="22"/>
        </w:rPr>
        <w:t xml:space="preserve">esidual 500. </w:t>
      </w:r>
    </w:p>
    <w:p w14:paraId="65805833" w14:textId="77777777" w:rsidR="008458DA" w:rsidRDefault="008458DA" w:rsidP="008458DA">
      <w:pPr>
        <w:jc w:val="both"/>
        <w:rPr>
          <w:rFonts w:asciiTheme="minorHAnsi" w:hAnsiTheme="minorHAnsi" w:cstheme="minorHAnsi"/>
          <w:sz w:val="22"/>
          <w:szCs w:val="22"/>
        </w:rPr>
      </w:pPr>
    </w:p>
    <w:p w14:paraId="02DE9245" w14:textId="77777777" w:rsidR="008458DA" w:rsidRDefault="008458DA" w:rsidP="008458DA">
      <w:pPr>
        <w:jc w:val="both"/>
        <w:rPr>
          <w:rFonts w:asciiTheme="minorHAnsi" w:hAnsiTheme="minorHAnsi" w:cstheme="minorHAnsi"/>
          <w:sz w:val="22"/>
          <w:szCs w:val="22"/>
        </w:rPr>
      </w:pPr>
      <w:r>
        <w:rPr>
          <w:rFonts w:asciiTheme="minorHAnsi" w:hAnsiTheme="minorHAnsi" w:cstheme="minorHAnsi"/>
          <w:sz w:val="22"/>
          <w:szCs w:val="22"/>
        </w:rPr>
        <w:t xml:space="preserve">A continuación, se presenta una descripción del cálculo del Precio FOB de los Combustibles, indicando los valores obtenidos para cada uno de sus componentes al 10 de febrero 2023. </w:t>
      </w:r>
    </w:p>
    <w:p w14:paraId="2F9E251A" w14:textId="77777777" w:rsidR="008458DA" w:rsidRDefault="008458DA" w:rsidP="008458DA">
      <w:pPr>
        <w:jc w:val="both"/>
        <w:rPr>
          <w:rFonts w:asciiTheme="minorHAnsi" w:hAnsiTheme="minorHAnsi" w:cstheme="minorHAnsi"/>
          <w:sz w:val="22"/>
          <w:szCs w:val="22"/>
        </w:rPr>
      </w:pPr>
      <w:r>
        <w:rPr>
          <w:rFonts w:asciiTheme="minorHAnsi" w:hAnsiTheme="minorHAnsi" w:cstheme="minorHAnsi"/>
          <w:sz w:val="22"/>
          <w:szCs w:val="22"/>
        </w:rPr>
        <w:lastRenderedPageBreak/>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cotizaciones diarias publicadas por Argus.</w:t>
      </w:r>
    </w:p>
    <w:p w14:paraId="3F95B49B" w14:textId="77777777" w:rsidR="00C80F8A" w:rsidRPr="00003F04" w:rsidRDefault="00C80F8A" w:rsidP="00F85D23">
      <w:pPr>
        <w:jc w:val="both"/>
        <w:rPr>
          <w:rFonts w:asciiTheme="minorHAnsi" w:hAnsiTheme="minorHAnsi" w:cstheme="minorHAnsi"/>
          <w:sz w:val="22"/>
          <w:szCs w:val="22"/>
        </w:rPr>
      </w:pPr>
    </w:p>
    <w:p w14:paraId="438A680F" w14:textId="77777777" w:rsidR="008458DA" w:rsidRDefault="008458DA" w:rsidP="008458DA">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Precio FOB del GLP</w:t>
      </w:r>
    </w:p>
    <w:p w14:paraId="2FC6DAEC" w14:textId="77777777" w:rsidR="008458DA" w:rsidRPr="00265D45" w:rsidRDefault="008458DA" w:rsidP="008458DA">
      <w:pPr>
        <w:pStyle w:val="Prrafodelista"/>
        <w:ind w:left="426" w:hanging="426"/>
        <w:jc w:val="both"/>
        <w:rPr>
          <w:rFonts w:asciiTheme="minorHAnsi" w:hAnsiTheme="minorHAnsi" w:cstheme="minorHAnsi"/>
          <w:b/>
          <w:sz w:val="22"/>
          <w:szCs w:val="22"/>
          <w:u w:val="single"/>
        </w:rPr>
      </w:pPr>
    </w:p>
    <w:p w14:paraId="7AC9508B" w14:textId="77777777" w:rsidR="008458DA" w:rsidRPr="006E3A77" w:rsidRDefault="008458DA" w:rsidP="008458DA">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Fue determinado, considerando la mezcla típica del GLP comercializado en nuestro país, cuya composición propano/butano es de 70%/30%.</w:t>
      </w:r>
    </w:p>
    <w:p w14:paraId="1823E946" w14:textId="77777777" w:rsidR="008458DA" w:rsidRPr="006E3A77" w:rsidRDefault="008458DA" w:rsidP="008458DA">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Pr="006E3A77">
        <w:rPr>
          <w:rFonts w:asciiTheme="minorHAnsi" w:hAnsiTheme="minorHAnsi" w:cstheme="minorHAnsi"/>
          <w:sz w:val="22"/>
          <w:szCs w:val="22"/>
        </w:rPr>
        <w:t xml:space="preserve">: Calculado en base al promedio de las 10 últimas cotizaciones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 propano refrigerado publicadas</w:t>
      </w:r>
      <w:r>
        <w:rPr>
          <w:rFonts w:asciiTheme="minorHAnsi" w:hAnsiTheme="minorHAnsi" w:cstheme="minorHAnsi"/>
          <w:sz w:val="22"/>
          <w:szCs w:val="22"/>
        </w:rPr>
        <w:t xml:space="preserve"> por Argus</w:t>
      </w:r>
      <w:r w:rsidRPr="006E3A77">
        <w:rPr>
          <w:rFonts w:asciiTheme="minorHAnsi" w:hAnsiTheme="minorHAnsi" w:cstheme="minorHAnsi"/>
          <w:sz w:val="22"/>
          <w:szCs w:val="22"/>
        </w:rPr>
        <w:t xml:space="preserve">, igual a </w:t>
      </w:r>
      <w:r>
        <w:rPr>
          <w:rFonts w:asciiTheme="minorHAnsi" w:hAnsiTheme="minorHAnsi" w:cstheme="minorHAnsi"/>
          <w:sz w:val="22"/>
          <w:szCs w:val="22"/>
        </w:rPr>
        <w:t>10.63</w:t>
      </w:r>
      <w:r w:rsidRPr="006E3A77">
        <w:rPr>
          <w:rFonts w:asciiTheme="minorHAnsi" w:hAnsiTheme="minorHAnsi" w:cstheme="minorHAnsi"/>
          <w:sz w:val="22"/>
          <w:szCs w:val="22"/>
        </w:rPr>
        <w:t xml:space="preserve"> cent$/galón. Para obtener la tarifa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del GLP a temperatura ambiente, usamos la siguiente ecuación: </w:t>
      </w:r>
    </w:p>
    <w:p w14:paraId="34B8D0D0" w14:textId="77777777" w:rsidR="008458DA" w:rsidRPr="006E3A77" w:rsidRDefault="008458DA" w:rsidP="008458DA">
      <w:pPr>
        <w:pStyle w:val="Prrafodelista"/>
        <w:ind w:left="426" w:hanging="426"/>
        <w:jc w:val="center"/>
        <w:rPr>
          <w:rFonts w:asciiTheme="minorHAnsi" w:hAnsiTheme="minorHAnsi" w:cstheme="minorHAnsi"/>
          <w:sz w:val="22"/>
          <w:szCs w:val="22"/>
          <w:lang w:val="es-MX"/>
        </w:rPr>
      </w:pPr>
    </w:p>
    <w:p w14:paraId="312F7FC0" w14:textId="77777777" w:rsidR="008458DA" w:rsidRPr="006E3A77" w:rsidRDefault="008458DA" w:rsidP="008458DA">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Pr>
          <w:rFonts w:asciiTheme="minorHAnsi" w:hAnsiTheme="minorHAnsi" w:cstheme="minorHAnsi"/>
          <w:sz w:val="22"/>
          <w:szCs w:val="22"/>
          <w:lang w:val="en-US"/>
        </w:rPr>
        <w:t>10.63</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xml:space="preserve">* (521.74/729.23) = </w:t>
      </w:r>
      <w:r>
        <w:rPr>
          <w:rFonts w:asciiTheme="minorHAnsi" w:hAnsiTheme="minorHAnsi" w:cstheme="minorHAnsi"/>
          <w:sz w:val="22"/>
          <w:szCs w:val="22"/>
          <w:lang w:val="en-US"/>
        </w:rPr>
        <w:t>7.60</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p>
    <w:p w14:paraId="0644A778" w14:textId="77777777" w:rsidR="008458DA" w:rsidRPr="006E3A77" w:rsidRDefault="008458DA" w:rsidP="008458DA">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Pr>
          <w:rFonts w:asciiTheme="minorHAnsi" w:hAnsiTheme="minorHAnsi" w:cstheme="minorHAnsi"/>
          <w:sz w:val="22"/>
          <w:szCs w:val="22"/>
          <w:lang w:val="en-US"/>
        </w:rPr>
        <w:t>3.19</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12D95B59" w14:textId="77777777" w:rsidR="008458DA" w:rsidRPr="006E3A77" w:rsidRDefault="008458DA" w:rsidP="008458DA">
      <w:pPr>
        <w:pStyle w:val="Prrafodelista"/>
        <w:ind w:left="426" w:hanging="426"/>
        <w:jc w:val="center"/>
        <w:rPr>
          <w:rFonts w:asciiTheme="minorHAnsi" w:hAnsiTheme="minorHAnsi" w:cstheme="minorHAnsi"/>
          <w:sz w:val="22"/>
          <w:szCs w:val="22"/>
          <w:lang w:val="en-US"/>
        </w:rPr>
      </w:pPr>
    </w:p>
    <w:p w14:paraId="37921403" w14:textId="77777777" w:rsidR="008458DA" w:rsidRPr="006E3A77" w:rsidRDefault="008458DA" w:rsidP="008458DA">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 las Gasolinas:</w:t>
      </w:r>
    </w:p>
    <w:p w14:paraId="7A169725" w14:textId="77777777" w:rsidR="008458DA" w:rsidRPr="006E3A77" w:rsidRDefault="008458DA" w:rsidP="008458DA">
      <w:pPr>
        <w:ind w:left="426" w:hanging="426"/>
        <w:jc w:val="both"/>
        <w:rPr>
          <w:rFonts w:asciiTheme="minorHAnsi" w:hAnsiTheme="minorHAnsi" w:cstheme="minorHAnsi"/>
          <w:b/>
          <w:sz w:val="22"/>
          <w:szCs w:val="22"/>
          <w:u w:val="single"/>
        </w:rPr>
      </w:pPr>
    </w:p>
    <w:p w14:paraId="4FB16166" w14:textId="77777777" w:rsidR="008458DA" w:rsidRPr="006E3A77" w:rsidRDefault="008458DA" w:rsidP="008458DA">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las gasolinas de 97 y 95 octanos, corresponde al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calculado a partir de la mezcla de las gasolinas CBOB 97 y CBOB 93; mientras que, para las gasolinas de 90 y 84 octanos,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 la gasolina CBOB 87.</w:t>
      </w:r>
    </w:p>
    <w:p w14:paraId="62F262BD" w14:textId="77777777" w:rsidR="008458DA" w:rsidRPr="006E3A77" w:rsidRDefault="008458DA" w:rsidP="008458DA">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Pr>
          <w:rFonts w:asciiTheme="minorHAnsi" w:hAnsiTheme="minorHAnsi" w:cstheme="minorHAnsi"/>
          <w:sz w:val="22"/>
          <w:szCs w:val="22"/>
        </w:rPr>
        <w:t>8.03</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07C2E0F4" w14:textId="77777777" w:rsidR="008458DA" w:rsidRPr="006E3A77" w:rsidRDefault="008458DA" w:rsidP="008458DA">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Pr>
          <w:rFonts w:asciiTheme="minorHAnsi" w:hAnsiTheme="minorHAnsi" w:cstheme="minorHAnsi"/>
          <w:sz w:val="22"/>
          <w:szCs w:val="22"/>
        </w:rPr>
        <w:t xml:space="preserve">2.50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Pr>
          <w:rFonts w:asciiTheme="minorHAnsi" w:hAnsiTheme="minorHAnsi" w:cstheme="minorHAnsi"/>
          <w:sz w:val="22"/>
          <w:szCs w:val="22"/>
        </w:rPr>
        <w:t>2.02</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5A3CA085" w14:textId="77777777" w:rsidR="008458DA" w:rsidRPr="006E3A77" w:rsidRDefault="008458DA" w:rsidP="008458DA">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Pr>
          <w:rFonts w:asciiTheme="minorHAnsi" w:hAnsiTheme="minorHAnsi" w:cstheme="minorHAnsi"/>
          <w:sz w:val="22"/>
          <w:szCs w:val="22"/>
        </w:rPr>
        <w:t>1.56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90 octanos y un ajuste de </w:t>
      </w:r>
      <w:r>
        <w:rPr>
          <w:rFonts w:asciiTheme="minorHAnsi" w:hAnsiTheme="minorHAnsi" w:cstheme="minorHAnsi"/>
          <w:sz w:val="22"/>
          <w:szCs w:val="22"/>
        </w:rPr>
        <w:t xml:space="preserve">-8.39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84 octanos.</w:t>
      </w:r>
    </w:p>
    <w:p w14:paraId="62E6EAC7" w14:textId="77777777" w:rsidR="008458DA" w:rsidRPr="006E3A77" w:rsidRDefault="008458DA" w:rsidP="008458DA">
      <w:pPr>
        <w:ind w:left="426" w:hanging="426"/>
        <w:jc w:val="both"/>
        <w:rPr>
          <w:rFonts w:asciiTheme="minorHAnsi" w:hAnsiTheme="minorHAnsi" w:cstheme="minorHAnsi"/>
          <w:sz w:val="22"/>
          <w:szCs w:val="22"/>
          <w:u w:val="single"/>
        </w:rPr>
      </w:pPr>
    </w:p>
    <w:p w14:paraId="4FC9B3AD" w14:textId="77777777" w:rsidR="008458DA" w:rsidRPr="006E3A77" w:rsidRDefault="008458DA" w:rsidP="008458DA">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del Diésel:</w:t>
      </w:r>
    </w:p>
    <w:p w14:paraId="07FED675" w14:textId="77777777" w:rsidR="008458DA" w:rsidRPr="006E3A77" w:rsidRDefault="008458DA" w:rsidP="008458DA">
      <w:pPr>
        <w:ind w:left="426" w:hanging="426"/>
        <w:jc w:val="both"/>
        <w:rPr>
          <w:rFonts w:asciiTheme="minorHAnsi" w:hAnsiTheme="minorHAnsi" w:cstheme="minorHAnsi"/>
          <w:b/>
          <w:sz w:val="22"/>
          <w:szCs w:val="22"/>
          <w:u w:val="single"/>
        </w:rPr>
      </w:pPr>
    </w:p>
    <w:p w14:paraId="5675FB7A" w14:textId="77777777" w:rsidR="008458DA" w:rsidRPr="006E3A77" w:rsidRDefault="008458DA" w:rsidP="008458DA">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contenido de azufre, se toma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Ultra </w:t>
      </w:r>
      <w:proofErr w:type="spellStart"/>
      <w:r w:rsidRPr="006E3A77">
        <w:rPr>
          <w:rFonts w:asciiTheme="minorHAnsi" w:hAnsiTheme="minorHAnsi" w:cstheme="minorHAnsi"/>
          <w:sz w:val="22"/>
          <w:szCs w:val="22"/>
        </w:rPr>
        <w:t>Sulfur</w:t>
      </w:r>
      <w:proofErr w:type="spellEnd"/>
      <w:r w:rsidRPr="006E3A77">
        <w:rPr>
          <w:rFonts w:asciiTheme="minorHAnsi" w:hAnsiTheme="minorHAnsi" w:cstheme="minorHAnsi"/>
          <w:sz w:val="22"/>
          <w:szCs w:val="22"/>
        </w:rPr>
        <w:t xml:space="preserve"> Diésel. Para el Diésel con alto contenido de azufre, se considera el Gasoil N°2, sin RVO.</w:t>
      </w:r>
    </w:p>
    <w:p w14:paraId="073D6146" w14:textId="77777777" w:rsidR="008458DA" w:rsidRPr="006E3A77" w:rsidRDefault="008458DA" w:rsidP="008458DA">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Pr>
          <w:rFonts w:asciiTheme="minorHAnsi" w:hAnsiTheme="minorHAnsi" w:cstheme="minorHAnsi"/>
          <w:sz w:val="22"/>
          <w:szCs w:val="22"/>
        </w:rPr>
        <w:t xml:space="preserve">8.03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58C967C3" w14:textId="77777777" w:rsidR="008458DA" w:rsidRPr="006E3A77" w:rsidRDefault="008458DA" w:rsidP="008458DA">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419E798F" w14:textId="77777777" w:rsidR="008458DA" w:rsidRPr="006E3A77" w:rsidRDefault="008458DA" w:rsidP="008458DA">
      <w:pPr>
        <w:ind w:left="426" w:hanging="426"/>
        <w:jc w:val="both"/>
        <w:rPr>
          <w:rFonts w:asciiTheme="minorHAnsi" w:hAnsiTheme="minorHAnsi" w:cstheme="minorHAnsi"/>
          <w:b/>
          <w:sz w:val="22"/>
          <w:szCs w:val="22"/>
          <w:u w:val="single"/>
        </w:rPr>
      </w:pPr>
    </w:p>
    <w:p w14:paraId="77AA34FE" w14:textId="77777777" w:rsidR="008458DA" w:rsidRPr="006E3A77" w:rsidRDefault="008458DA" w:rsidP="008458DA">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 los Petróleos Industriales:</w:t>
      </w:r>
    </w:p>
    <w:p w14:paraId="57BFF081" w14:textId="77777777" w:rsidR="008458DA" w:rsidRPr="006E3A77" w:rsidRDefault="008458DA" w:rsidP="008458DA">
      <w:pPr>
        <w:ind w:left="426" w:hanging="426"/>
        <w:jc w:val="both"/>
        <w:rPr>
          <w:rFonts w:asciiTheme="minorHAnsi" w:hAnsiTheme="minorHAnsi" w:cstheme="minorHAnsi"/>
          <w:b/>
          <w:sz w:val="22"/>
          <w:szCs w:val="22"/>
          <w:u w:val="single"/>
        </w:rPr>
      </w:pPr>
    </w:p>
    <w:p w14:paraId="797A64FE" w14:textId="77777777" w:rsidR="008458DA" w:rsidRPr="006E3A77" w:rsidRDefault="008458DA" w:rsidP="008458DA">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500, se considera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67816632" w14:textId="77777777" w:rsidR="008458DA" w:rsidRDefault="008458DA" w:rsidP="008458DA">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xml:space="preserve">: Se determinó un ajuste de </w:t>
      </w:r>
      <w:r>
        <w:rPr>
          <w:rFonts w:asciiTheme="minorHAnsi" w:hAnsiTheme="minorHAnsi" w:cstheme="minorHAnsi"/>
          <w:sz w:val="22"/>
          <w:szCs w:val="22"/>
        </w:rPr>
        <w:t>0.30</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6A3A8B2A" w14:textId="77777777" w:rsidR="008458DA" w:rsidRPr="006E3A77" w:rsidRDefault="008458DA" w:rsidP="008458DA">
      <w:pPr>
        <w:pStyle w:val="Prrafodelista"/>
        <w:ind w:left="851"/>
        <w:jc w:val="both"/>
        <w:rPr>
          <w:rFonts w:asciiTheme="minorHAnsi" w:hAnsiTheme="minorHAnsi" w:cstheme="minorHAnsi"/>
          <w:sz w:val="22"/>
          <w:szCs w:val="22"/>
        </w:rPr>
      </w:pPr>
    </w:p>
    <w:p w14:paraId="62F9C5E3" w14:textId="77777777" w:rsidR="008458DA" w:rsidRPr="00B45C03" w:rsidRDefault="008458DA" w:rsidP="008458DA">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Los resultados del cálculo del Precio FOB y de los demás componentes que forman parte de los Precios de Referencia de Combustibles, se muestran en la Tabla N°1.</w:t>
      </w:r>
    </w:p>
    <w:p w14:paraId="23298A6E" w14:textId="77777777" w:rsidR="008458DA" w:rsidRPr="00F85D23" w:rsidRDefault="008458DA" w:rsidP="008458DA">
      <w:pPr>
        <w:jc w:val="both"/>
        <w:rPr>
          <w:rFonts w:ascii="Arial" w:hAnsi="Arial" w:cs="Arial"/>
          <w:sz w:val="22"/>
          <w:szCs w:val="22"/>
          <w:u w:val="single"/>
          <w:lang w:eastAsia="en-US"/>
        </w:rPr>
        <w:sectPr w:rsidR="008458DA"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8"/>
          <w:footerReference w:type="default" r:id="rId19"/>
          <w:headerReference w:type="first" r:id="rId20"/>
          <w:footerReference w:type="first" r:id="rId21"/>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78C52F40" w:rsidR="004F74EE" w:rsidRDefault="008458DA" w:rsidP="004F74EE">
      <w:pPr>
        <w:pBdr>
          <w:top w:val="single" w:sz="4" w:space="1" w:color="auto"/>
          <w:bottom w:val="single" w:sz="4" w:space="1" w:color="auto"/>
        </w:pBdr>
        <w:jc w:val="center"/>
        <w:rPr>
          <w:rFonts w:ascii="Calibri" w:hAnsi="Calibri" w:cs="Calibri"/>
          <w:sz w:val="22"/>
          <w:szCs w:val="22"/>
          <w:lang w:val="es-PE" w:eastAsia="en-US"/>
        </w:rPr>
      </w:pPr>
      <w:r w:rsidRPr="00F04257">
        <w:rPr>
          <w:noProof/>
          <w:lang w:val="es-PE" w:eastAsia="es-PE"/>
        </w:rPr>
        <w:drawing>
          <wp:inline distT="0" distB="0" distL="0" distR="0" wp14:anchorId="3FB2A62F" wp14:editId="790ECFC5">
            <wp:extent cx="8173085" cy="29571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8173085" cy="2957195"/>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23"/>
          <w:headerReference w:type="first" r:id="rId24"/>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53704BF3" w:rsidR="00F85D23" w:rsidRPr="002B3648" w:rsidRDefault="008458DA" w:rsidP="00FB4E04">
            <w:pPr>
              <w:ind w:left="-618" w:right="-654"/>
              <w:jc w:val="center"/>
              <w:rPr>
                <w:rFonts w:asciiTheme="minorHAnsi" w:hAnsiTheme="minorHAnsi" w:cstheme="minorHAnsi"/>
              </w:rPr>
            </w:pPr>
            <w:r>
              <w:rPr>
                <w:noProof/>
                <w:lang w:val="es-PE" w:eastAsia="es-PE"/>
              </w:rPr>
              <w:drawing>
                <wp:inline distT="0" distB="0" distL="0" distR="0" wp14:anchorId="161E836B" wp14:editId="2BA4670E">
                  <wp:extent cx="3742661" cy="305103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50536" cy="3057459"/>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25D85731" w:rsidR="00EF5671" w:rsidRPr="00CE793E" w:rsidRDefault="008458DA" w:rsidP="00FB4E04">
            <w:pPr>
              <w:ind w:left="-634" w:right="-654"/>
              <w:jc w:val="center"/>
              <w:rPr>
                <w:rFonts w:asciiTheme="minorHAnsi" w:hAnsiTheme="minorHAnsi" w:cstheme="minorHAnsi"/>
                <w:lang w:val="es-MX"/>
              </w:rPr>
            </w:pPr>
            <w:r>
              <w:rPr>
                <w:noProof/>
                <w:lang w:val="es-PE" w:eastAsia="es-PE"/>
              </w:rPr>
              <w:drawing>
                <wp:inline distT="0" distB="0" distL="0" distR="0" wp14:anchorId="7795A96C" wp14:editId="43917E09">
                  <wp:extent cx="5550195" cy="22250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554413" cy="2226731"/>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7A3D2544" w:rsidR="000A6BC2" w:rsidRPr="00737F8F" w:rsidRDefault="008458DA"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F04257">
        <w:rPr>
          <w:noProof/>
          <w:lang w:val="es-PE" w:eastAsia="es-PE"/>
        </w:rPr>
        <w:drawing>
          <wp:inline distT="0" distB="0" distL="0" distR="0" wp14:anchorId="16CBA67B" wp14:editId="1DBE6B11">
            <wp:extent cx="5615940" cy="2110740"/>
            <wp:effectExtent l="0" t="0" r="3810" b="3810"/>
            <wp:docPr id="19" name="Picture 1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Table&#10;&#10;Description automatically generated"/>
                    <pic:cNvPicPr/>
                  </pic:nvPicPr>
                  <pic:blipFill>
                    <a:blip r:embed="rId27"/>
                    <a:stretch>
                      <a:fillRect/>
                    </a:stretch>
                  </pic:blipFill>
                  <pic:spPr>
                    <a:xfrm>
                      <a:off x="0" y="0"/>
                      <a:ext cx="5615940" cy="2110740"/>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3C92A74B" w:rsidR="005C4A97" w:rsidRDefault="008458DA" w:rsidP="00604758">
      <w:pPr>
        <w:spacing w:line="0" w:lineRule="atLeast"/>
        <w:ind w:right="-567"/>
        <w:jc w:val="both"/>
        <w:rPr>
          <w:rFonts w:asciiTheme="minorHAnsi" w:hAnsiTheme="minorHAnsi" w:cstheme="minorHAnsi"/>
          <w:i/>
          <w:sz w:val="18"/>
          <w:szCs w:val="18"/>
        </w:rPr>
      </w:pPr>
      <w:r w:rsidRPr="00F04257">
        <w:rPr>
          <w:noProof/>
          <w:lang w:val="es-PE" w:eastAsia="es-PE"/>
        </w:rPr>
        <w:drawing>
          <wp:inline distT="0" distB="0" distL="0" distR="0" wp14:anchorId="6128BF16" wp14:editId="069FA323">
            <wp:extent cx="5849396" cy="2277373"/>
            <wp:effectExtent l="0" t="0" r="0" b="8890"/>
            <wp:docPr id="1" name="Picture 1"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chart&#10;&#10;Description automatically generated"/>
                    <pic:cNvPicPr/>
                  </pic:nvPicPr>
                  <pic:blipFill>
                    <a:blip r:embed="rId28"/>
                    <a:stretch>
                      <a:fillRect/>
                    </a:stretch>
                  </pic:blipFill>
                  <pic:spPr>
                    <a:xfrm>
                      <a:off x="0" y="0"/>
                      <a:ext cx="5853830" cy="2279099"/>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15839316" w:rsidR="007B04A3" w:rsidRPr="00C2751F" w:rsidRDefault="008458DA" w:rsidP="00C2751F">
      <w:pPr>
        <w:spacing w:line="0" w:lineRule="atLeast"/>
        <w:ind w:right="-567"/>
        <w:jc w:val="both"/>
        <w:rPr>
          <w:noProof/>
          <w:lang w:val="es-PE" w:eastAsia="es-PE"/>
        </w:rPr>
      </w:pPr>
      <w:r w:rsidRPr="00F04257">
        <w:rPr>
          <w:noProof/>
          <w:lang w:val="es-PE" w:eastAsia="es-PE"/>
        </w:rPr>
        <w:drawing>
          <wp:inline distT="0" distB="0" distL="0" distR="0" wp14:anchorId="73AE6591" wp14:editId="44853F08">
            <wp:extent cx="5849873" cy="7479102"/>
            <wp:effectExtent l="0" t="0" r="0" b="7620"/>
            <wp:docPr id="23" name="Picture 2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picture containing graphical user interface&#10;&#10;Description automatically generated"/>
                    <pic:cNvPicPr/>
                  </pic:nvPicPr>
                  <pic:blipFill>
                    <a:blip r:embed="rId29"/>
                    <a:stretch>
                      <a:fillRect/>
                    </a:stretch>
                  </pic:blipFill>
                  <pic:spPr>
                    <a:xfrm>
                      <a:off x="0" y="0"/>
                      <a:ext cx="5853039" cy="7483150"/>
                    </a:xfrm>
                    <a:prstGeom prst="rect">
                      <a:avLst/>
                    </a:prstGeom>
                  </pic:spPr>
                </pic:pic>
              </a:graphicData>
            </a:graphic>
          </wp:inline>
        </w:drawing>
      </w:r>
    </w:p>
    <w:p w14:paraId="6E7D3449" w14:textId="77777777" w:rsidR="00C80F8A" w:rsidRPr="00C2751F" w:rsidRDefault="00DC168B" w:rsidP="00C2751F">
      <w:pPr>
        <w:jc w:val="both"/>
        <w:rPr>
          <w:rFonts w:asciiTheme="minorHAnsi" w:hAnsiTheme="minorHAnsi" w:cstheme="minorHAnsi"/>
          <w:i/>
          <w:iCs/>
          <w:sz w:val="16"/>
          <w:szCs w:val="16"/>
        </w:rPr>
      </w:pPr>
      <w:r w:rsidRPr="00DC168B">
        <w:rPr>
          <w:rFonts w:asciiTheme="minorHAnsi" w:hAnsiTheme="minorHAnsi" w:cstheme="minorHAnsi"/>
          <w:i/>
          <w:iCs/>
          <w:sz w:val="16"/>
          <w:szCs w:val="16"/>
        </w:rPr>
        <w:t xml:space="preserve"> </w:t>
      </w:r>
      <w:r w:rsidR="0022589A">
        <w:rPr>
          <w:rFonts w:asciiTheme="minorHAnsi" w:hAnsiTheme="minorHAnsi" w:cstheme="minorHAnsi"/>
          <w:i/>
          <w:iCs/>
          <w:sz w:val="16"/>
          <w:szCs w:val="16"/>
        </w:rPr>
        <w:t xml:space="preserve">   </w:t>
      </w:r>
      <w:r w:rsidRPr="002B3648">
        <w:rPr>
          <w:rFonts w:asciiTheme="minorHAnsi" w:hAnsiTheme="minorHAnsi" w:cstheme="minorHAnsi"/>
          <w:i/>
          <w:iCs/>
          <w:sz w:val="16"/>
          <w:szCs w:val="16"/>
        </w:rPr>
        <w:t>Fuente</w:t>
      </w:r>
      <w:r>
        <w:rPr>
          <w:rFonts w:asciiTheme="minorHAnsi" w:hAnsiTheme="minorHAnsi" w:cstheme="minorHAnsi"/>
          <w:i/>
          <w:iCs/>
          <w:sz w:val="16"/>
          <w:szCs w:val="16"/>
        </w:rPr>
        <w:t xml:space="preserve">: </w:t>
      </w:r>
      <w:r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034F5B">
        <w:rPr>
          <w:rFonts w:asciiTheme="minorHAnsi" w:hAnsiTheme="minorHAnsi" w:cstheme="minorHAnsi"/>
          <w:i/>
          <w:iCs/>
          <w:sz w:val="16"/>
          <w:szCs w:val="16"/>
        </w:rPr>
        <w:t xml:space="preserve"> </w:t>
      </w:r>
      <w:r w:rsidR="009011EA">
        <w:rPr>
          <w:rFonts w:asciiTheme="minorHAnsi" w:hAnsiTheme="minorHAnsi" w:cstheme="minorHAnsi"/>
          <w:i/>
          <w:iCs/>
          <w:sz w:val="16"/>
          <w:szCs w:val="16"/>
        </w:rPr>
        <w:t>y Petroperú</w:t>
      </w:r>
    </w:p>
    <w:p w14:paraId="1667552F" w14:textId="298AC37A" w:rsidR="00C80F8A" w:rsidRDefault="00C80F8A" w:rsidP="00C2751F">
      <w:pPr>
        <w:jc w:val="both"/>
        <w:rPr>
          <w:rFonts w:asciiTheme="minorHAnsi" w:hAnsiTheme="minorHAnsi" w:cstheme="minorHAnsi"/>
          <w:i/>
          <w:iCs/>
          <w:sz w:val="16"/>
          <w:szCs w:val="16"/>
        </w:rPr>
      </w:pPr>
    </w:p>
    <w:p w14:paraId="4B79F497" w14:textId="77777777" w:rsidR="00C80F8A" w:rsidRDefault="00C80F8A" w:rsidP="00C2751F">
      <w:pPr>
        <w:jc w:val="both"/>
        <w:rPr>
          <w:rFonts w:asciiTheme="minorHAnsi" w:hAnsiTheme="minorHAnsi" w:cstheme="minorHAnsi"/>
          <w:i/>
          <w:iCs/>
          <w:sz w:val="16"/>
          <w:szCs w:val="16"/>
        </w:rPr>
      </w:pPr>
    </w:p>
    <w:p w14:paraId="2B78D4FE" w14:textId="290F6DFB" w:rsidR="00C80F8A" w:rsidRPr="00C2751F" w:rsidRDefault="00C2751F" w:rsidP="00C2751F">
      <w:pPr>
        <w:jc w:val="both"/>
        <w:rPr>
          <w:rFonts w:asciiTheme="minorHAnsi" w:hAnsiTheme="minorHAnsi" w:cstheme="minorHAnsi"/>
          <w:i/>
          <w:iCs/>
          <w:sz w:val="16"/>
          <w:szCs w:val="16"/>
        </w:rPr>
      </w:pPr>
      <w:r>
        <w:rPr>
          <w:rFonts w:asciiTheme="minorHAnsi" w:hAnsiTheme="minorHAnsi" w:cstheme="minorHAnsi"/>
          <w:i/>
          <w:iCs/>
          <w:sz w:val="16"/>
          <w:szCs w:val="16"/>
        </w:rPr>
        <w:t xml:space="preserve"> </w:t>
      </w:r>
      <w:r w:rsidR="00C80F8A" w:rsidRPr="00C2751F">
        <w:rPr>
          <w:rFonts w:asciiTheme="minorHAnsi" w:hAnsiTheme="minorHAnsi" w:cstheme="minorHAnsi"/>
          <w:i/>
          <w:iCs/>
          <w:sz w:val="16"/>
          <w:szCs w:val="16"/>
        </w:rPr>
        <w:t>MMC / MMT / ASC</w:t>
      </w:r>
    </w:p>
    <w:p w14:paraId="094AB2C7" w14:textId="77777777" w:rsidR="00C80F8A" w:rsidRDefault="00C80F8A" w:rsidP="00C2751F">
      <w:pPr>
        <w:jc w:val="both"/>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79779D8F" w:rsidR="009D445C" w:rsidRDefault="008458DA" w:rsidP="00214BFB">
      <w:pPr>
        <w:jc w:val="center"/>
        <w:rPr>
          <w:rFonts w:asciiTheme="minorHAnsi" w:hAnsiTheme="minorHAnsi" w:cstheme="minorHAnsi"/>
          <w:sz w:val="22"/>
          <w:szCs w:val="22"/>
        </w:rPr>
      </w:pPr>
      <w:r>
        <w:rPr>
          <w:noProof/>
          <w:lang w:val="es-PE" w:eastAsia="es-PE"/>
        </w:rPr>
        <w:drawing>
          <wp:inline distT="0" distB="0" distL="0" distR="0" wp14:anchorId="7CE47E6B" wp14:editId="64D2B84B">
            <wp:extent cx="4580063" cy="2445385"/>
            <wp:effectExtent l="19050" t="19050" r="11430" b="12065"/>
            <wp:docPr id="24" name="Picture 24"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crude oil stocks graph"/>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94594" cy="2453144"/>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44B902CF" w:rsidR="00243B98" w:rsidRDefault="008458DA" w:rsidP="00214BFB">
      <w:pPr>
        <w:jc w:val="center"/>
        <w:rPr>
          <w:rFonts w:asciiTheme="minorHAnsi" w:hAnsiTheme="minorHAnsi" w:cstheme="minorHAnsi"/>
          <w:sz w:val="22"/>
          <w:szCs w:val="22"/>
        </w:rPr>
      </w:pPr>
      <w:r>
        <w:rPr>
          <w:noProof/>
          <w:lang w:val="es-PE" w:eastAsia="es-PE"/>
        </w:rPr>
        <w:drawing>
          <wp:inline distT="0" distB="0" distL="0" distR="0" wp14:anchorId="08AD98BE" wp14:editId="06C966D3">
            <wp:extent cx="4560570" cy="2434977"/>
            <wp:effectExtent l="19050" t="19050" r="11430" b="22860"/>
            <wp:docPr id="26" name="Picture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gasoline stocks graph"/>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581415" cy="2446107"/>
                    </a:xfrm>
                    <a:prstGeom prst="rect">
                      <a:avLst/>
                    </a:prstGeom>
                    <a:noFill/>
                    <a:ln>
                      <a:solidFill>
                        <a:schemeClr val="accent1"/>
                      </a:solidFill>
                    </a:ln>
                  </pic:spPr>
                </pic:pic>
              </a:graphicData>
            </a:graphic>
          </wp:inline>
        </w:drawing>
      </w:r>
    </w:p>
    <w:p w14:paraId="105484E7" w14:textId="433F83E1" w:rsidR="00536E42" w:rsidRDefault="00536E42" w:rsidP="00214BFB">
      <w:pPr>
        <w:jc w:val="center"/>
        <w:rPr>
          <w:rFonts w:asciiTheme="minorHAnsi" w:hAnsiTheme="minorHAnsi" w:cstheme="minorHAnsi"/>
          <w:sz w:val="22"/>
          <w:szCs w:val="22"/>
        </w:rPr>
      </w:pPr>
    </w:p>
    <w:p w14:paraId="76B31578" w14:textId="7DABDA81" w:rsidR="00536E42" w:rsidRDefault="008458DA" w:rsidP="00214BFB">
      <w:pPr>
        <w:jc w:val="center"/>
        <w:rPr>
          <w:rFonts w:asciiTheme="minorHAnsi" w:hAnsiTheme="minorHAnsi" w:cstheme="minorHAnsi"/>
          <w:sz w:val="22"/>
          <w:szCs w:val="22"/>
        </w:rPr>
      </w:pPr>
      <w:r>
        <w:rPr>
          <w:noProof/>
          <w:lang w:val="es-PE" w:eastAsia="es-PE"/>
        </w:rPr>
        <w:drawing>
          <wp:inline distT="0" distB="0" distL="0" distR="0" wp14:anchorId="44EA7F93" wp14:editId="732CF5DA">
            <wp:extent cx="4505960" cy="2405820"/>
            <wp:effectExtent l="19050" t="19050" r="8890" b="13970"/>
            <wp:docPr id="30" name="Picture 30"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distillate stocks graph"/>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13668" cy="2409935"/>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17D2C73E" w:rsidR="005932D3" w:rsidRDefault="008458DA" w:rsidP="00214BFB">
      <w:pPr>
        <w:jc w:val="center"/>
        <w:rPr>
          <w:rFonts w:asciiTheme="minorHAnsi" w:hAnsiTheme="minorHAnsi" w:cstheme="minorHAnsi"/>
          <w:sz w:val="22"/>
          <w:szCs w:val="22"/>
        </w:rPr>
      </w:pPr>
      <w:r>
        <w:rPr>
          <w:noProof/>
          <w:lang w:val="es-PE" w:eastAsia="es-PE"/>
        </w:rPr>
        <w:drawing>
          <wp:inline distT="0" distB="0" distL="0" distR="0" wp14:anchorId="0C325D9C" wp14:editId="033DD31C">
            <wp:extent cx="4472940" cy="2388189"/>
            <wp:effectExtent l="19050" t="19050" r="22860" b="12700"/>
            <wp:docPr id="2" name="Picture 2"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 propane/propylene stocks graph"/>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94939" cy="2399935"/>
                    </a:xfrm>
                    <a:prstGeom prst="rect">
                      <a:avLst/>
                    </a:prstGeom>
                    <a:noFill/>
                    <a:ln>
                      <a:solidFill>
                        <a:schemeClr val="accent1"/>
                      </a:solidFill>
                    </a:ln>
                  </pic:spPr>
                </pic:pic>
              </a:graphicData>
            </a:graphic>
          </wp:inline>
        </w:drawing>
      </w:r>
    </w:p>
    <w:p w14:paraId="3F332F86" w14:textId="25B4D9B7" w:rsidR="00352B3A" w:rsidRDefault="00352B3A" w:rsidP="00AF2226">
      <w:pPr>
        <w:ind w:left="993"/>
        <w:jc w:val="both"/>
        <w:rPr>
          <w:rFonts w:asciiTheme="minorHAnsi" w:hAnsiTheme="minorHAnsi" w:cstheme="minorHAnsi"/>
          <w:b/>
          <w:bCs/>
          <w:i/>
          <w:iCs/>
          <w:sz w:val="16"/>
          <w:szCs w:val="16"/>
        </w:rPr>
      </w:pP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A61CEAE" w:rsidR="006D325E" w:rsidRDefault="006D325E" w:rsidP="00C5246D">
      <w:pPr>
        <w:jc w:val="cente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5E57A4" w:rsidP="00CA3C87">
      <w:pPr>
        <w:rPr>
          <w:rFonts w:asciiTheme="minorHAnsi" w:hAnsiTheme="minorHAnsi" w:cstheme="minorHAnsi"/>
          <w:b/>
          <w:bCs/>
          <w:i/>
          <w:iCs/>
          <w:sz w:val="16"/>
          <w:szCs w:val="16"/>
        </w:rPr>
      </w:pPr>
      <w:hyperlink r:id="rId36"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7"/>
      <w:footerReference w:type="default" r:id="rId38"/>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77A8F" w14:textId="42848463" w:rsidR="008458DA" w:rsidRPr="00287F9F" w:rsidRDefault="008458DA"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01187039"/>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5E57A4">
          <w:rPr>
            <w:rFonts w:asciiTheme="minorHAnsi" w:hAnsiTheme="minorHAnsi" w:cstheme="minorHAnsi"/>
            <w:b/>
            <w:noProof/>
            <w:color w:val="002060"/>
          </w:rPr>
          <w:t>9</w:t>
        </w:r>
        <w:r w:rsidRPr="00287F9F">
          <w:rPr>
            <w:rFonts w:asciiTheme="minorHAnsi" w:hAnsiTheme="minorHAnsi" w:cstheme="minorHAnsi"/>
            <w:b/>
            <w:color w:val="002060"/>
          </w:rPr>
          <w:fldChar w:fldCharType="end"/>
        </w:r>
        <w:r>
          <w:rPr>
            <w:rFonts w:asciiTheme="minorHAnsi" w:hAnsiTheme="minorHAnsi" w:cstheme="minorHAnsi"/>
            <w:b/>
            <w:color w:val="002060"/>
          </w:rPr>
          <w:tab/>
        </w:r>
      </w:sdtContent>
    </w:sdt>
  </w:p>
  <w:p w14:paraId="4F15A301" w14:textId="77777777" w:rsidR="008458DA" w:rsidRPr="00376371" w:rsidRDefault="008458DA" w:rsidP="007C39F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9D282" w14:textId="4A18484E" w:rsidR="008458DA" w:rsidRPr="00287F9F" w:rsidRDefault="008458DA"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1006922"/>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5E57A4">
          <w:rPr>
            <w:rFonts w:asciiTheme="minorHAnsi" w:hAnsiTheme="minorHAnsi" w:cstheme="minorHAnsi"/>
            <w:b/>
            <w:noProof/>
            <w:color w:val="002060"/>
          </w:rPr>
          <w:t>1</w:t>
        </w:r>
        <w:r w:rsidRPr="00287F9F">
          <w:rPr>
            <w:rFonts w:asciiTheme="minorHAnsi" w:hAnsiTheme="minorHAnsi" w:cstheme="minorHAnsi"/>
            <w:b/>
            <w:color w:val="002060"/>
          </w:rPr>
          <w:fldChar w:fldCharType="end"/>
        </w:r>
        <w:r>
          <w:rPr>
            <w:rFonts w:asciiTheme="minorHAnsi" w:hAnsiTheme="minorHAnsi" w:cstheme="minorHAnsi"/>
            <w:b/>
            <w:color w:val="002060"/>
          </w:rPr>
          <w:tab/>
        </w:r>
      </w:sdtContent>
    </w:sdt>
  </w:p>
  <w:p w14:paraId="72CD7FF8" w14:textId="77777777" w:rsidR="008458DA" w:rsidRPr="00376371" w:rsidRDefault="008458DA" w:rsidP="007C39FD">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60BCA342"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8458DA">
          <w:rPr>
            <w:rFonts w:asciiTheme="minorHAnsi" w:hAnsiTheme="minorHAnsi" w:cstheme="minorHAnsi"/>
            <w:b/>
            <w:noProof/>
            <w:color w:val="002060"/>
          </w:rPr>
          <w:t>10</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646E8E09"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5E57A4">
          <w:rPr>
            <w:rFonts w:asciiTheme="minorHAnsi" w:hAnsiTheme="minorHAnsi" w:cstheme="minorHAnsi"/>
            <w:b/>
            <w:noProof/>
            <w:color w:val="002060"/>
          </w:rPr>
          <w:t>10</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55C4F587"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5E57A4">
          <w:rPr>
            <w:rFonts w:asciiTheme="minorHAnsi" w:hAnsiTheme="minorHAnsi" w:cstheme="minorHAnsi"/>
            <w:b/>
            <w:noProof/>
            <w:color w:val="002060"/>
            <w:lang w:val="en-US"/>
          </w:rPr>
          <w:t>16</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46AB422A" w14:textId="77777777" w:rsidR="008458DA" w:rsidRPr="00D115A0" w:rsidRDefault="008458DA" w:rsidP="008458DA">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7709BF" w:rsidRPr="00352B3A" w14:paraId="31D45DFE" w14:textId="77777777" w:rsidTr="00594573">
      <w:trPr>
        <w:trHeight w:val="1275"/>
      </w:trPr>
      <w:tc>
        <w:tcPr>
          <w:tcW w:w="4679" w:type="dxa"/>
          <w:vAlign w:val="center"/>
        </w:tcPr>
        <w:p w14:paraId="0853FB4A" w14:textId="77777777" w:rsidR="007709BF" w:rsidRPr="00352B3A" w:rsidRDefault="007709BF" w:rsidP="007709BF">
          <w:pPr>
            <w:pStyle w:val="Prrafodelista"/>
            <w:rPr>
              <w:rFonts w:ascii="Calibri" w:hAnsi="Calibri" w:cs="Calibri"/>
            </w:rPr>
          </w:pPr>
          <w:r w:rsidRPr="00352B3A">
            <w:rPr>
              <w:rFonts w:ascii="Calibri" w:hAnsi="Calibri" w:cs="Calibri"/>
              <w:noProof/>
              <w:lang w:val="es-PE" w:eastAsia="es-PE"/>
            </w:rPr>
            <w:drawing>
              <wp:inline distT="0" distB="0" distL="0" distR="0" wp14:anchorId="3B26A8FF" wp14:editId="552E22AA">
                <wp:extent cx="1955165" cy="362585"/>
                <wp:effectExtent l="0" t="0" r="698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18DBE8F4" w14:textId="77777777" w:rsidR="007709BF" w:rsidRPr="00352B3A" w:rsidRDefault="007709BF" w:rsidP="007709BF">
          <w:pPr>
            <w:jc w:val="center"/>
            <w:rPr>
              <w:rFonts w:ascii="Calibri" w:hAnsi="Calibri" w:cs="Calibri"/>
              <w:b/>
              <w:sz w:val="18"/>
            </w:rPr>
          </w:pPr>
          <w:r w:rsidRPr="00352B3A">
            <w:rPr>
              <w:rFonts w:ascii="Calibri" w:hAnsi="Calibri" w:cs="Calibri"/>
              <w:b/>
              <w:sz w:val="18"/>
            </w:rPr>
            <w:t>Gerencia de Regulación de Tarifas</w:t>
          </w:r>
        </w:p>
        <w:p w14:paraId="47848C6A" w14:textId="77777777" w:rsidR="007709BF" w:rsidRPr="00352B3A" w:rsidRDefault="007709BF" w:rsidP="007709BF">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430BAC0E" w14:textId="7F9EEF67" w:rsidR="007709BF" w:rsidRPr="00352B3A" w:rsidRDefault="007709BF" w:rsidP="007709BF">
          <w:pPr>
            <w:jc w:val="center"/>
            <w:rPr>
              <w:rFonts w:ascii="Calibri" w:hAnsi="Calibri" w:cs="Calibri"/>
              <w:sz w:val="26"/>
              <w:szCs w:val="26"/>
              <w:lang w:val="it-IT"/>
            </w:rPr>
          </w:pPr>
          <w:r>
            <w:rPr>
              <w:rFonts w:ascii="Calibri" w:hAnsi="Calibri" w:cs="Calibri"/>
              <w:b/>
              <w:sz w:val="26"/>
              <w:szCs w:val="26"/>
              <w:lang w:val="it-IT"/>
            </w:rPr>
            <w:t>Informe N° PR-</w:t>
          </w:r>
          <w:r w:rsidRPr="00352B3A">
            <w:rPr>
              <w:rFonts w:ascii="Calibri" w:hAnsi="Calibri" w:cs="Calibri"/>
              <w:b/>
              <w:sz w:val="26"/>
              <w:szCs w:val="26"/>
              <w:lang w:val="it-IT"/>
            </w:rPr>
            <w:t>0</w:t>
          </w:r>
          <w:r>
            <w:rPr>
              <w:rFonts w:ascii="Calibri" w:hAnsi="Calibri" w:cs="Calibri"/>
              <w:b/>
              <w:sz w:val="26"/>
              <w:szCs w:val="26"/>
              <w:lang w:val="it-IT"/>
            </w:rPr>
            <w:t>7</w:t>
          </w:r>
          <w:r w:rsidRPr="00352B3A">
            <w:rPr>
              <w:rFonts w:ascii="Calibri" w:hAnsi="Calibri" w:cs="Calibri"/>
              <w:b/>
              <w:sz w:val="26"/>
              <w:szCs w:val="26"/>
              <w:lang w:val="it-IT"/>
            </w:rPr>
            <w:t>-2023-DGN/GRT</w:t>
          </w:r>
        </w:p>
      </w:tc>
    </w:tr>
  </w:tbl>
  <w:p w14:paraId="4B96F13B" w14:textId="77777777" w:rsidR="008458DA" w:rsidRPr="002D26F8" w:rsidRDefault="008458DA"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78B14A1C" w14:textId="77777777" w:rsidR="008458DA" w:rsidRPr="00376371" w:rsidRDefault="008458DA" w:rsidP="00352553">
    <w:pPr>
      <w:tabs>
        <w:tab w:val="left" w:pos="2120"/>
        <w:tab w:val="right" w:pos="8364"/>
      </w:tabs>
      <w:ind w:right="283"/>
      <w:rPr>
        <w:lang w:val="x-none"/>
      </w:rPr>
    </w:pPr>
    <w:r>
      <w:rPr>
        <w:lang w:val="x-none"/>
      </w:rPr>
      <w:tab/>
    </w:r>
    <w:r>
      <w:rPr>
        <w:lang w:val="x-none"/>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7709BF" w:rsidRPr="00352B3A" w14:paraId="207B55A4" w14:textId="77777777" w:rsidTr="00594573">
      <w:trPr>
        <w:trHeight w:val="1275"/>
      </w:trPr>
      <w:tc>
        <w:tcPr>
          <w:tcW w:w="4679" w:type="dxa"/>
          <w:vAlign w:val="center"/>
        </w:tcPr>
        <w:p w14:paraId="55A01D03" w14:textId="77777777" w:rsidR="007709BF" w:rsidRPr="00352B3A" w:rsidRDefault="007709BF" w:rsidP="007709BF">
          <w:pPr>
            <w:pStyle w:val="Prrafodelista"/>
            <w:rPr>
              <w:rFonts w:ascii="Calibri" w:hAnsi="Calibri" w:cs="Calibri"/>
            </w:rPr>
          </w:pPr>
          <w:r w:rsidRPr="00352B3A">
            <w:rPr>
              <w:rFonts w:ascii="Calibri" w:hAnsi="Calibri" w:cs="Calibri"/>
              <w:noProof/>
              <w:lang w:val="es-PE" w:eastAsia="es-PE"/>
            </w:rPr>
            <w:drawing>
              <wp:inline distT="0" distB="0" distL="0" distR="0" wp14:anchorId="36912BE1" wp14:editId="7A4D1A8C">
                <wp:extent cx="1955165" cy="362585"/>
                <wp:effectExtent l="0" t="0" r="698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A85F22C" w14:textId="77777777" w:rsidR="007709BF" w:rsidRPr="00352B3A" w:rsidRDefault="007709BF" w:rsidP="007709BF">
          <w:pPr>
            <w:jc w:val="center"/>
            <w:rPr>
              <w:rFonts w:ascii="Calibri" w:hAnsi="Calibri" w:cs="Calibri"/>
              <w:b/>
              <w:sz w:val="18"/>
            </w:rPr>
          </w:pPr>
          <w:r w:rsidRPr="00352B3A">
            <w:rPr>
              <w:rFonts w:ascii="Calibri" w:hAnsi="Calibri" w:cs="Calibri"/>
              <w:b/>
              <w:sz w:val="18"/>
            </w:rPr>
            <w:t>Gerencia de Regulación de Tarifas</w:t>
          </w:r>
        </w:p>
        <w:p w14:paraId="7FA88C60" w14:textId="77777777" w:rsidR="007709BF" w:rsidRPr="00352B3A" w:rsidRDefault="007709BF" w:rsidP="007709BF">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001E2B9A" w14:textId="0D34B0C1" w:rsidR="007709BF" w:rsidRPr="00352B3A" w:rsidRDefault="007709BF" w:rsidP="007709BF">
          <w:pPr>
            <w:jc w:val="center"/>
            <w:rPr>
              <w:rFonts w:ascii="Calibri" w:hAnsi="Calibri" w:cs="Calibri"/>
              <w:sz w:val="26"/>
              <w:szCs w:val="26"/>
              <w:lang w:val="it-IT"/>
            </w:rPr>
          </w:pPr>
          <w:r>
            <w:rPr>
              <w:rFonts w:ascii="Calibri" w:hAnsi="Calibri" w:cs="Calibri"/>
              <w:b/>
              <w:sz w:val="26"/>
              <w:szCs w:val="26"/>
              <w:lang w:val="it-IT"/>
            </w:rPr>
            <w:t>Informe N° PR-</w:t>
          </w:r>
          <w:r w:rsidRPr="00352B3A">
            <w:rPr>
              <w:rFonts w:ascii="Calibri" w:hAnsi="Calibri" w:cs="Calibri"/>
              <w:b/>
              <w:sz w:val="26"/>
              <w:szCs w:val="26"/>
              <w:lang w:val="it-IT"/>
            </w:rPr>
            <w:t>0</w:t>
          </w:r>
          <w:r>
            <w:rPr>
              <w:rFonts w:ascii="Calibri" w:hAnsi="Calibri" w:cs="Calibri"/>
              <w:b/>
              <w:sz w:val="26"/>
              <w:szCs w:val="26"/>
              <w:lang w:val="it-IT"/>
            </w:rPr>
            <w:t>7</w:t>
          </w:r>
          <w:r w:rsidRPr="00352B3A">
            <w:rPr>
              <w:rFonts w:ascii="Calibri" w:hAnsi="Calibri" w:cs="Calibri"/>
              <w:b/>
              <w:sz w:val="26"/>
              <w:szCs w:val="26"/>
              <w:lang w:val="it-IT"/>
            </w:rPr>
            <w:t>-2023-DGN/GRT</w:t>
          </w:r>
        </w:p>
      </w:tc>
    </w:tr>
  </w:tbl>
  <w:p w14:paraId="0BDF4F08" w14:textId="1CE6C4F4" w:rsidR="008458DA" w:rsidRPr="002E3C90" w:rsidRDefault="008458DA" w:rsidP="005A0113">
    <w:pPr>
      <w:pStyle w:val="Encabezado"/>
      <w:tabs>
        <w:tab w:val="clear" w:pos="8838"/>
        <w:tab w:val="right" w:pos="426"/>
      </w:tabs>
      <w:ind w:left="-1276"/>
    </w:pPr>
    <w:r>
      <w:rPr>
        <w:noProof/>
        <w:lang w:val="es-PE" w:eastAsia="es-PE"/>
      </w:rPr>
      <w:t xml:space="preserve">   </w:t>
    </w:r>
    <w:r>
      <w:rPr>
        <w:noProof/>
        <w:lang w:val="en-US" w:eastAsia="en-US"/>
      </w:rPr>
      <w:t xml:space="preserve">                                                            </w:t>
    </w:r>
  </w:p>
  <w:p w14:paraId="10E7957D" w14:textId="77777777" w:rsidR="008458DA" w:rsidRDefault="008458DA"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2" w:name="_Hlk68946101"/>
    <w:bookmarkStart w:id="3"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55626069" w:rsidR="00352B3A" w:rsidRPr="00352B3A" w:rsidRDefault="00352B3A" w:rsidP="008458DA">
          <w:pPr>
            <w:jc w:val="center"/>
            <w:rPr>
              <w:rFonts w:ascii="Calibri" w:hAnsi="Calibri" w:cs="Calibri"/>
              <w:sz w:val="26"/>
              <w:szCs w:val="26"/>
              <w:lang w:val="it-IT"/>
            </w:rPr>
          </w:pPr>
          <w:r w:rsidRPr="00352B3A">
            <w:rPr>
              <w:rFonts w:ascii="Calibri" w:hAnsi="Calibri" w:cs="Calibri"/>
              <w:b/>
              <w:sz w:val="26"/>
              <w:szCs w:val="26"/>
              <w:lang w:val="it-IT"/>
            </w:rPr>
            <w:t>Informe N° PR- 0</w:t>
          </w:r>
          <w:r w:rsidR="008458DA">
            <w:rPr>
              <w:rFonts w:ascii="Calibri" w:hAnsi="Calibri" w:cs="Calibri"/>
              <w:b/>
              <w:sz w:val="26"/>
              <w:szCs w:val="26"/>
              <w:lang w:val="it-IT"/>
            </w:rPr>
            <w:t>7</w:t>
          </w:r>
          <w:r w:rsidRPr="00352B3A">
            <w:rPr>
              <w:rFonts w:ascii="Calibri" w:hAnsi="Calibri" w:cs="Calibri"/>
              <w:b/>
              <w:sz w:val="26"/>
              <w:szCs w:val="26"/>
              <w:lang w:val="it-IT"/>
            </w:rPr>
            <w:t>-2023-DGN/GRT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2"/>
  <w:bookmarkEnd w:id="3"/>
  <w:p w14:paraId="1C9A32BF" w14:textId="4E046723" w:rsidR="004F74EE" w:rsidRPr="00376371" w:rsidRDefault="004F74EE" w:rsidP="00352553">
    <w:pPr>
      <w:tabs>
        <w:tab w:val="left" w:pos="2120"/>
        <w:tab w:val="right" w:pos="8364"/>
      </w:tabs>
      <w:ind w:right="283"/>
      <w:rPr>
        <w:lang w:val="x-non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0E90326A" w:rsidR="00352B3A" w:rsidRPr="00352B3A" w:rsidRDefault="00C823A9" w:rsidP="008458DA">
          <w:pPr>
            <w:jc w:val="center"/>
            <w:rPr>
              <w:rFonts w:ascii="Calibri" w:hAnsi="Calibri" w:cs="Calibri"/>
              <w:sz w:val="26"/>
              <w:szCs w:val="26"/>
              <w:lang w:val="it-IT"/>
            </w:rPr>
          </w:pPr>
          <w:r>
            <w:rPr>
              <w:rFonts w:ascii="Calibri" w:hAnsi="Calibri" w:cs="Calibri"/>
              <w:b/>
              <w:sz w:val="26"/>
              <w:szCs w:val="26"/>
              <w:lang w:val="it-IT"/>
            </w:rPr>
            <w:t>Informe N° PR-</w:t>
          </w:r>
          <w:r w:rsidR="00352B3A" w:rsidRPr="00352B3A">
            <w:rPr>
              <w:rFonts w:ascii="Calibri" w:hAnsi="Calibri" w:cs="Calibri"/>
              <w:b/>
              <w:sz w:val="26"/>
              <w:szCs w:val="26"/>
              <w:lang w:val="it-IT"/>
            </w:rPr>
            <w:t>0</w:t>
          </w:r>
          <w:r w:rsidR="008458DA">
            <w:rPr>
              <w:rFonts w:ascii="Calibri" w:hAnsi="Calibri" w:cs="Calibri"/>
              <w:b/>
              <w:sz w:val="26"/>
              <w:szCs w:val="26"/>
              <w:lang w:val="it-IT"/>
            </w:rPr>
            <w:t>7</w:t>
          </w:r>
          <w:r w:rsidR="00352B3A" w:rsidRPr="00352B3A">
            <w:rPr>
              <w:rFonts w:ascii="Calibri" w:hAnsi="Calibri" w:cs="Calibri"/>
              <w:b/>
              <w:sz w:val="26"/>
              <w:szCs w:val="26"/>
              <w:lang w:val="it-IT"/>
            </w:rPr>
            <w:t>-2023-DGN/GRT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7975BFD2" w:rsidR="00352B3A" w:rsidRPr="00352B3A" w:rsidRDefault="00C823A9" w:rsidP="008458DA">
          <w:pPr>
            <w:jc w:val="center"/>
            <w:rPr>
              <w:rFonts w:ascii="Calibri" w:hAnsi="Calibri" w:cs="Calibri"/>
              <w:sz w:val="26"/>
              <w:szCs w:val="26"/>
              <w:lang w:val="it-IT"/>
            </w:rPr>
          </w:pPr>
          <w:r>
            <w:rPr>
              <w:rFonts w:ascii="Calibri" w:hAnsi="Calibri" w:cs="Calibri"/>
              <w:b/>
              <w:sz w:val="26"/>
              <w:szCs w:val="26"/>
              <w:lang w:val="it-IT"/>
            </w:rPr>
            <w:t>Informe N° PR -</w:t>
          </w:r>
          <w:r w:rsidR="00352B3A" w:rsidRPr="00352B3A">
            <w:rPr>
              <w:rFonts w:ascii="Calibri" w:hAnsi="Calibri" w:cs="Calibri"/>
              <w:b/>
              <w:sz w:val="26"/>
              <w:szCs w:val="26"/>
              <w:lang w:val="it-IT"/>
            </w:rPr>
            <w:t>0</w:t>
          </w:r>
          <w:r w:rsidR="008458DA">
            <w:rPr>
              <w:rFonts w:ascii="Calibri" w:hAnsi="Calibri" w:cs="Calibri"/>
              <w:b/>
              <w:sz w:val="26"/>
              <w:szCs w:val="26"/>
              <w:lang w:val="it-IT"/>
            </w:rPr>
            <w:t>7</w:t>
          </w:r>
          <w:r w:rsidR="00352B3A" w:rsidRPr="00352B3A">
            <w:rPr>
              <w:rFonts w:ascii="Calibri" w:hAnsi="Calibri" w:cs="Calibri"/>
              <w:b/>
              <w:sz w:val="26"/>
              <w:szCs w:val="26"/>
              <w:lang w:val="it-IT"/>
            </w:rPr>
            <w:t>-2023-DGN/GRT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3B6910B5" w:rsidR="00352B3A" w:rsidRPr="00352B3A" w:rsidRDefault="00352B3A" w:rsidP="009D3604">
          <w:pPr>
            <w:jc w:val="center"/>
            <w:rPr>
              <w:rFonts w:ascii="Calibri" w:hAnsi="Calibri" w:cs="Calibri"/>
              <w:sz w:val="26"/>
              <w:szCs w:val="26"/>
              <w:lang w:val="it-IT"/>
            </w:rPr>
          </w:pPr>
          <w:r w:rsidRPr="00352B3A">
            <w:rPr>
              <w:rFonts w:ascii="Calibri" w:hAnsi="Calibri" w:cs="Calibri"/>
              <w:b/>
              <w:sz w:val="26"/>
              <w:szCs w:val="26"/>
              <w:lang w:val="it-IT"/>
            </w:rPr>
            <w:t>Informe N° PR-0</w:t>
          </w:r>
          <w:r w:rsidR="008458DA">
            <w:rPr>
              <w:rFonts w:ascii="Calibri" w:hAnsi="Calibri" w:cs="Calibri"/>
              <w:b/>
              <w:sz w:val="26"/>
              <w:szCs w:val="26"/>
              <w:lang w:val="it-IT"/>
            </w:rPr>
            <w:t>7</w:t>
          </w:r>
          <w:r w:rsidRPr="00352B3A">
            <w:rPr>
              <w:rFonts w:ascii="Calibri" w:hAnsi="Calibri" w:cs="Calibri"/>
              <w:b/>
              <w:sz w:val="26"/>
              <w:szCs w:val="26"/>
              <w:lang w:val="it-IT"/>
            </w:rPr>
            <w:t>-2023-DGN/GRT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 w:numId="20">
    <w:abstractNumId w:val="2"/>
  </w:num>
  <w:num w:numId="21">
    <w:abstractNumId w:val="1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activeWritingStyle w:appName="MSWord" w:lang="es-PE" w:vendorID="64" w:dllVersion="131078" w:nlCheck="1" w:checkStyle="0"/>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E11"/>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2FA"/>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6D4"/>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7D"/>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42"/>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A2F"/>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7A4"/>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C7"/>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9BF"/>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46"/>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8DA"/>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24C"/>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DE9"/>
    <w:rsid w:val="00973E53"/>
    <w:rsid w:val="00973F09"/>
    <w:rsid w:val="00973F3B"/>
    <w:rsid w:val="00974110"/>
    <w:rsid w:val="0097439D"/>
    <w:rsid w:val="009746D6"/>
    <w:rsid w:val="009747B7"/>
    <w:rsid w:val="00974AB0"/>
    <w:rsid w:val="00974C71"/>
    <w:rsid w:val="009750F0"/>
    <w:rsid w:val="009751EE"/>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B7FF3"/>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04"/>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186"/>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594"/>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191"/>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3F44"/>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9B0"/>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B1F"/>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51F"/>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3A9"/>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D5A"/>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57BE2"/>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4FE"/>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0C"/>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37"/>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298344225">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7116831">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17218933">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0683582">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1653004">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4938743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fontTable" Target="fontTable.xml"/><Relationship Id="rId21" Type="http://schemas.openxmlformats.org/officeDocument/2006/relationships/footer" Target="footer4.xml"/><Relationship Id="rId34"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image" Target="media/image14.gif"/><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header" Target="header5.xml"/><Relationship Id="rId32" Type="http://schemas.openxmlformats.org/officeDocument/2006/relationships/image" Target="media/image13.gif"/><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image" Target="media/image9.png"/><Relationship Id="rId36" Type="http://schemas.openxmlformats.org/officeDocument/2006/relationships/hyperlink" Target="https://www.osinergmin.gob.pe/seccion/centro_documental/gart/precios_referencia_banda_precios/PreciosReferencia/Informe-Tecnico-479-2021-GRT.pdf" TargetMode="Externa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2.gif"/><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image" Target="media/image8.png"/><Relationship Id="rId30" Type="http://schemas.openxmlformats.org/officeDocument/2006/relationships/image" Target="media/image11.gif"/><Relationship Id="rId35" Type="http://schemas.openxmlformats.org/officeDocument/2006/relationships/image" Target="media/image16.png"/><Relationship Id="rId8" Type="http://schemas.openxmlformats.org/officeDocument/2006/relationships/image" Target="media/image1.png"/><Relationship Id="rId3" Type="http://schemas.openxmlformats.org/officeDocument/2006/relationships/styles" Target="styles.xml"/></Relationships>
</file>

<file path=word/_rels/footer5.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0F305-9439-443A-B988-51BE5EE68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3457</Words>
  <Characters>19019</Characters>
  <Application>Microsoft Office Word</Application>
  <DocSecurity>0</DocSecurity>
  <Lines>158</Lines>
  <Paragraphs>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5</cp:revision>
  <cp:lastPrinted>2023-01-12T22:49:00Z</cp:lastPrinted>
  <dcterms:created xsi:type="dcterms:W3CDTF">2023-02-14T22:11:00Z</dcterms:created>
  <dcterms:modified xsi:type="dcterms:W3CDTF">2023-02-15T14:35:00Z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