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DBDC5BD"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4C681E">
        <w:rPr>
          <w:rFonts w:asciiTheme="minorHAnsi" w:hAnsiTheme="minorHAnsi" w:cstheme="minorHAnsi"/>
          <w:sz w:val="32"/>
          <w:szCs w:val="28"/>
          <w:u w:val="single"/>
          <w:lang w:val="it-IT"/>
        </w:rPr>
        <w:t>2</w:t>
      </w:r>
      <w:r w:rsidR="00FE53EF">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35F6810"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FE53EF">
        <w:rPr>
          <w:rFonts w:asciiTheme="minorHAnsi" w:hAnsiTheme="minorHAnsi" w:cstheme="minorHAnsi"/>
          <w:b/>
          <w:bCs/>
          <w:sz w:val="28"/>
          <w:szCs w:val="28"/>
        </w:rPr>
        <w:t>12</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624A92">
        <w:rPr>
          <w:rFonts w:asciiTheme="minorHAnsi" w:hAnsiTheme="minorHAnsi" w:cstheme="minorHAnsi"/>
          <w:b/>
          <w:bCs/>
          <w:sz w:val="28"/>
          <w:szCs w:val="28"/>
        </w:rPr>
        <w:t>6</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07449070" w:rsidR="00E53D92" w:rsidRPr="002B3648" w:rsidRDefault="00FE53EF"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6E943742" wp14:editId="6C65BE26">
            <wp:extent cx="5328000" cy="3506400"/>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8000" cy="3506400"/>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42F06514"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a</w:t>
      </w:r>
      <w:r w:rsidR="006C4BFD">
        <w:rPr>
          <w:rFonts w:asciiTheme="minorHAnsi" w:hAnsiTheme="minorHAnsi" w:cstheme="minorHAnsi"/>
          <w:sz w:val="22"/>
          <w:szCs w:val="22"/>
        </w:rPr>
        <w:t>b</w:t>
      </w:r>
      <w:r w:rsidR="00A43639">
        <w:rPr>
          <w:rFonts w:asciiTheme="minorHAnsi" w:hAnsiTheme="minorHAnsi" w:cstheme="minorHAnsi"/>
          <w:sz w:val="22"/>
          <w:szCs w:val="22"/>
        </w:rPr>
        <w:t>r</w:t>
      </w:r>
      <w:r w:rsidR="006C4BFD">
        <w:rPr>
          <w:rFonts w:asciiTheme="minorHAnsi" w:hAnsiTheme="minorHAnsi" w:cstheme="minorHAnsi"/>
          <w:sz w:val="22"/>
          <w:szCs w:val="22"/>
        </w:rPr>
        <w:t>il</w:t>
      </w:r>
      <w:r w:rsidR="00A43639">
        <w:rPr>
          <w:rFonts w:asciiTheme="minorHAnsi" w:hAnsiTheme="minorHAnsi" w:cstheme="minorHAnsi"/>
          <w:sz w:val="22"/>
          <w:szCs w:val="22"/>
        </w:rPr>
        <w:t xml:space="preserve">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240E21B6"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w:t>
      </w:r>
      <w:r w:rsidR="00FE53EF">
        <w:rPr>
          <w:rFonts w:asciiTheme="minorHAnsi" w:hAnsiTheme="minorHAnsi" w:cstheme="minorHAnsi"/>
          <w:sz w:val="22"/>
          <w:szCs w:val="22"/>
        </w:rPr>
        <w:t>el precio del crudo WTI se ubicó en</w:t>
      </w:r>
      <w:r w:rsidR="00FE53EF" w:rsidRPr="00CC0F16">
        <w:rPr>
          <w:rFonts w:asciiTheme="minorHAnsi" w:hAnsiTheme="minorHAnsi" w:cstheme="minorHAnsi"/>
          <w:sz w:val="22"/>
          <w:szCs w:val="22"/>
        </w:rPr>
        <w:t xml:space="preserve"> </w:t>
      </w:r>
      <w:r w:rsidR="00FE53EF">
        <w:rPr>
          <w:rFonts w:asciiTheme="minorHAnsi" w:hAnsiTheme="minorHAnsi" w:cstheme="minorHAnsi"/>
          <w:sz w:val="22"/>
          <w:szCs w:val="22"/>
        </w:rPr>
        <w:t>70,94</w:t>
      </w:r>
      <w:r w:rsidR="00D9369F">
        <w:rPr>
          <w:rFonts w:asciiTheme="minorHAnsi" w:hAnsiTheme="minorHAnsi" w:cstheme="minorHAnsi"/>
          <w:sz w:val="22"/>
          <w:szCs w:val="22"/>
        </w:rPr>
        <w:t xml:space="preserve"> </w:t>
      </w:r>
      <w:r w:rsidR="00FE53EF" w:rsidRPr="00CC0F16">
        <w:rPr>
          <w:rFonts w:asciiTheme="minorHAnsi" w:hAnsiTheme="minorHAnsi" w:cstheme="minorHAnsi"/>
          <w:sz w:val="22"/>
          <w:szCs w:val="22"/>
        </w:rPr>
        <w:t>US$/</w:t>
      </w:r>
      <w:proofErr w:type="spellStart"/>
      <w:r w:rsidR="00FE53EF" w:rsidRPr="00CC0F16">
        <w:rPr>
          <w:rFonts w:asciiTheme="minorHAnsi" w:hAnsiTheme="minorHAnsi" w:cstheme="minorHAnsi"/>
          <w:sz w:val="22"/>
          <w:szCs w:val="22"/>
        </w:rPr>
        <w:t>Bl</w:t>
      </w:r>
      <w:proofErr w:type="spellEnd"/>
      <w:r w:rsidR="00FE53EF" w:rsidRPr="00CC0F16">
        <w:rPr>
          <w:rFonts w:asciiTheme="minorHAnsi" w:hAnsiTheme="minorHAnsi" w:cstheme="minorHAnsi"/>
          <w:sz w:val="22"/>
          <w:szCs w:val="22"/>
        </w:rPr>
        <w:t>, las gasolinas</w:t>
      </w:r>
      <w:r w:rsidR="00FE53EF">
        <w:rPr>
          <w:rFonts w:asciiTheme="minorHAnsi" w:hAnsiTheme="minorHAnsi" w:cstheme="minorHAnsi"/>
          <w:sz w:val="22"/>
          <w:szCs w:val="22"/>
        </w:rPr>
        <w:t xml:space="preserve"> registraron un precio superior a 99 US$/</w:t>
      </w:r>
      <w:proofErr w:type="spellStart"/>
      <w:r w:rsidR="00FE53EF">
        <w:rPr>
          <w:rFonts w:asciiTheme="minorHAnsi" w:hAnsiTheme="minorHAnsi" w:cstheme="minorHAnsi"/>
          <w:sz w:val="22"/>
          <w:szCs w:val="22"/>
        </w:rPr>
        <w:t>Bl</w:t>
      </w:r>
      <w:proofErr w:type="spellEnd"/>
      <w:r w:rsidR="00FE53EF" w:rsidRPr="00CC0F16">
        <w:rPr>
          <w:rFonts w:asciiTheme="minorHAnsi" w:hAnsiTheme="minorHAnsi" w:cstheme="minorHAnsi"/>
          <w:sz w:val="22"/>
          <w:szCs w:val="22"/>
        </w:rPr>
        <w:t xml:space="preserve"> </w:t>
      </w:r>
      <w:r w:rsidR="00FE53EF">
        <w:rPr>
          <w:rFonts w:asciiTheme="minorHAnsi" w:hAnsiTheme="minorHAnsi" w:cstheme="minorHAnsi"/>
          <w:sz w:val="22"/>
          <w:szCs w:val="22"/>
        </w:rPr>
        <w:t>y los destilados medios registraron</w:t>
      </w:r>
      <w:r w:rsidR="00FE53EF" w:rsidRPr="00CC0F16">
        <w:rPr>
          <w:rFonts w:asciiTheme="minorHAnsi" w:hAnsiTheme="minorHAnsi" w:cstheme="minorHAnsi"/>
          <w:sz w:val="22"/>
          <w:szCs w:val="22"/>
        </w:rPr>
        <w:t xml:space="preserve"> niveles </w:t>
      </w:r>
      <w:r w:rsidR="00FE53EF">
        <w:rPr>
          <w:rFonts w:asciiTheme="minorHAnsi" w:hAnsiTheme="minorHAnsi" w:cstheme="minorHAnsi"/>
          <w:sz w:val="22"/>
          <w:szCs w:val="22"/>
        </w:rPr>
        <w:t>por encima de</w:t>
      </w:r>
      <w:r w:rsidR="00FE53EF" w:rsidRPr="00CC0F16">
        <w:rPr>
          <w:rFonts w:asciiTheme="minorHAnsi" w:hAnsiTheme="minorHAnsi" w:cstheme="minorHAnsi"/>
          <w:sz w:val="22"/>
          <w:szCs w:val="22"/>
        </w:rPr>
        <w:t xml:space="preserve"> los </w:t>
      </w:r>
      <w:r w:rsidR="00FE53EF">
        <w:rPr>
          <w:rFonts w:asciiTheme="minorHAnsi" w:hAnsiTheme="minorHAnsi" w:cstheme="minorHAnsi"/>
          <w:sz w:val="22"/>
          <w:szCs w:val="22"/>
        </w:rPr>
        <w:t>97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 Para el mismo periodo, el precio del GLP cerró la semana en 25</w:t>
      </w:r>
      <w:r w:rsidR="00D9369F">
        <w:rPr>
          <w:rFonts w:asciiTheme="minorHAnsi" w:hAnsiTheme="minorHAnsi" w:cstheme="minorHAnsi"/>
          <w:sz w:val="22"/>
          <w:szCs w:val="22"/>
        </w:rPr>
        <w:t>,</w:t>
      </w:r>
      <w:r w:rsidR="00FE53EF">
        <w:rPr>
          <w:rFonts w:asciiTheme="minorHAnsi" w:hAnsiTheme="minorHAnsi" w:cstheme="minorHAnsi"/>
          <w:sz w:val="22"/>
          <w:szCs w:val="22"/>
        </w:rPr>
        <w:t>21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13EE9E0B"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En las semanas del</w:t>
      </w:r>
      <w:r w:rsidR="00B21DAA">
        <w:rPr>
          <w:rFonts w:asciiTheme="minorHAnsi" w:hAnsiTheme="minorHAnsi" w:cstheme="minorHAnsi"/>
          <w:sz w:val="22"/>
          <w:szCs w:val="22"/>
        </w:rPr>
        <w:t xml:space="preserve"> </w:t>
      </w:r>
      <w:r w:rsidR="00D9369F">
        <w:rPr>
          <w:rFonts w:asciiTheme="minorHAnsi" w:hAnsiTheme="minorHAnsi" w:cstheme="minorHAnsi"/>
          <w:sz w:val="22"/>
          <w:szCs w:val="22"/>
        </w:rPr>
        <w:t>26</w:t>
      </w:r>
      <w:r w:rsidRPr="00431A8E">
        <w:rPr>
          <w:rFonts w:asciiTheme="minorHAnsi" w:hAnsiTheme="minorHAnsi" w:cstheme="minorHAnsi"/>
          <w:sz w:val="22"/>
          <w:szCs w:val="22"/>
        </w:rPr>
        <w:t>.</w:t>
      </w:r>
      <w:r>
        <w:rPr>
          <w:rFonts w:asciiTheme="minorHAnsi" w:hAnsiTheme="minorHAnsi" w:cstheme="minorHAnsi"/>
          <w:sz w:val="22"/>
          <w:szCs w:val="22"/>
        </w:rPr>
        <w:t>0</w:t>
      </w:r>
      <w:r w:rsidR="002372F7">
        <w:rPr>
          <w:rFonts w:asciiTheme="minorHAnsi" w:hAnsiTheme="minorHAnsi" w:cstheme="minorHAnsi"/>
          <w:sz w:val="22"/>
          <w:szCs w:val="22"/>
        </w:rPr>
        <w:t>5</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AF7142">
        <w:rPr>
          <w:rFonts w:asciiTheme="minorHAnsi" w:hAnsiTheme="minorHAnsi" w:cstheme="minorHAnsi"/>
          <w:sz w:val="22"/>
          <w:szCs w:val="22"/>
        </w:rPr>
        <w:t>0</w:t>
      </w:r>
      <w:r w:rsidR="00D9369F">
        <w:rPr>
          <w:rFonts w:asciiTheme="minorHAnsi" w:hAnsiTheme="minorHAnsi" w:cstheme="minorHAnsi"/>
          <w:sz w:val="22"/>
          <w:szCs w:val="22"/>
        </w:rPr>
        <w:t>9</w:t>
      </w:r>
      <w:r w:rsidRPr="00431A8E">
        <w:rPr>
          <w:rFonts w:asciiTheme="minorHAnsi" w:hAnsiTheme="minorHAnsi" w:cstheme="minorHAnsi"/>
          <w:sz w:val="22"/>
          <w:szCs w:val="22"/>
        </w:rPr>
        <w:t>.0</w:t>
      </w:r>
      <w:r w:rsidR="00AF7142">
        <w:rPr>
          <w:rFonts w:asciiTheme="minorHAnsi" w:hAnsiTheme="minorHAnsi" w:cstheme="minorHAnsi"/>
          <w:sz w:val="22"/>
          <w:szCs w:val="22"/>
        </w:rPr>
        <w:t>6</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4D90B0DB" w14:textId="77777777" w:rsidR="00D9369F" w:rsidRPr="00055109" w:rsidRDefault="00D9369F" w:rsidP="00D9369F">
      <w:pPr>
        <w:pStyle w:val="Prrafodelista"/>
        <w:numPr>
          <w:ilvl w:val="0"/>
          <w:numId w:val="13"/>
        </w:numPr>
        <w:ind w:left="426"/>
        <w:contextualSpacing/>
        <w:jc w:val="both"/>
        <w:rPr>
          <w:rFonts w:asciiTheme="minorHAnsi" w:hAnsiTheme="minorHAnsi" w:cstheme="minorHAnsi"/>
          <w:b/>
          <w:sz w:val="22"/>
          <w:szCs w:val="22"/>
        </w:rPr>
      </w:pPr>
      <w:r w:rsidRPr="00055109">
        <w:rPr>
          <w:rFonts w:asciiTheme="minorHAnsi" w:hAnsiTheme="minorHAnsi" w:cstheme="minorHAnsi"/>
          <w:b/>
          <w:sz w:val="22"/>
          <w:szCs w:val="22"/>
        </w:rPr>
        <w:t>La disminución de los inventarios de crudo; así como el incremento de las existencias de propano, gasolinas y destilados medios al 02 de junio del 2023.</w:t>
      </w:r>
    </w:p>
    <w:p w14:paraId="42DD9973" w14:textId="77777777" w:rsidR="00D9369F" w:rsidRPr="00055109" w:rsidRDefault="00D9369F" w:rsidP="00D9369F">
      <w:pPr>
        <w:pStyle w:val="Prrafodelista"/>
        <w:ind w:left="426"/>
        <w:jc w:val="both"/>
        <w:rPr>
          <w:rFonts w:asciiTheme="minorHAnsi" w:hAnsiTheme="minorHAnsi" w:cstheme="minorHAnsi"/>
          <w:sz w:val="22"/>
          <w:szCs w:val="22"/>
        </w:rPr>
      </w:pPr>
    </w:p>
    <w:p w14:paraId="4A54AD17" w14:textId="77777777" w:rsidR="00D9369F" w:rsidRPr="00055109" w:rsidRDefault="00D9369F" w:rsidP="00D9369F">
      <w:pPr>
        <w:pStyle w:val="Prrafodelista"/>
        <w:ind w:left="426"/>
        <w:jc w:val="both"/>
        <w:rPr>
          <w:rFonts w:asciiTheme="minorHAnsi" w:hAnsiTheme="minorHAnsi" w:cstheme="minorHAnsi"/>
          <w:sz w:val="22"/>
          <w:szCs w:val="22"/>
        </w:rPr>
      </w:pPr>
      <w:r w:rsidRPr="00055109">
        <w:rPr>
          <w:rFonts w:asciiTheme="minorHAnsi" w:hAnsiTheme="minorHAnsi" w:cstheme="minorHAnsi"/>
          <w:sz w:val="22"/>
          <w:szCs w:val="22"/>
        </w:rPr>
        <w:t>Los inventarios de petróleo de Estados Unidos disminuyeron 0,5 millones de barriles, ubicándose en un 2% por debajo de la media de los últimos 5 años, lo que representa 459,2 millones de barriles.</w:t>
      </w:r>
    </w:p>
    <w:p w14:paraId="2D811CCE" w14:textId="77777777" w:rsidR="00D9369F" w:rsidRPr="00055109" w:rsidRDefault="00D9369F" w:rsidP="00D9369F">
      <w:pPr>
        <w:pStyle w:val="Prrafodelista"/>
        <w:ind w:left="426"/>
        <w:jc w:val="both"/>
        <w:rPr>
          <w:rFonts w:asciiTheme="minorHAnsi" w:hAnsiTheme="minorHAnsi" w:cstheme="minorHAnsi"/>
          <w:sz w:val="22"/>
          <w:szCs w:val="22"/>
        </w:rPr>
      </w:pPr>
    </w:p>
    <w:p w14:paraId="4D3ACF52" w14:textId="77777777" w:rsidR="00D9369F" w:rsidRPr="00055109" w:rsidRDefault="00D9369F" w:rsidP="00D9369F">
      <w:pPr>
        <w:pStyle w:val="Prrafodelista"/>
        <w:ind w:left="426"/>
        <w:jc w:val="both"/>
        <w:rPr>
          <w:rFonts w:asciiTheme="minorHAnsi" w:hAnsiTheme="minorHAnsi" w:cstheme="minorHAnsi"/>
          <w:sz w:val="22"/>
          <w:szCs w:val="22"/>
        </w:rPr>
      </w:pPr>
      <w:r w:rsidRPr="00055109">
        <w:rPr>
          <w:rFonts w:asciiTheme="minorHAnsi" w:hAnsiTheme="minorHAnsi" w:cstheme="minorHAnsi"/>
          <w:sz w:val="22"/>
          <w:szCs w:val="22"/>
        </w:rPr>
        <w:t>Por su parte, las existencias de gasolina subieron 2,7 millones de barriles, reportando un total de 218,8 millones de barriles; mientras los inventarios de destilados, que incluyen al diésel y al combustible para calefacción, se elevaron 5,0 millones de barriles, con un total de 111,7 millones de barriles. Finalmente, las existencias de propano se incrementaron en 1,67 millones de barriles, ubicándose en los 72,34 millones de barriles.</w:t>
      </w:r>
    </w:p>
    <w:p w14:paraId="64305760" w14:textId="77777777" w:rsidR="00D9369F" w:rsidRPr="00055109" w:rsidRDefault="00D9369F" w:rsidP="00D9369F">
      <w:pPr>
        <w:pStyle w:val="Prrafodelista"/>
        <w:ind w:left="426"/>
        <w:jc w:val="both"/>
        <w:rPr>
          <w:rFonts w:asciiTheme="minorHAnsi" w:hAnsiTheme="minorHAnsi" w:cstheme="minorHAnsi"/>
          <w:sz w:val="22"/>
          <w:szCs w:val="22"/>
        </w:rPr>
      </w:pPr>
    </w:p>
    <w:p w14:paraId="2D94EEDE" w14:textId="77777777" w:rsidR="00D9369F" w:rsidRPr="00055109" w:rsidRDefault="00D9369F" w:rsidP="00D9369F">
      <w:pPr>
        <w:pStyle w:val="Prrafodelista"/>
        <w:numPr>
          <w:ilvl w:val="0"/>
          <w:numId w:val="13"/>
        </w:numPr>
        <w:ind w:left="360"/>
        <w:contextualSpacing/>
        <w:jc w:val="both"/>
        <w:rPr>
          <w:rFonts w:asciiTheme="minorHAnsi" w:hAnsiTheme="minorHAnsi" w:cstheme="minorHAnsi"/>
          <w:b/>
          <w:sz w:val="22"/>
          <w:szCs w:val="22"/>
        </w:rPr>
      </w:pPr>
      <w:r w:rsidRPr="00055109">
        <w:rPr>
          <w:rFonts w:asciiTheme="minorHAnsi" w:hAnsiTheme="minorHAnsi" w:cstheme="minorHAnsi"/>
          <w:b/>
          <w:sz w:val="22"/>
          <w:szCs w:val="22"/>
        </w:rPr>
        <w:t>Las preocupaciones sobre la debilidad de la demanda y la desaceleración económica mundial</w:t>
      </w:r>
    </w:p>
    <w:p w14:paraId="459C9131" w14:textId="77777777" w:rsidR="00D9369F" w:rsidRPr="00055109" w:rsidRDefault="00D9369F" w:rsidP="00D9369F">
      <w:pPr>
        <w:jc w:val="both"/>
        <w:rPr>
          <w:rFonts w:asciiTheme="minorHAnsi" w:hAnsiTheme="minorHAnsi" w:cstheme="minorHAnsi"/>
          <w:b/>
          <w:sz w:val="22"/>
          <w:szCs w:val="22"/>
        </w:rPr>
      </w:pPr>
    </w:p>
    <w:p w14:paraId="227AD6C6" w14:textId="77777777" w:rsidR="00D9369F" w:rsidRPr="00055109" w:rsidRDefault="00D9369F" w:rsidP="00D9369F">
      <w:pPr>
        <w:ind w:left="426"/>
        <w:jc w:val="both"/>
        <w:rPr>
          <w:rFonts w:asciiTheme="minorHAnsi" w:hAnsiTheme="minorHAnsi" w:cstheme="minorHAnsi"/>
          <w:sz w:val="22"/>
          <w:szCs w:val="22"/>
        </w:rPr>
      </w:pPr>
      <w:r w:rsidRPr="00055109">
        <w:rPr>
          <w:rFonts w:asciiTheme="minorHAnsi" w:hAnsiTheme="minorHAnsi" w:cstheme="minorHAnsi"/>
          <w:sz w:val="22"/>
          <w:szCs w:val="22"/>
        </w:rPr>
        <w:t>La preocupación por el crecimiento económico mundial y el debilitamiento de la demanda, tuvieron mayor impacto en el mercado que la promesa de Arabia Saudita de profundizar sus recortes de producción. El mayor exportador mundial, manifestó que su producción se reduciría en un millón de barriles diarios (bpd) hasta los 9 millones de bpd en julio, a fin de contrarrestar los factores macroeconómicos adversos que han deprimido a los mercados.</w:t>
      </w:r>
    </w:p>
    <w:p w14:paraId="5D8E38D4" w14:textId="77777777" w:rsidR="00D9369F" w:rsidRPr="00055109" w:rsidRDefault="00D9369F" w:rsidP="00D9369F">
      <w:pPr>
        <w:ind w:left="426"/>
        <w:jc w:val="both"/>
        <w:rPr>
          <w:rFonts w:asciiTheme="minorHAnsi" w:hAnsiTheme="minorHAnsi" w:cstheme="minorHAnsi"/>
          <w:sz w:val="22"/>
          <w:szCs w:val="22"/>
        </w:rPr>
      </w:pPr>
    </w:p>
    <w:p w14:paraId="3427011F" w14:textId="77EE51EB" w:rsidR="00D9369F" w:rsidRDefault="00D9369F" w:rsidP="00D9369F">
      <w:pPr>
        <w:ind w:left="426"/>
        <w:jc w:val="both"/>
        <w:rPr>
          <w:rFonts w:asciiTheme="minorHAnsi" w:hAnsiTheme="minorHAnsi" w:cstheme="minorHAnsi"/>
          <w:sz w:val="22"/>
          <w:szCs w:val="22"/>
        </w:rPr>
      </w:pPr>
      <w:r w:rsidRPr="00055109">
        <w:rPr>
          <w:rFonts w:asciiTheme="minorHAnsi" w:hAnsiTheme="minorHAnsi" w:cstheme="minorHAnsi"/>
          <w:sz w:val="22"/>
          <w:szCs w:val="22"/>
        </w:rPr>
        <w:lastRenderedPageBreak/>
        <w:t>Las posibles recesiones en Estados Unidos y Europa y el menor crecimiento de China hacen improbable que el recorte de la producción saudí permita un “aumento sostenible de los precios hasta los 80 – 90 dólares”, según una nota publicada por los analistas de Citi.</w:t>
      </w:r>
    </w:p>
    <w:p w14:paraId="0CC99165" w14:textId="77777777" w:rsidR="00D9369F" w:rsidRPr="00055109" w:rsidRDefault="00D9369F" w:rsidP="00D9369F">
      <w:pPr>
        <w:ind w:left="426"/>
        <w:jc w:val="both"/>
        <w:rPr>
          <w:rFonts w:asciiTheme="minorHAnsi" w:hAnsiTheme="minorHAnsi" w:cstheme="minorHAnsi"/>
          <w:sz w:val="22"/>
          <w:szCs w:val="22"/>
        </w:rPr>
      </w:pPr>
    </w:p>
    <w:p w14:paraId="5762CF83" w14:textId="77777777" w:rsidR="00D9369F" w:rsidRPr="00055109" w:rsidRDefault="00D9369F" w:rsidP="00D9369F">
      <w:pPr>
        <w:pStyle w:val="Prrafodelista"/>
        <w:numPr>
          <w:ilvl w:val="0"/>
          <w:numId w:val="13"/>
        </w:numPr>
        <w:ind w:left="426"/>
        <w:contextualSpacing/>
        <w:jc w:val="both"/>
        <w:rPr>
          <w:rFonts w:asciiTheme="minorHAnsi" w:hAnsiTheme="minorHAnsi" w:cstheme="minorHAnsi"/>
          <w:b/>
          <w:sz w:val="22"/>
          <w:szCs w:val="22"/>
        </w:rPr>
      </w:pPr>
      <w:r w:rsidRPr="00055109">
        <w:rPr>
          <w:rFonts w:asciiTheme="minorHAnsi" w:hAnsiTheme="minorHAnsi" w:cstheme="minorHAnsi"/>
          <w:b/>
          <w:sz w:val="22"/>
          <w:szCs w:val="22"/>
        </w:rPr>
        <w:t>La posibilidad de una pausa en el incremento de las tasas de interés de Estados Unidos y la contracción de la actividad manufacturera en China.</w:t>
      </w:r>
    </w:p>
    <w:p w14:paraId="04BFB8D9" w14:textId="77777777" w:rsidR="00D9369F" w:rsidRPr="00055109" w:rsidRDefault="00D9369F" w:rsidP="00D9369F">
      <w:pPr>
        <w:pStyle w:val="Prrafodelista"/>
        <w:ind w:left="360"/>
        <w:jc w:val="both"/>
        <w:rPr>
          <w:rFonts w:asciiTheme="minorHAnsi" w:hAnsiTheme="minorHAnsi" w:cstheme="minorHAnsi"/>
          <w:b/>
          <w:bCs/>
          <w:sz w:val="22"/>
          <w:szCs w:val="22"/>
        </w:rPr>
      </w:pPr>
    </w:p>
    <w:p w14:paraId="4A2311A8" w14:textId="77777777" w:rsidR="00D9369F" w:rsidRPr="00055109" w:rsidRDefault="00D9369F" w:rsidP="00D9369F">
      <w:pPr>
        <w:ind w:left="426"/>
        <w:jc w:val="both"/>
        <w:rPr>
          <w:rFonts w:asciiTheme="minorHAnsi" w:hAnsiTheme="minorHAnsi" w:cstheme="minorHAnsi"/>
          <w:sz w:val="22"/>
          <w:szCs w:val="22"/>
        </w:rPr>
      </w:pPr>
      <w:r w:rsidRPr="00055109">
        <w:rPr>
          <w:rFonts w:asciiTheme="minorHAnsi" w:hAnsiTheme="minorHAnsi" w:cstheme="minorHAnsi"/>
          <w:sz w:val="22"/>
          <w:szCs w:val="22"/>
        </w:rPr>
        <w:t xml:space="preserve">La tasa de empleo en Estados Unidos aumentó más de lo previsto en mayo; sin embargo, una moderación de los salarios podría permitir a la Reserva Federal omitir una subida de las tasas este mes, por primera vez, desde que inició una campaña de endurecimiento de la política monetaria hace más de un año. </w:t>
      </w:r>
    </w:p>
    <w:p w14:paraId="3E69360B" w14:textId="77777777" w:rsidR="00D9369F" w:rsidRPr="00055109" w:rsidRDefault="00D9369F" w:rsidP="00D9369F">
      <w:pPr>
        <w:ind w:left="426"/>
        <w:jc w:val="both"/>
        <w:rPr>
          <w:rFonts w:asciiTheme="minorHAnsi" w:hAnsiTheme="minorHAnsi" w:cstheme="minorHAnsi"/>
          <w:sz w:val="22"/>
          <w:szCs w:val="22"/>
        </w:rPr>
      </w:pPr>
    </w:p>
    <w:p w14:paraId="654B1FEE" w14:textId="77777777" w:rsidR="00D9369F" w:rsidRPr="00055109" w:rsidRDefault="00D9369F" w:rsidP="00D9369F">
      <w:pPr>
        <w:ind w:left="426"/>
        <w:jc w:val="both"/>
        <w:rPr>
          <w:rFonts w:asciiTheme="minorHAnsi" w:hAnsiTheme="minorHAnsi" w:cstheme="minorHAnsi"/>
          <w:sz w:val="22"/>
          <w:szCs w:val="22"/>
        </w:rPr>
      </w:pPr>
      <w:r w:rsidRPr="00055109">
        <w:rPr>
          <w:rFonts w:asciiTheme="minorHAnsi" w:hAnsiTheme="minorHAnsi" w:cstheme="minorHAnsi"/>
          <w:sz w:val="22"/>
          <w:szCs w:val="22"/>
        </w:rPr>
        <w:t>Los economistas encuestados por Reuters esperan que la Reserva Federal de Estados Unidos no suba las tasas de interés en su reunión del 13-14 de junio. Sin embargo, una minoría significativa espera al menos una subida más este año 2023. Asimismo, la sorprendente subida de tasas en Canadá recordó a los inversores que el repunte de los tipos de interés mundiales aún no ha terminado.</w:t>
      </w:r>
    </w:p>
    <w:p w14:paraId="0E14E8CC" w14:textId="77777777" w:rsidR="00D9369F" w:rsidRPr="00055109" w:rsidRDefault="00D9369F" w:rsidP="00D9369F">
      <w:pPr>
        <w:ind w:left="426"/>
        <w:jc w:val="both"/>
        <w:rPr>
          <w:rFonts w:asciiTheme="minorHAnsi" w:hAnsiTheme="minorHAnsi" w:cstheme="minorHAnsi"/>
          <w:sz w:val="22"/>
          <w:szCs w:val="22"/>
        </w:rPr>
      </w:pPr>
    </w:p>
    <w:p w14:paraId="53338CD6" w14:textId="77777777" w:rsidR="00D9369F" w:rsidRPr="00055109" w:rsidRDefault="00D9369F" w:rsidP="00D9369F">
      <w:pPr>
        <w:ind w:left="426"/>
        <w:jc w:val="both"/>
        <w:rPr>
          <w:rFonts w:asciiTheme="minorHAnsi" w:hAnsiTheme="minorHAnsi" w:cstheme="minorHAnsi"/>
          <w:sz w:val="22"/>
          <w:szCs w:val="22"/>
        </w:rPr>
      </w:pPr>
      <w:r w:rsidRPr="00055109">
        <w:rPr>
          <w:rFonts w:asciiTheme="minorHAnsi" w:hAnsiTheme="minorHAnsi" w:cstheme="minorHAnsi"/>
          <w:sz w:val="22"/>
          <w:szCs w:val="22"/>
        </w:rPr>
        <w:t>Por otro lado, en mayo 2023, la actividad manufacturera china se contrajo más rápido de lo previsto debido al debilitamiento de la demanda, mientras el índice oficial de gestores de compras (PMI) bajó a 48,8 desde los 49,2 de abril. El resultado fue inferior a la previsión de 49,4, en tanto las importaciones de petróleo aumentaron a su tercer nivel más alto en mayo, según lo reportado en la última semana del periodo de evaluación.</w:t>
      </w:r>
    </w:p>
    <w:p w14:paraId="7BAEC674" w14:textId="77777777" w:rsidR="00D9369F" w:rsidRPr="00055109" w:rsidRDefault="00D9369F" w:rsidP="00D9369F">
      <w:pPr>
        <w:ind w:left="426"/>
        <w:jc w:val="both"/>
        <w:rPr>
          <w:rFonts w:asciiTheme="minorHAnsi" w:hAnsiTheme="minorHAnsi" w:cstheme="minorHAnsi"/>
          <w:sz w:val="22"/>
          <w:szCs w:val="22"/>
        </w:rPr>
      </w:pPr>
    </w:p>
    <w:p w14:paraId="7B0052BD" w14:textId="77777777" w:rsidR="00D9369F" w:rsidRPr="00055109" w:rsidRDefault="00D9369F" w:rsidP="00D9369F">
      <w:pPr>
        <w:pStyle w:val="Prrafodelista"/>
        <w:numPr>
          <w:ilvl w:val="0"/>
          <w:numId w:val="13"/>
        </w:numPr>
        <w:ind w:left="426"/>
        <w:contextualSpacing/>
        <w:jc w:val="both"/>
        <w:rPr>
          <w:rFonts w:asciiTheme="minorHAnsi" w:hAnsiTheme="minorHAnsi" w:cstheme="minorHAnsi"/>
          <w:color w:val="333333"/>
          <w:sz w:val="22"/>
          <w:szCs w:val="22"/>
          <w:shd w:val="clear" w:color="auto" w:fill="FFFFFF"/>
        </w:rPr>
      </w:pPr>
      <w:r w:rsidRPr="00055109">
        <w:rPr>
          <w:rFonts w:asciiTheme="minorHAnsi" w:hAnsiTheme="minorHAnsi" w:cstheme="minorHAnsi"/>
          <w:b/>
          <w:sz w:val="22"/>
          <w:szCs w:val="22"/>
        </w:rPr>
        <w:t xml:space="preserve">El nuevo acuerdo de recortes de producción de la OPEP y la puesta en marcha de recortes voluntarios a principios de mayo </w:t>
      </w:r>
    </w:p>
    <w:p w14:paraId="56730D93" w14:textId="77777777" w:rsidR="00D9369F" w:rsidRPr="00055109" w:rsidRDefault="00D9369F" w:rsidP="00D9369F">
      <w:pPr>
        <w:pStyle w:val="Prrafodelista"/>
        <w:ind w:left="426"/>
        <w:jc w:val="both"/>
        <w:rPr>
          <w:rFonts w:asciiTheme="minorHAnsi" w:hAnsiTheme="minorHAnsi" w:cstheme="minorHAnsi"/>
          <w:color w:val="333333"/>
          <w:sz w:val="22"/>
          <w:szCs w:val="22"/>
          <w:shd w:val="clear" w:color="auto" w:fill="FFFFFF"/>
        </w:rPr>
      </w:pPr>
    </w:p>
    <w:p w14:paraId="16DCB66B" w14:textId="77777777" w:rsidR="00D9369F" w:rsidRPr="00055109" w:rsidRDefault="00D9369F" w:rsidP="00D9369F">
      <w:pPr>
        <w:ind w:left="426"/>
        <w:jc w:val="both"/>
        <w:rPr>
          <w:rFonts w:asciiTheme="minorHAnsi" w:hAnsiTheme="minorHAnsi" w:cstheme="minorHAnsi"/>
          <w:sz w:val="22"/>
          <w:szCs w:val="22"/>
        </w:rPr>
      </w:pPr>
      <w:r w:rsidRPr="00055109">
        <w:rPr>
          <w:rFonts w:asciiTheme="minorHAnsi" w:hAnsiTheme="minorHAnsi" w:cstheme="minorHAnsi"/>
          <w:sz w:val="22"/>
          <w:szCs w:val="22"/>
        </w:rPr>
        <w:t>La OPEP bombea alrededor del 40% del crudo mundial y ha recortado su objetivo de producción en un total de 3,66 millones de bpd, lo que equivale al 3,6% de la demanda mundial.</w:t>
      </w:r>
    </w:p>
    <w:p w14:paraId="2C4EDD92" w14:textId="77777777" w:rsidR="00D9369F" w:rsidRPr="00055109" w:rsidRDefault="00D9369F" w:rsidP="00D9369F">
      <w:pPr>
        <w:ind w:left="426"/>
        <w:jc w:val="both"/>
        <w:rPr>
          <w:rFonts w:asciiTheme="minorHAnsi" w:hAnsiTheme="minorHAnsi" w:cstheme="minorHAnsi"/>
          <w:color w:val="333333"/>
          <w:sz w:val="22"/>
          <w:szCs w:val="22"/>
          <w:shd w:val="clear" w:color="auto" w:fill="FFFFFF"/>
        </w:rPr>
      </w:pPr>
    </w:p>
    <w:p w14:paraId="6896F471" w14:textId="77777777" w:rsidR="00D9369F" w:rsidRPr="00055109" w:rsidRDefault="00D9369F" w:rsidP="00D9369F">
      <w:pPr>
        <w:ind w:left="426"/>
        <w:jc w:val="both"/>
        <w:rPr>
          <w:rFonts w:asciiTheme="minorHAnsi" w:hAnsiTheme="minorHAnsi" w:cstheme="minorHAnsi"/>
          <w:sz w:val="22"/>
          <w:szCs w:val="22"/>
        </w:rPr>
      </w:pPr>
      <w:r w:rsidRPr="00055109">
        <w:rPr>
          <w:rFonts w:asciiTheme="minorHAnsi" w:hAnsiTheme="minorHAnsi" w:cstheme="minorHAnsi"/>
          <w:sz w:val="22"/>
          <w:szCs w:val="22"/>
        </w:rPr>
        <w:t>En la última reunión de la OPEP, realizada los días 3 y 4 de junio en Viena, Arabia Saudita se comprometió a recortar la producción en 1 millón de barriles diarios (bpd) más a partir de julio. El Ministerio de Energía saudí dijo que la producción del reino caería a 9 millones de bpd en julio desde los 10 millones de bpd de mayo. El recorte es el mayor de Arabia Saudita en años y se suma a un acuerdo más amplio de la OPEP para limitar la oferta hasta 2024.</w:t>
      </w:r>
    </w:p>
    <w:p w14:paraId="022C7B0E" w14:textId="77777777" w:rsidR="00D9369F" w:rsidRPr="00055109" w:rsidRDefault="00D9369F" w:rsidP="00D9369F">
      <w:pPr>
        <w:jc w:val="both"/>
        <w:rPr>
          <w:rFonts w:asciiTheme="minorHAnsi" w:hAnsiTheme="minorHAnsi" w:cstheme="minorHAnsi"/>
          <w:sz w:val="22"/>
          <w:szCs w:val="22"/>
        </w:rPr>
      </w:pPr>
    </w:p>
    <w:p w14:paraId="7F79800E" w14:textId="77777777" w:rsidR="00D9369F" w:rsidRPr="00055109" w:rsidRDefault="00D9369F" w:rsidP="00D9369F">
      <w:pPr>
        <w:pStyle w:val="Prrafodelista"/>
        <w:ind w:left="426"/>
        <w:jc w:val="both"/>
        <w:rPr>
          <w:rFonts w:asciiTheme="minorHAnsi" w:hAnsiTheme="minorHAnsi" w:cstheme="minorHAnsi"/>
          <w:sz w:val="22"/>
          <w:szCs w:val="22"/>
        </w:rPr>
      </w:pPr>
      <w:r w:rsidRPr="00055109">
        <w:rPr>
          <w:rFonts w:asciiTheme="minorHAnsi" w:hAnsiTheme="minorHAnsi" w:cstheme="minorHAnsi"/>
          <w:sz w:val="22"/>
          <w:szCs w:val="22"/>
        </w:rPr>
        <w:t>Asimismo, la OPEP puso en marcha recortes voluntarios de la producción a principios de mayo, siendo Arabia Saudita, los Emiratos Árabes Unidos, Kuwait, Irak, Argelia, Omán, Gabón y Kazajstán los que acordaron reducir más la producción a partir de este mes.</w:t>
      </w:r>
    </w:p>
    <w:p w14:paraId="73328D39" w14:textId="77777777" w:rsidR="00D9369F" w:rsidRPr="00055109" w:rsidRDefault="00D9369F" w:rsidP="00D9369F">
      <w:pPr>
        <w:pStyle w:val="Prrafodelista"/>
        <w:ind w:left="426"/>
        <w:jc w:val="both"/>
        <w:rPr>
          <w:rFonts w:asciiTheme="minorHAnsi" w:hAnsiTheme="minorHAnsi" w:cstheme="minorHAnsi"/>
          <w:sz w:val="22"/>
          <w:szCs w:val="22"/>
        </w:rPr>
      </w:pPr>
    </w:p>
    <w:p w14:paraId="7560C973" w14:textId="77777777" w:rsidR="00D9369F" w:rsidRPr="00055109" w:rsidRDefault="00D9369F" w:rsidP="00D9369F">
      <w:pPr>
        <w:pStyle w:val="Prrafodelista"/>
        <w:ind w:left="426"/>
        <w:jc w:val="both"/>
        <w:rPr>
          <w:rFonts w:asciiTheme="minorHAnsi" w:hAnsiTheme="minorHAnsi" w:cstheme="minorHAnsi"/>
          <w:sz w:val="22"/>
          <w:szCs w:val="22"/>
        </w:rPr>
      </w:pPr>
      <w:r w:rsidRPr="00055109">
        <w:rPr>
          <w:rFonts w:asciiTheme="minorHAnsi" w:hAnsiTheme="minorHAnsi" w:cstheme="minorHAnsi"/>
          <w:sz w:val="22"/>
          <w:szCs w:val="22"/>
        </w:rPr>
        <w:t>Los analistas pronostican un incipiente déficit de oferta para la segunda mitad del año 2023, apuntando a un informe de la OPEP según el cual, el grupo productor espera que la demanda de julio a diciembre 2023 de su propio crudo sea 90 mil barriles diarios, superior a lo previsto anteriormente.</w:t>
      </w:r>
    </w:p>
    <w:p w14:paraId="1D1D49D3" w14:textId="77777777" w:rsidR="00D9369F" w:rsidRPr="00055109" w:rsidRDefault="00D9369F" w:rsidP="00D9369F">
      <w:pPr>
        <w:pStyle w:val="Prrafodelista"/>
        <w:ind w:left="426"/>
        <w:jc w:val="both"/>
        <w:rPr>
          <w:rFonts w:asciiTheme="minorHAnsi" w:hAnsiTheme="minorHAnsi" w:cstheme="minorHAnsi"/>
          <w:sz w:val="22"/>
          <w:szCs w:val="22"/>
        </w:rPr>
      </w:pPr>
    </w:p>
    <w:p w14:paraId="07A5DFAC" w14:textId="77777777" w:rsidR="00D9369F" w:rsidRPr="00055109" w:rsidRDefault="00D9369F" w:rsidP="00D9369F">
      <w:pPr>
        <w:ind w:left="426"/>
        <w:jc w:val="both"/>
        <w:rPr>
          <w:rFonts w:asciiTheme="minorHAnsi" w:hAnsiTheme="minorHAnsi" w:cstheme="minorHAnsi"/>
          <w:sz w:val="22"/>
          <w:szCs w:val="22"/>
        </w:rPr>
      </w:pPr>
      <w:r w:rsidRPr="00055109">
        <w:rPr>
          <w:rFonts w:asciiTheme="minorHAnsi" w:hAnsiTheme="minorHAnsi" w:cstheme="minorHAnsi"/>
          <w:sz w:val="22"/>
          <w:szCs w:val="22"/>
        </w:rPr>
        <w:lastRenderedPageBreak/>
        <w:t>De acuerdo a la AIE la demanda superará a la oferta en 2 millones de barriles por día en la segunda mitad del 2023. China representará el 60% del crecimiento de la demanda de petróleo en 2023.</w:t>
      </w:r>
    </w:p>
    <w:p w14:paraId="08D7FA53" w14:textId="77777777" w:rsidR="00D9369F" w:rsidRPr="00055109" w:rsidRDefault="00D9369F" w:rsidP="00D9369F">
      <w:pPr>
        <w:pStyle w:val="Prrafodelista"/>
        <w:ind w:left="426"/>
        <w:jc w:val="both"/>
        <w:rPr>
          <w:rFonts w:asciiTheme="minorHAnsi" w:hAnsiTheme="minorHAnsi" w:cstheme="minorHAnsi"/>
          <w:sz w:val="22"/>
          <w:szCs w:val="22"/>
        </w:rPr>
      </w:pPr>
    </w:p>
    <w:p w14:paraId="60AAEE5C" w14:textId="77777777" w:rsidR="00D9369F" w:rsidRPr="00055109" w:rsidRDefault="00D9369F" w:rsidP="00D9369F">
      <w:pPr>
        <w:pStyle w:val="Prrafodelista"/>
        <w:numPr>
          <w:ilvl w:val="0"/>
          <w:numId w:val="13"/>
        </w:numPr>
        <w:ind w:left="426"/>
        <w:contextualSpacing/>
        <w:jc w:val="both"/>
        <w:rPr>
          <w:rFonts w:asciiTheme="minorHAnsi" w:hAnsiTheme="minorHAnsi" w:cstheme="minorHAnsi"/>
          <w:b/>
          <w:sz w:val="22"/>
          <w:szCs w:val="22"/>
        </w:rPr>
      </w:pPr>
      <w:r w:rsidRPr="00055109">
        <w:rPr>
          <w:rFonts w:asciiTheme="minorHAnsi" w:hAnsiTheme="minorHAnsi" w:cstheme="minorHAnsi"/>
          <w:b/>
          <w:sz w:val="22"/>
          <w:szCs w:val="22"/>
        </w:rPr>
        <w:t xml:space="preserve">El cierre de un acuerdo entre el presidente de Estados Unidos, Joe </w:t>
      </w:r>
      <w:proofErr w:type="spellStart"/>
      <w:r w:rsidRPr="00055109">
        <w:rPr>
          <w:rFonts w:asciiTheme="minorHAnsi" w:hAnsiTheme="minorHAnsi" w:cstheme="minorHAnsi"/>
          <w:b/>
          <w:sz w:val="22"/>
          <w:szCs w:val="22"/>
        </w:rPr>
        <w:t>Biden</w:t>
      </w:r>
      <w:proofErr w:type="spellEnd"/>
      <w:r w:rsidRPr="00055109">
        <w:rPr>
          <w:rFonts w:asciiTheme="minorHAnsi" w:hAnsiTheme="minorHAnsi" w:cstheme="minorHAnsi"/>
          <w:b/>
          <w:sz w:val="22"/>
          <w:szCs w:val="22"/>
        </w:rPr>
        <w:t>, y el presidente de la Cámara de Representantes, Kevin McCarthy, para suspender el límite de endeudamiento del gobierno estadounidense y limitar algunos gastos federales</w:t>
      </w:r>
    </w:p>
    <w:p w14:paraId="18872B35" w14:textId="77777777" w:rsidR="00D9369F" w:rsidRPr="00055109" w:rsidRDefault="00D9369F" w:rsidP="00D9369F">
      <w:pPr>
        <w:jc w:val="both"/>
        <w:rPr>
          <w:rFonts w:asciiTheme="minorHAnsi" w:hAnsiTheme="minorHAnsi" w:cstheme="minorHAnsi"/>
          <w:b/>
          <w:bCs/>
          <w:sz w:val="22"/>
          <w:szCs w:val="22"/>
        </w:rPr>
      </w:pPr>
    </w:p>
    <w:p w14:paraId="14916214" w14:textId="77777777" w:rsidR="00D9369F" w:rsidRPr="00055109" w:rsidRDefault="00D9369F" w:rsidP="00D9369F">
      <w:pPr>
        <w:pStyle w:val="NormalWeb"/>
        <w:shd w:val="clear" w:color="auto" w:fill="FFFFFF"/>
        <w:spacing w:before="0" w:beforeAutospacing="0" w:after="360" w:afterAutospacing="0"/>
        <w:ind w:left="426"/>
        <w:jc w:val="both"/>
        <w:rPr>
          <w:rFonts w:asciiTheme="minorHAnsi" w:eastAsia="Calibri" w:hAnsiTheme="minorHAnsi" w:cstheme="minorHAnsi"/>
          <w:sz w:val="22"/>
          <w:szCs w:val="22"/>
          <w:lang w:eastAsia="en-US"/>
        </w:rPr>
      </w:pPr>
      <w:r w:rsidRPr="00055109">
        <w:rPr>
          <w:rFonts w:asciiTheme="minorHAnsi" w:eastAsia="Calibri" w:hAnsiTheme="minorHAnsi" w:cstheme="minorHAnsi"/>
          <w:sz w:val="22"/>
          <w:szCs w:val="22"/>
          <w:lang w:eastAsia="en-US"/>
        </w:rPr>
        <w:t xml:space="preserve">El proyecto de ley aprobado por la Cámara de Representantes, el cual ha sido enviado al Senado, incluye la renuncia al límite de endeudamiento existente hasta enero del 2025 y un acuerdo presupuestario de dos años que mantiene estable el gasto federal en el año 2024 y lo aumenta en 1 % en el 2025. Una vez aprobado el proyecto de ley por el Senado, será enviado al presidente Joe </w:t>
      </w:r>
      <w:proofErr w:type="spellStart"/>
      <w:r w:rsidRPr="00055109">
        <w:rPr>
          <w:rFonts w:asciiTheme="minorHAnsi" w:eastAsia="Calibri" w:hAnsiTheme="minorHAnsi" w:cstheme="minorHAnsi"/>
          <w:sz w:val="22"/>
          <w:szCs w:val="22"/>
          <w:lang w:eastAsia="en-US"/>
        </w:rPr>
        <w:t>Biden</w:t>
      </w:r>
      <w:proofErr w:type="spellEnd"/>
      <w:r w:rsidRPr="00055109">
        <w:rPr>
          <w:rFonts w:asciiTheme="minorHAnsi" w:eastAsia="Calibri" w:hAnsiTheme="minorHAnsi" w:cstheme="minorHAnsi"/>
          <w:sz w:val="22"/>
          <w:szCs w:val="22"/>
          <w:lang w:eastAsia="en-US"/>
        </w:rPr>
        <w:t xml:space="preserve"> para su firma.</w:t>
      </w:r>
    </w:p>
    <w:p w14:paraId="286C5A3B" w14:textId="77777777" w:rsidR="00D9369F" w:rsidRPr="00055109" w:rsidRDefault="00D9369F" w:rsidP="00D9369F">
      <w:pPr>
        <w:pStyle w:val="Prrafodelista"/>
        <w:ind w:left="426"/>
        <w:jc w:val="both"/>
        <w:rPr>
          <w:rFonts w:asciiTheme="minorHAnsi" w:hAnsiTheme="minorHAnsi" w:cstheme="minorHAnsi"/>
          <w:sz w:val="22"/>
          <w:szCs w:val="22"/>
        </w:rPr>
      </w:pPr>
      <w:r w:rsidRPr="00055109">
        <w:rPr>
          <w:rFonts w:asciiTheme="minorHAnsi" w:hAnsiTheme="minorHAnsi" w:cstheme="minorHAnsi"/>
          <w:sz w:val="22"/>
          <w:szCs w:val="22"/>
        </w:rPr>
        <w:t>El techo de deuda asciende actualmente a 31,4 billones de dólares.</w:t>
      </w:r>
      <w:r w:rsidRPr="00055109">
        <w:rPr>
          <w:rFonts w:asciiTheme="minorHAnsi" w:hAnsiTheme="minorHAnsi" w:cstheme="minorHAnsi"/>
          <w:b/>
          <w:bCs/>
          <w:sz w:val="22"/>
          <w:szCs w:val="22"/>
        </w:rPr>
        <w:t xml:space="preserve"> </w:t>
      </w:r>
      <w:r w:rsidRPr="00055109">
        <w:rPr>
          <w:rFonts w:asciiTheme="minorHAnsi" w:hAnsiTheme="minorHAnsi" w:cstheme="minorHAnsi"/>
          <w:sz w:val="22"/>
          <w:szCs w:val="22"/>
        </w:rPr>
        <w:t>Alcanzar el acuerdo y tomar acciones para evitar un impago de la deuda pública estadounidense impulsó la demanda de los inversores por activos de mayor riesgo como las materias primas.</w:t>
      </w:r>
    </w:p>
    <w:p w14:paraId="5FCE4F6A" w14:textId="77777777" w:rsidR="00D9369F" w:rsidRPr="00055109" w:rsidRDefault="00D9369F" w:rsidP="00D9369F">
      <w:pPr>
        <w:pStyle w:val="Prrafodelista"/>
        <w:ind w:left="360"/>
        <w:jc w:val="both"/>
        <w:rPr>
          <w:rFonts w:asciiTheme="minorHAnsi" w:hAnsiTheme="minorHAnsi" w:cstheme="minorHAnsi"/>
          <w:color w:val="333333"/>
          <w:sz w:val="22"/>
          <w:szCs w:val="22"/>
          <w:shd w:val="clear" w:color="auto" w:fill="FFFFFF"/>
        </w:rPr>
      </w:pPr>
    </w:p>
    <w:p w14:paraId="08C98860" w14:textId="77777777" w:rsidR="00D9369F" w:rsidRPr="00055109" w:rsidRDefault="00D9369F" w:rsidP="00D9369F">
      <w:pPr>
        <w:pStyle w:val="Prrafodelista"/>
        <w:numPr>
          <w:ilvl w:val="0"/>
          <w:numId w:val="13"/>
        </w:numPr>
        <w:ind w:left="426"/>
        <w:contextualSpacing/>
        <w:jc w:val="both"/>
        <w:rPr>
          <w:rFonts w:asciiTheme="minorHAnsi" w:hAnsiTheme="minorHAnsi" w:cstheme="minorHAnsi"/>
          <w:b/>
          <w:sz w:val="22"/>
          <w:szCs w:val="22"/>
        </w:rPr>
      </w:pPr>
      <w:r w:rsidRPr="00055109">
        <w:rPr>
          <w:rFonts w:asciiTheme="minorHAnsi" w:hAnsiTheme="minorHAnsi" w:cstheme="minorHAnsi"/>
          <w:b/>
          <w:sz w:val="22"/>
          <w:szCs w:val="22"/>
        </w:rPr>
        <w:t>El debilitamiento de la demanda mundial de diésel que refuerza la perspectiva de una fuerte recesión, según Bloomberg.</w:t>
      </w:r>
    </w:p>
    <w:p w14:paraId="36818FCF" w14:textId="77777777" w:rsidR="00D9369F" w:rsidRPr="00055109" w:rsidRDefault="00D9369F" w:rsidP="00D9369F">
      <w:pPr>
        <w:pStyle w:val="Prrafodelista"/>
        <w:ind w:left="426"/>
        <w:jc w:val="both"/>
        <w:rPr>
          <w:rFonts w:asciiTheme="minorHAnsi" w:hAnsiTheme="minorHAnsi" w:cstheme="minorHAnsi"/>
          <w:b/>
          <w:sz w:val="22"/>
          <w:szCs w:val="22"/>
        </w:rPr>
      </w:pPr>
      <w:r w:rsidRPr="00055109">
        <w:rPr>
          <w:rFonts w:asciiTheme="minorHAnsi" w:hAnsiTheme="minorHAnsi" w:cstheme="minorHAnsi"/>
          <w:b/>
          <w:sz w:val="22"/>
          <w:szCs w:val="22"/>
        </w:rPr>
        <w:t xml:space="preserve"> </w:t>
      </w:r>
    </w:p>
    <w:p w14:paraId="2376D63C" w14:textId="77777777" w:rsidR="00D9369F" w:rsidRPr="00055109" w:rsidRDefault="00D9369F" w:rsidP="00D9369F">
      <w:pPr>
        <w:pStyle w:val="Prrafodelista"/>
        <w:ind w:left="426"/>
        <w:jc w:val="both"/>
        <w:rPr>
          <w:rFonts w:asciiTheme="minorHAnsi" w:hAnsiTheme="minorHAnsi" w:cstheme="minorHAnsi"/>
          <w:sz w:val="22"/>
          <w:szCs w:val="22"/>
        </w:rPr>
      </w:pPr>
      <w:r w:rsidRPr="00055109">
        <w:rPr>
          <w:rFonts w:asciiTheme="minorHAnsi" w:hAnsiTheme="minorHAnsi" w:cstheme="minorHAnsi"/>
          <w:sz w:val="22"/>
          <w:szCs w:val="22"/>
        </w:rPr>
        <w:t>Bloomberg advierte que en los meses de marzo y abril se ha observado una disminución en la demanda de diésel para maquinaria pesada en varias de las principales economías del mundo. Este hecho podría ser una señal temprana de una actividad económica más débil y menor gasto de los consumidores, efectos que recrudecerían el panorama de la recesión.</w:t>
      </w:r>
    </w:p>
    <w:p w14:paraId="21059411" w14:textId="77777777" w:rsidR="00D9369F" w:rsidRPr="00055109" w:rsidRDefault="00D9369F" w:rsidP="00D9369F">
      <w:pPr>
        <w:pStyle w:val="Prrafodelista"/>
        <w:ind w:left="426"/>
        <w:jc w:val="both"/>
        <w:rPr>
          <w:rFonts w:asciiTheme="minorHAnsi" w:hAnsiTheme="minorHAnsi" w:cstheme="minorHAnsi"/>
          <w:sz w:val="22"/>
          <w:szCs w:val="22"/>
        </w:rPr>
      </w:pPr>
    </w:p>
    <w:p w14:paraId="6E0E029A" w14:textId="77777777" w:rsidR="00D9369F" w:rsidRPr="00055109" w:rsidRDefault="00D9369F" w:rsidP="00D9369F">
      <w:pPr>
        <w:pStyle w:val="Prrafodelista"/>
        <w:ind w:left="426"/>
        <w:jc w:val="both"/>
        <w:rPr>
          <w:rFonts w:asciiTheme="minorHAnsi" w:hAnsiTheme="minorHAnsi" w:cstheme="minorHAnsi"/>
          <w:sz w:val="22"/>
          <w:szCs w:val="22"/>
        </w:rPr>
      </w:pPr>
      <w:r w:rsidRPr="00055109">
        <w:rPr>
          <w:rFonts w:asciiTheme="minorHAnsi" w:hAnsiTheme="minorHAnsi" w:cstheme="minorHAnsi"/>
          <w:sz w:val="22"/>
          <w:szCs w:val="22"/>
        </w:rPr>
        <w:t>Gran parte de la disminución de la demanda de diésel se debe al transporte por carretera, que consume la mayor parte del diésel en China y Estados Unidos. En términos de porcentajes, China destina para el transporte alrededor del 60% del diésel y Estados Unidos más del 70%. En China, el número de camiones que circulan por las carreteras ha disminuido en un 8% recientemente, mientras que, en Estados Unidos, el consumo de camiones y combustible se ha visto afectado por la disminución de la producción en las fábricas y la construcción de viviendas, así como por los elevados inventarios de los minoristas.</w:t>
      </w:r>
    </w:p>
    <w:p w14:paraId="2A86B127" w14:textId="77777777" w:rsidR="00D9369F" w:rsidRPr="00055109" w:rsidRDefault="00D9369F" w:rsidP="00D9369F">
      <w:pPr>
        <w:pStyle w:val="Prrafodelista"/>
        <w:ind w:left="426"/>
        <w:jc w:val="both"/>
        <w:rPr>
          <w:rFonts w:asciiTheme="minorHAnsi" w:hAnsiTheme="minorHAnsi" w:cstheme="minorHAnsi"/>
          <w:sz w:val="22"/>
          <w:szCs w:val="22"/>
        </w:rPr>
      </w:pPr>
    </w:p>
    <w:p w14:paraId="0C46EB87" w14:textId="77777777" w:rsidR="00D9369F" w:rsidRDefault="00D9369F" w:rsidP="00D9369F">
      <w:pPr>
        <w:pStyle w:val="Prrafodelista"/>
        <w:ind w:left="426"/>
        <w:jc w:val="both"/>
        <w:rPr>
          <w:rFonts w:asciiTheme="minorHAnsi" w:hAnsiTheme="minorHAnsi" w:cstheme="minorHAnsi"/>
          <w:sz w:val="22"/>
          <w:szCs w:val="22"/>
        </w:rPr>
      </w:pPr>
      <w:r w:rsidRPr="00055109">
        <w:rPr>
          <w:rFonts w:asciiTheme="minorHAnsi" w:hAnsiTheme="minorHAnsi" w:cstheme="minorHAnsi"/>
          <w:sz w:val="22"/>
          <w:szCs w:val="22"/>
        </w:rPr>
        <w:t>La expectativa de S&amp;P Global, de continuar esta tendencia es que la demanda de diésel en Estados Unidos disminuya en un 2% en 2023, lo que sería la mayor caída en el uso de diésel en el país desde 2016.</w:t>
      </w:r>
    </w:p>
    <w:p w14:paraId="1E1C80C8" w14:textId="77777777" w:rsidR="002A0DA0" w:rsidRPr="00D82850" w:rsidRDefault="002A0DA0"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1E6C648C" w:rsidR="004D4B7D" w:rsidRPr="00D9369F"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1"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24F917D0" w14:textId="68DD2B3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lastRenderedPageBreak/>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B21DAA">
        <w:rPr>
          <w:rFonts w:asciiTheme="minorHAnsi" w:hAnsiTheme="minorHAnsi" w:cstheme="minorHAnsi"/>
          <w:sz w:val="22"/>
          <w:szCs w:val="22"/>
        </w:rPr>
        <w:t>17</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B21DAA">
        <w:rPr>
          <w:rFonts w:asciiTheme="minorHAnsi" w:hAnsiTheme="minorHAnsi" w:cstheme="minorHAnsi"/>
          <w:sz w:val="22"/>
          <w:szCs w:val="22"/>
        </w:rPr>
        <w:t>8</w:t>
      </w:r>
      <w:r w:rsidR="009C0925" w:rsidRPr="004D4B7D">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25</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w:t>
      </w:r>
      <w:r w:rsidR="00B21DAA">
        <w:rPr>
          <w:rFonts w:asciiTheme="minorHAnsi" w:hAnsiTheme="minorHAnsi" w:cstheme="minorHAnsi"/>
          <w:sz w:val="22"/>
          <w:szCs w:val="22"/>
        </w:rPr>
        <w:t>y</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w:t>
      </w:r>
      <w:r w:rsidR="00B21DAA">
        <w:rPr>
          <w:rFonts w:asciiTheme="minorHAnsi" w:hAnsiTheme="minorHAnsi" w:cstheme="minorHAnsi"/>
          <w:sz w:val="22"/>
          <w:szCs w:val="22"/>
        </w:rPr>
        <w:t>8</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641324">
        <w:rPr>
          <w:rFonts w:asciiTheme="minorHAnsi" w:hAnsiTheme="minorHAnsi" w:cstheme="minorHAnsi"/>
          <w:sz w:val="22"/>
          <w:szCs w:val="22"/>
        </w:rPr>
        <w:t xml:space="preserve"> de 2023 hasta el 2</w:t>
      </w:r>
      <w:r w:rsidR="00B21DAA">
        <w:rPr>
          <w:rFonts w:asciiTheme="minorHAnsi" w:hAnsiTheme="minorHAnsi" w:cstheme="minorHAnsi"/>
          <w:sz w:val="22"/>
          <w:szCs w:val="22"/>
        </w:rPr>
        <w:t>9</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junio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71D0E42" w14:textId="5FE0C327" w:rsidR="00D839DD"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Por medio de la </w:t>
      </w:r>
      <w:r w:rsidRPr="009C0925">
        <w:rPr>
          <w:rFonts w:asciiTheme="minorHAnsi" w:hAnsiTheme="minorHAnsi" w:cstheme="minorHAnsi"/>
          <w:sz w:val="22"/>
          <w:szCs w:val="22"/>
        </w:rPr>
        <w:t xml:space="preserve">Resolución </w:t>
      </w:r>
      <w:proofErr w:type="spellStart"/>
      <w:r w:rsidRPr="009C0925">
        <w:rPr>
          <w:rFonts w:asciiTheme="minorHAnsi" w:hAnsiTheme="minorHAnsi" w:cstheme="minorHAnsi"/>
          <w:sz w:val="22"/>
          <w:szCs w:val="22"/>
        </w:rPr>
        <w:t>N°</w:t>
      </w:r>
      <w:proofErr w:type="spellEnd"/>
      <w:r w:rsidR="00D9369F">
        <w:rPr>
          <w:rFonts w:asciiTheme="minorHAnsi" w:hAnsiTheme="minorHAnsi" w:cstheme="minorHAnsi"/>
          <w:sz w:val="22"/>
          <w:szCs w:val="22"/>
        </w:rPr>
        <w:t xml:space="preserve"> </w:t>
      </w:r>
      <w:r w:rsidRPr="009C0925">
        <w:rPr>
          <w:rFonts w:asciiTheme="minorHAnsi" w:hAnsiTheme="minorHAnsi" w:cstheme="minorHAnsi"/>
          <w:sz w:val="22"/>
          <w:szCs w:val="22"/>
        </w:rPr>
        <w:t>0</w:t>
      </w:r>
      <w:r>
        <w:rPr>
          <w:rFonts w:asciiTheme="minorHAnsi" w:hAnsiTheme="minorHAnsi" w:cstheme="minorHAnsi"/>
          <w:sz w:val="22"/>
          <w:szCs w:val="22"/>
        </w:rPr>
        <w:t>27</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 el Diésel B5 destinado al uso vehicular</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10B8DD56" w14:textId="77777777" w:rsidR="00D839DD" w:rsidRDefault="00D839DD" w:rsidP="00D839DD">
      <w:pPr>
        <w:pStyle w:val="Prrafodelista"/>
        <w:rPr>
          <w:rFonts w:asciiTheme="minorHAnsi" w:hAnsiTheme="minorHAnsi" w:cstheme="minorHAnsi"/>
          <w:sz w:val="22"/>
          <w:szCs w:val="22"/>
        </w:rPr>
      </w:pPr>
    </w:p>
    <w:p w14:paraId="1F0FDA2D" w14:textId="4CABA52E" w:rsidR="00D839DD" w:rsidRPr="009C0925"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Por medio de la </w:t>
      </w:r>
      <w:r w:rsidRPr="009C0925">
        <w:rPr>
          <w:rFonts w:asciiTheme="minorHAnsi" w:hAnsiTheme="minorHAnsi" w:cstheme="minorHAnsi"/>
          <w:sz w:val="22"/>
          <w:szCs w:val="22"/>
        </w:rPr>
        <w:t xml:space="preserve">Resolución </w:t>
      </w:r>
      <w:proofErr w:type="spellStart"/>
      <w:r w:rsidRPr="009C0925">
        <w:rPr>
          <w:rFonts w:asciiTheme="minorHAnsi" w:hAnsiTheme="minorHAnsi" w:cstheme="minorHAnsi"/>
          <w:sz w:val="22"/>
          <w:szCs w:val="22"/>
        </w:rPr>
        <w:t>N°</w:t>
      </w:r>
      <w:proofErr w:type="spellEnd"/>
      <w:r w:rsidR="00D9369F">
        <w:rPr>
          <w:rFonts w:asciiTheme="minorHAnsi" w:hAnsiTheme="minorHAnsi" w:cstheme="minorHAnsi"/>
          <w:sz w:val="22"/>
          <w:szCs w:val="22"/>
        </w:rPr>
        <w:t xml:space="preserve"> </w:t>
      </w:r>
      <w:r w:rsidRPr="009C0925">
        <w:rPr>
          <w:rFonts w:asciiTheme="minorHAnsi" w:hAnsiTheme="minorHAnsi" w:cstheme="minorHAnsi"/>
          <w:sz w:val="22"/>
          <w:szCs w:val="22"/>
        </w:rPr>
        <w:t>0</w:t>
      </w:r>
      <w:r>
        <w:rPr>
          <w:rFonts w:asciiTheme="minorHAnsi" w:hAnsiTheme="minorHAnsi" w:cstheme="minorHAnsi"/>
          <w:sz w:val="22"/>
          <w:szCs w:val="22"/>
        </w:rPr>
        <w:t>31</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w:t>
      </w:r>
      <w:r>
        <w:rPr>
          <w:rFonts w:asciiTheme="minorHAnsi" w:hAnsiTheme="minorHAnsi" w:cstheme="minorHAnsi"/>
          <w:sz w:val="22"/>
          <w:szCs w:val="22"/>
        </w:rPr>
        <w:t xml:space="preserve"> </w:t>
      </w:r>
      <w:r w:rsidRPr="009C0925">
        <w:rPr>
          <w:rFonts w:asciiTheme="minorHAnsi" w:hAnsiTheme="minorHAnsi" w:cstheme="minorHAnsi"/>
          <w:sz w:val="22"/>
          <w:szCs w:val="22"/>
        </w:rPr>
        <w:t>el Gas Licuado de Petróleo destinado para envasado (GLP-E)</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50D85E0D"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D839DD">
        <w:rPr>
          <w:rFonts w:asciiTheme="minorHAnsi" w:hAnsiTheme="minorHAnsi" w:cstheme="minorHAnsi"/>
          <w:sz w:val="22"/>
          <w:szCs w:val="22"/>
        </w:rPr>
        <w:t>2</w:t>
      </w:r>
      <w:r w:rsidR="00B21DAA">
        <w:rPr>
          <w:rFonts w:asciiTheme="minorHAnsi" w:hAnsiTheme="minorHAnsi" w:cstheme="minorHAnsi"/>
          <w:sz w:val="22"/>
          <w:szCs w:val="22"/>
        </w:rPr>
        <w:t>7</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D839DD">
        <w:rPr>
          <w:rFonts w:asciiTheme="minorHAnsi" w:hAnsiTheme="minorHAnsi" w:cstheme="minorHAnsi"/>
          <w:sz w:val="22"/>
          <w:szCs w:val="22"/>
        </w:rPr>
        <w:t xml:space="preserve"> y </w:t>
      </w:r>
      <w:proofErr w:type="spellStart"/>
      <w:r w:rsidR="00D839DD" w:rsidRPr="00300844">
        <w:rPr>
          <w:rFonts w:asciiTheme="minorHAnsi" w:hAnsiTheme="minorHAnsi" w:cstheme="minorHAnsi"/>
          <w:sz w:val="22"/>
          <w:szCs w:val="22"/>
        </w:rPr>
        <w:t>N°</w:t>
      </w:r>
      <w:proofErr w:type="spellEnd"/>
      <w:r w:rsidR="00D839DD" w:rsidRPr="00300844">
        <w:rPr>
          <w:rFonts w:asciiTheme="minorHAnsi" w:hAnsiTheme="minorHAnsi" w:cstheme="minorHAnsi"/>
          <w:sz w:val="22"/>
          <w:szCs w:val="22"/>
        </w:rPr>
        <w:t xml:space="preserve"> 0</w:t>
      </w:r>
      <w:r w:rsidR="00D839DD">
        <w:rPr>
          <w:rFonts w:asciiTheme="minorHAnsi" w:hAnsiTheme="minorHAnsi" w:cstheme="minorHAnsi"/>
          <w:sz w:val="22"/>
          <w:szCs w:val="22"/>
        </w:rPr>
        <w:t>31</w:t>
      </w:r>
      <w:r w:rsidR="00D839DD" w:rsidRPr="00300844">
        <w:rPr>
          <w:rFonts w:asciiTheme="minorHAnsi" w:hAnsiTheme="minorHAnsi" w:cstheme="minorHAnsi"/>
          <w:sz w:val="22"/>
          <w:szCs w:val="22"/>
        </w:rPr>
        <w:t>-202</w:t>
      </w:r>
      <w:r w:rsidR="00D839DD">
        <w:rPr>
          <w:rFonts w:asciiTheme="minorHAnsi" w:hAnsiTheme="minorHAnsi" w:cstheme="minorHAnsi"/>
          <w:sz w:val="22"/>
          <w:szCs w:val="22"/>
        </w:rPr>
        <w:t>3</w:t>
      </w:r>
      <w:r w:rsidR="00D839DD" w:rsidRPr="00300844">
        <w:rPr>
          <w:rFonts w:asciiTheme="minorHAnsi" w:hAnsiTheme="minorHAnsi" w:cstheme="minorHAnsi"/>
          <w:sz w:val="22"/>
          <w:szCs w:val="22"/>
        </w:rPr>
        <w:t>-OS/GRT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D839DD">
        <w:rPr>
          <w:rFonts w:asciiTheme="minorHAnsi" w:hAnsiTheme="minorHAnsi" w:cstheme="minorHAnsi"/>
          <w:sz w:val="22"/>
          <w:szCs w:val="22"/>
        </w:rPr>
        <w:t>23</w:t>
      </w:r>
      <w:r w:rsidR="00E0065F">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0C060E">
        <w:rPr>
          <w:rFonts w:asciiTheme="minorHAnsi" w:hAnsiTheme="minorHAnsi" w:cstheme="minorHAnsi"/>
          <w:sz w:val="22"/>
          <w:szCs w:val="22"/>
        </w:rPr>
        <w:t>2</w:t>
      </w:r>
      <w:r w:rsidR="00D839DD">
        <w:rPr>
          <w:rFonts w:asciiTheme="minorHAnsi" w:hAnsiTheme="minorHAnsi" w:cstheme="minorHAnsi"/>
          <w:sz w:val="22"/>
          <w:szCs w:val="22"/>
        </w:rPr>
        <w:t>9</w:t>
      </w:r>
      <w:r w:rsidRPr="00294829">
        <w:rPr>
          <w:rFonts w:asciiTheme="minorHAnsi" w:hAnsiTheme="minorHAnsi" w:cstheme="minorHAnsi"/>
          <w:sz w:val="22"/>
          <w:szCs w:val="22"/>
        </w:rPr>
        <w:t xml:space="preserve"> de </w:t>
      </w:r>
      <w:r w:rsidR="00B21DAA">
        <w:rPr>
          <w:rFonts w:asciiTheme="minorHAnsi" w:hAnsiTheme="minorHAnsi" w:cstheme="minorHAnsi"/>
          <w:sz w:val="22"/>
          <w:szCs w:val="22"/>
        </w:rPr>
        <w:t>mayo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B89E437" w14:textId="65EA2168" w:rsidR="002C2B50" w:rsidRPr="00232A32" w:rsidRDefault="00E812D9" w:rsidP="002C2B50">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DB2BBC">
        <w:rPr>
          <w:rFonts w:asciiTheme="minorHAnsi" w:hAnsiTheme="minorHAnsi" w:cstheme="minorHAnsi"/>
          <w:sz w:val="22"/>
          <w:szCs w:val="22"/>
        </w:rPr>
        <w:t>01</w:t>
      </w:r>
      <w:r w:rsidRPr="001B07FE">
        <w:rPr>
          <w:rFonts w:asciiTheme="minorHAnsi" w:hAnsiTheme="minorHAnsi" w:cstheme="minorHAnsi"/>
          <w:sz w:val="22"/>
          <w:szCs w:val="22"/>
        </w:rPr>
        <w:t>.0</w:t>
      </w:r>
      <w:r w:rsidR="00DB2BBC">
        <w:rPr>
          <w:rFonts w:asciiTheme="minorHAnsi" w:hAnsiTheme="minorHAnsi" w:cstheme="minorHAnsi"/>
          <w:sz w:val="22"/>
          <w:szCs w:val="22"/>
        </w:rPr>
        <w:t>6</w:t>
      </w:r>
      <w:r w:rsidRPr="001B07FE">
        <w:rPr>
          <w:rFonts w:asciiTheme="minorHAnsi" w:hAnsiTheme="minorHAnsi" w:cstheme="minorHAnsi"/>
          <w:sz w:val="22"/>
          <w:szCs w:val="22"/>
        </w:rPr>
        <w:t xml:space="preserve">.2023, PETROPERÚ </w:t>
      </w:r>
      <w:r w:rsidR="00DB2BBC" w:rsidRPr="00232A32">
        <w:rPr>
          <w:rFonts w:asciiTheme="minorHAnsi" w:hAnsiTheme="minorHAnsi" w:cstheme="minorHAnsi"/>
          <w:sz w:val="22"/>
          <w:szCs w:val="22"/>
        </w:rPr>
        <w:t>publicó su lista de precios de venta de combustibles. Se registr</w:t>
      </w:r>
      <w:r w:rsidR="00DB2BBC">
        <w:rPr>
          <w:rFonts w:asciiTheme="minorHAnsi" w:hAnsiTheme="minorHAnsi" w:cstheme="minorHAnsi"/>
          <w:sz w:val="22"/>
          <w:szCs w:val="22"/>
        </w:rPr>
        <w:t>ó</w:t>
      </w:r>
      <w:r w:rsidR="00DB2BBC" w:rsidRPr="00232A32">
        <w:rPr>
          <w:rFonts w:asciiTheme="minorHAnsi" w:hAnsiTheme="minorHAnsi" w:cstheme="minorHAnsi"/>
          <w:sz w:val="22"/>
          <w:szCs w:val="22"/>
        </w:rPr>
        <w:t xml:space="preserve"> </w:t>
      </w:r>
      <w:r w:rsidR="00DB2BBC">
        <w:rPr>
          <w:rFonts w:asciiTheme="minorHAnsi" w:hAnsiTheme="minorHAnsi" w:cstheme="minorHAnsi"/>
          <w:sz w:val="22"/>
          <w:szCs w:val="22"/>
        </w:rPr>
        <w:t>variaciones en los precios de las gasolinas Premium (-0,16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Regular (-0,16 S/</w:t>
      </w:r>
      <w:proofErr w:type="spellStart"/>
      <w:proofErr w:type="gram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y</w:t>
      </w:r>
      <w:proofErr w:type="gramEnd"/>
      <w:r w:rsidR="00DB2BBC">
        <w:rPr>
          <w:rFonts w:asciiTheme="minorHAnsi" w:hAnsiTheme="minorHAnsi" w:cstheme="minorHAnsi"/>
          <w:sz w:val="22"/>
          <w:szCs w:val="22"/>
        </w:rPr>
        <w:t xml:space="preserve"> 84 (-0,16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octanos, así como en los gasoholes Premium (-0,16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Regular (-0,16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y de 84 (-0,16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octanos</w:t>
      </w:r>
      <w:r w:rsidR="002C2B50">
        <w:rPr>
          <w:rFonts w:asciiTheme="minorHAnsi" w:hAnsiTheme="minorHAnsi" w:cstheme="minorHAnsi"/>
          <w:sz w:val="22"/>
          <w:szCs w:val="22"/>
        </w:rPr>
        <w:t>.</w:t>
      </w:r>
    </w:p>
    <w:p w14:paraId="0F52D45B" w14:textId="6B67654E" w:rsidR="00AF5121" w:rsidRDefault="00AF5121" w:rsidP="00AF5121">
      <w:pPr>
        <w:pStyle w:val="Prrafodelista"/>
        <w:rPr>
          <w:rFonts w:asciiTheme="minorHAnsi" w:hAnsiTheme="minorHAnsi" w:cstheme="minorHAnsi"/>
          <w:sz w:val="22"/>
          <w:szCs w:val="22"/>
        </w:rPr>
      </w:pPr>
    </w:p>
    <w:p w14:paraId="78A661AF" w14:textId="21FE7CA0" w:rsidR="00590B34" w:rsidRDefault="00590B34" w:rsidP="00AF5121">
      <w:pPr>
        <w:pStyle w:val="Prrafodelista"/>
        <w:rPr>
          <w:rFonts w:asciiTheme="minorHAnsi" w:hAnsiTheme="minorHAnsi" w:cstheme="minorHAnsi"/>
          <w:sz w:val="22"/>
          <w:szCs w:val="22"/>
        </w:rPr>
      </w:pPr>
    </w:p>
    <w:p w14:paraId="23B24467" w14:textId="08F6DDDE" w:rsidR="00590B34" w:rsidRDefault="00590B34"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lastRenderedPageBreak/>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4ADC2C6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079BF13C" w:rsidR="00EA628C" w:rsidRDefault="00EA628C">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34830A3A" w14:textId="222C2D10" w:rsidR="008B67CC" w:rsidRDefault="008B67CC">
      <w:pPr>
        <w:rPr>
          <w:rFonts w:asciiTheme="minorHAnsi" w:hAnsiTheme="minorHAnsi" w:cstheme="minorHAnsi"/>
          <w:sz w:val="22"/>
          <w:szCs w:val="22"/>
        </w:rPr>
      </w:pPr>
    </w:p>
    <w:p w14:paraId="13C97810" w14:textId="330FA899" w:rsidR="008B67CC" w:rsidRDefault="008B67CC">
      <w:pPr>
        <w:rPr>
          <w:rFonts w:asciiTheme="minorHAnsi" w:hAnsiTheme="minorHAnsi" w:cstheme="minorHAnsi"/>
          <w:sz w:val="22"/>
          <w:szCs w:val="22"/>
        </w:rPr>
      </w:pPr>
    </w:p>
    <w:p w14:paraId="7AC3C48E" w14:textId="435866A9" w:rsidR="008B67CC" w:rsidRDefault="008B67CC">
      <w:pPr>
        <w:rPr>
          <w:rFonts w:asciiTheme="minorHAnsi" w:hAnsiTheme="minorHAnsi" w:cstheme="minorHAnsi"/>
          <w:sz w:val="22"/>
          <w:szCs w:val="22"/>
        </w:rPr>
      </w:pPr>
    </w:p>
    <w:p w14:paraId="31672A9A" w14:textId="5DDA1B2D" w:rsidR="008B67CC" w:rsidRDefault="008B67CC">
      <w:pPr>
        <w:rPr>
          <w:rFonts w:asciiTheme="minorHAnsi" w:hAnsiTheme="minorHAnsi" w:cstheme="minorHAnsi"/>
          <w:sz w:val="22"/>
          <w:szCs w:val="22"/>
        </w:rPr>
      </w:pPr>
    </w:p>
    <w:p w14:paraId="13518742" w14:textId="39BEB6C2" w:rsidR="008B67CC" w:rsidRDefault="008B67CC">
      <w:pPr>
        <w:rPr>
          <w:rFonts w:asciiTheme="minorHAnsi" w:hAnsiTheme="minorHAnsi" w:cstheme="minorHAnsi"/>
          <w:sz w:val="22"/>
          <w:szCs w:val="22"/>
        </w:rPr>
      </w:pPr>
    </w:p>
    <w:p w14:paraId="64760AC3" w14:textId="1F87D653" w:rsidR="008B67CC" w:rsidRDefault="008B67CC">
      <w:pPr>
        <w:rPr>
          <w:rFonts w:asciiTheme="minorHAnsi" w:hAnsiTheme="minorHAnsi" w:cstheme="minorHAnsi"/>
          <w:sz w:val="22"/>
          <w:szCs w:val="22"/>
        </w:rPr>
      </w:pPr>
    </w:p>
    <w:p w14:paraId="3935EED1" w14:textId="65179866" w:rsidR="008B67CC" w:rsidRDefault="008B67CC">
      <w:pPr>
        <w:rPr>
          <w:rFonts w:asciiTheme="minorHAnsi" w:hAnsiTheme="minorHAnsi" w:cstheme="minorHAnsi"/>
          <w:sz w:val="22"/>
          <w:szCs w:val="22"/>
        </w:rPr>
      </w:pPr>
    </w:p>
    <w:p w14:paraId="553E5E0A" w14:textId="54AA8F6E" w:rsidR="008B67CC" w:rsidRDefault="008B67CC">
      <w:pPr>
        <w:rPr>
          <w:rFonts w:asciiTheme="minorHAnsi" w:hAnsiTheme="minorHAnsi" w:cstheme="minorHAnsi"/>
          <w:sz w:val="22"/>
          <w:szCs w:val="22"/>
        </w:rPr>
      </w:pPr>
    </w:p>
    <w:p w14:paraId="2E4D5B15" w14:textId="68AC1296" w:rsidR="008B67CC" w:rsidRDefault="008B67CC">
      <w:pPr>
        <w:rPr>
          <w:rFonts w:asciiTheme="minorHAnsi" w:hAnsiTheme="minorHAnsi" w:cstheme="minorHAnsi"/>
          <w:sz w:val="22"/>
          <w:szCs w:val="22"/>
        </w:rPr>
      </w:pPr>
    </w:p>
    <w:p w14:paraId="2C51FC27" w14:textId="60434114" w:rsidR="008B67CC" w:rsidRDefault="008B67CC">
      <w:pPr>
        <w:rPr>
          <w:rFonts w:asciiTheme="minorHAnsi" w:hAnsiTheme="minorHAnsi" w:cstheme="minorHAnsi"/>
          <w:sz w:val="22"/>
          <w:szCs w:val="22"/>
        </w:rPr>
      </w:pPr>
    </w:p>
    <w:p w14:paraId="0F247F19" w14:textId="062CABF7" w:rsidR="008B67CC" w:rsidRDefault="008B67CC">
      <w:pPr>
        <w:rPr>
          <w:rFonts w:asciiTheme="minorHAnsi" w:hAnsiTheme="minorHAnsi" w:cstheme="minorHAnsi"/>
          <w:sz w:val="22"/>
          <w:szCs w:val="22"/>
        </w:rPr>
      </w:pPr>
    </w:p>
    <w:p w14:paraId="7ACDD9F3" w14:textId="462F3A76" w:rsidR="008B67CC" w:rsidRDefault="008B67CC">
      <w:pPr>
        <w:rPr>
          <w:rFonts w:asciiTheme="minorHAnsi" w:hAnsiTheme="minorHAnsi" w:cstheme="minorHAnsi"/>
          <w:sz w:val="22"/>
          <w:szCs w:val="22"/>
        </w:rPr>
      </w:pPr>
    </w:p>
    <w:p w14:paraId="1CE28C06" w14:textId="3A227CC6" w:rsidR="008B67CC" w:rsidRDefault="008B67CC">
      <w:pPr>
        <w:rPr>
          <w:rFonts w:asciiTheme="minorHAnsi" w:hAnsiTheme="minorHAnsi" w:cstheme="minorHAnsi"/>
          <w:sz w:val="22"/>
          <w:szCs w:val="22"/>
        </w:rPr>
      </w:pPr>
    </w:p>
    <w:p w14:paraId="5819936A" w14:textId="68394164" w:rsidR="008B67CC" w:rsidRDefault="008B67CC">
      <w:pPr>
        <w:rPr>
          <w:rFonts w:asciiTheme="minorHAnsi" w:hAnsiTheme="minorHAnsi" w:cstheme="minorHAnsi"/>
          <w:sz w:val="22"/>
          <w:szCs w:val="22"/>
        </w:rPr>
      </w:pPr>
    </w:p>
    <w:p w14:paraId="778E8B24" w14:textId="327CE0E9" w:rsidR="008B67CC" w:rsidRDefault="008B67CC">
      <w:pPr>
        <w:rPr>
          <w:rFonts w:asciiTheme="minorHAnsi" w:hAnsiTheme="minorHAnsi" w:cstheme="minorHAnsi"/>
          <w:sz w:val="22"/>
          <w:szCs w:val="22"/>
        </w:rPr>
      </w:pPr>
    </w:p>
    <w:p w14:paraId="7BCD15CB" w14:textId="05CA1412" w:rsidR="008B67CC" w:rsidRDefault="008B67CC">
      <w:pPr>
        <w:rPr>
          <w:rFonts w:asciiTheme="minorHAnsi" w:hAnsiTheme="minorHAnsi" w:cstheme="minorHAnsi"/>
          <w:sz w:val="22"/>
          <w:szCs w:val="22"/>
        </w:rPr>
      </w:pPr>
    </w:p>
    <w:p w14:paraId="3470ABD0" w14:textId="617C2A05" w:rsidR="008B67CC" w:rsidRDefault="008B67CC">
      <w:pPr>
        <w:rPr>
          <w:rFonts w:asciiTheme="minorHAnsi" w:hAnsiTheme="minorHAnsi" w:cstheme="minorHAnsi"/>
          <w:sz w:val="22"/>
          <w:szCs w:val="22"/>
        </w:rPr>
      </w:pPr>
    </w:p>
    <w:p w14:paraId="7364EB63" w14:textId="01A7328C" w:rsidR="008B67CC" w:rsidRDefault="008B67CC">
      <w:pPr>
        <w:rPr>
          <w:rFonts w:asciiTheme="minorHAnsi" w:hAnsiTheme="minorHAnsi" w:cstheme="minorHAnsi"/>
          <w:sz w:val="22"/>
          <w:szCs w:val="22"/>
        </w:rPr>
      </w:pPr>
    </w:p>
    <w:p w14:paraId="064AE8D3" w14:textId="02D29078" w:rsidR="008B67CC" w:rsidRDefault="008B67CC">
      <w:pPr>
        <w:rPr>
          <w:rFonts w:asciiTheme="minorHAnsi" w:hAnsiTheme="minorHAnsi" w:cstheme="minorHAnsi"/>
          <w:sz w:val="22"/>
          <w:szCs w:val="22"/>
        </w:rPr>
      </w:pPr>
    </w:p>
    <w:p w14:paraId="62FCF1D7" w14:textId="77777777" w:rsidR="008B67CC" w:rsidRDefault="008B67C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3E79F142"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8B67CC">
        <w:rPr>
          <w:rFonts w:asciiTheme="minorHAnsi" w:hAnsiTheme="minorHAnsi" w:cstheme="minorHAnsi"/>
          <w:sz w:val="22"/>
          <w:szCs w:val="22"/>
        </w:rPr>
        <w:t>26</w:t>
      </w:r>
      <w:r>
        <w:rPr>
          <w:rFonts w:asciiTheme="minorHAnsi" w:hAnsiTheme="minorHAnsi" w:cstheme="minorHAnsi"/>
          <w:sz w:val="22"/>
          <w:szCs w:val="22"/>
        </w:rPr>
        <w:t>/0</w:t>
      </w:r>
      <w:r w:rsidR="00FF115B">
        <w:rPr>
          <w:rFonts w:asciiTheme="minorHAnsi" w:hAnsiTheme="minorHAnsi" w:cstheme="minorHAnsi"/>
          <w:sz w:val="22"/>
          <w:szCs w:val="22"/>
        </w:rPr>
        <w:t>5</w:t>
      </w:r>
      <w:r>
        <w:rPr>
          <w:rFonts w:asciiTheme="minorHAnsi" w:hAnsiTheme="minorHAnsi" w:cstheme="minorHAnsi"/>
          <w:sz w:val="22"/>
          <w:szCs w:val="22"/>
        </w:rPr>
        <w:t xml:space="preserve">/2023 y el </w:t>
      </w:r>
      <w:r w:rsidR="00DB2BBC">
        <w:rPr>
          <w:rFonts w:asciiTheme="minorHAnsi" w:hAnsiTheme="minorHAnsi" w:cstheme="minorHAnsi"/>
          <w:sz w:val="22"/>
          <w:szCs w:val="22"/>
        </w:rPr>
        <w:t>0</w:t>
      </w:r>
      <w:r w:rsidR="008B67CC">
        <w:rPr>
          <w:rFonts w:asciiTheme="minorHAnsi" w:hAnsiTheme="minorHAnsi" w:cstheme="minorHAnsi"/>
          <w:sz w:val="22"/>
          <w:szCs w:val="22"/>
        </w:rPr>
        <w:t>9</w:t>
      </w:r>
      <w:r>
        <w:rPr>
          <w:rFonts w:asciiTheme="minorHAnsi" w:hAnsiTheme="minorHAnsi" w:cstheme="minorHAnsi"/>
          <w:sz w:val="22"/>
          <w:szCs w:val="22"/>
        </w:rPr>
        <w:t>/0</w:t>
      </w:r>
      <w:r w:rsidR="00DB2BBC">
        <w:rPr>
          <w:rFonts w:asciiTheme="minorHAnsi" w:hAnsiTheme="minorHAnsi" w:cstheme="minorHAnsi"/>
          <w:sz w:val="22"/>
          <w:szCs w:val="22"/>
        </w:rPr>
        <w:t>6</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52F2CEAD"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8B67CC">
        <w:rPr>
          <w:rFonts w:ascii="Calibri" w:hAnsi="Calibri" w:cs="Arial"/>
          <w:b/>
          <w:bCs/>
          <w:i/>
          <w:sz w:val="22"/>
          <w:szCs w:val="22"/>
          <w:lang w:eastAsia="es-PE"/>
        </w:rPr>
        <w:t>12</w:t>
      </w:r>
      <w:r>
        <w:rPr>
          <w:rFonts w:ascii="Calibri" w:hAnsi="Calibri" w:cs="Arial"/>
          <w:b/>
          <w:bCs/>
          <w:i/>
          <w:sz w:val="22"/>
          <w:szCs w:val="22"/>
          <w:lang w:eastAsia="es-PE"/>
        </w:rPr>
        <w:t>-0</w:t>
      </w:r>
      <w:r w:rsidR="00DB2BBC">
        <w:rPr>
          <w:rFonts w:ascii="Calibri" w:hAnsi="Calibri" w:cs="Arial"/>
          <w:b/>
          <w:bCs/>
          <w:i/>
          <w:sz w:val="22"/>
          <w:szCs w:val="22"/>
          <w:lang w:eastAsia="es-PE"/>
        </w:rPr>
        <w:t>6</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25FB4B15" w:rsidR="00A86191" w:rsidRPr="00CC2A8A" w:rsidRDefault="008B67CC" w:rsidP="00A86191">
      <w:pPr>
        <w:pBdr>
          <w:top w:val="single" w:sz="4" w:space="1" w:color="auto"/>
          <w:bottom w:val="single" w:sz="4" w:space="1" w:color="auto"/>
        </w:pBdr>
        <w:rPr>
          <w:rFonts w:ascii="Calibri" w:hAnsi="Calibri" w:cs="Arial"/>
          <w:bCs/>
          <w:sz w:val="32"/>
          <w:szCs w:val="32"/>
        </w:rPr>
      </w:pPr>
      <w:r w:rsidRPr="0027595B">
        <w:rPr>
          <w:noProof/>
        </w:rPr>
        <w:drawing>
          <wp:inline distT="0" distB="0" distL="0" distR="0" wp14:anchorId="347C327B" wp14:editId="6619691F">
            <wp:extent cx="5490845" cy="2922905"/>
            <wp:effectExtent l="0" t="0" r="0" b="0"/>
            <wp:docPr id="1420161401" name="Picture 1" descr="A picture containing text, screenshot, paralle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161401" name="Picture 1" descr="A picture containing text, screenshot, parallel, line&#10;&#10;Description automatically generated"/>
                    <pic:cNvPicPr/>
                  </pic:nvPicPr>
                  <pic:blipFill>
                    <a:blip r:embed="rId12"/>
                    <a:stretch>
                      <a:fillRect/>
                    </a:stretch>
                  </pic:blipFill>
                  <pic:spPr>
                    <a:xfrm>
                      <a:off x="0" y="0"/>
                      <a:ext cx="5490845" cy="292290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2531DFFB"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8B67CC">
        <w:rPr>
          <w:rFonts w:asciiTheme="minorHAnsi" w:hAnsiTheme="minorHAnsi" w:cstheme="minorHAnsi"/>
          <w:sz w:val="22"/>
          <w:szCs w:val="22"/>
        </w:rPr>
        <w:t>0</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0C060E">
        <w:rPr>
          <w:rFonts w:asciiTheme="minorHAnsi" w:hAnsiTheme="minorHAnsi" w:cstheme="minorHAnsi"/>
          <w:sz w:val="22"/>
          <w:szCs w:val="22"/>
        </w:rPr>
        <w:t>1</w:t>
      </w:r>
      <w:r>
        <w:rPr>
          <w:rFonts w:asciiTheme="minorHAnsi" w:hAnsiTheme="minorHAnsi" w:cstheme="minorHAnsi"/>
          <w:sz w:val="22"/>
          <w:szCs w:val="22"/>
        </w:rPr>
        <w:t>% y 8</w:t>
      </w:r>
      <w:r w:rsidR="008B67CC">
        <w:rPr>
          <w:rFonts w:asciiTheme="minorHAnsi" w:hAnsiTheme="minorHAnsi" w:cstheme="minorHAnsi"/>
          <w:sz w:val="22"/>
          <w:szCs w:val="22"/>
        </w:rPr>
        <w:t>8</w:t>
      </w:r>
      <w:r>
        <w:rPr>
          <w:rFonts w:asciiTheme="minorHAnsi" w:hAnsiTheme="minorHAnsi" w:cstheme="minorHAnsi"/>
          <w:sz w:val="22"/>
          <w:szCs w:val="22"/>
        </w:rPr>
        <w:t xml:space="preserve">% del precio de referencia de los biocombustibles, </w:t>
      </w:r>
      <w:r w:rsidR="00DB2BBC">
        <w:rPr>
          <w:rFonts w:asciiTheme="minorHAnsi" w:hAnsiTheme="minorHAnsi" w:cstheme="minorHAnsi"/>
          <w:sz w:val="22"/>
          <w:szCs w:val="22"/>
        </w:rPr>
        <w:t>81</w:t>
      </w:r>
      <w:r w:rsidR="00C1568F">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DB2BBC">
        <w:rPr>
          <w:rFonts w:asciiTheme="minorHAnsi" w:hAnsiTheme="minorHAnsi" w:cstheme="minorHAnsi"/>
          <w:sz w:val="22"/>
          <w:szCs w:val="22"/>
        </w:rPr>
        <w:t>4</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0EDD2FB1"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8B67CC">
        <w:rPr>
          <w:rFonts w:asciiTheme="minorHAnsi" w:hAnsiTheme="minorHAnsi" w:cstheme="minorHAnsi"/>
          <w:sz w:val="22"/>
          <w:szCs w:val="22"/>
        </w:rPr>
        <w:t>12</w:t>
      </w:r>
      <w:r>
        <w:rPr>
          <w:rFonts w:asciiTheme="minorHAnsi" w:hAnsiTheme="minorHAnsi" w:cstheme="minorHAnsi"/>
          <w:sz w:val="22"/>
          <w:szCs w:val="22"/>
        </w:rPr>
        <w:t xml:space="preserve"> de </w:t>
      </w:r>
      <w:r w:rsidR="00DB2BBC">
        <w:rPr>
          <w:rFonts w:asciiTheme="minorHAnsi" w:hAnsiTheme="minorHAnsi" w:cstheme="minorHAnsi"/>
          <w:sz w:val="22"/>
          <w:szCs w:val="22"/>
        </w:rPr>
        <w:t>junio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70FCABC0" w14:textId="77777777"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56200B56"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C1568F">
        <w:rPr>
          <w:rFonts w:asciiTheme="minorHAnsi" w:hAnsiTheme="minorHAnsi" w:cstheme="minorHAnsi"/>
          <w:sz w:val="22"/>
          <w:szCs w:val="22"/>
        </w:rPr>
        <w:t>5</w:t>
      </w:r>
      <w:r w:rsidR="001F2602">
        <w:rPr>
          <w:rFonts w:asciiTheme="minorHAnsi" w:hAnsiTheme="minorHAnsi" w:cstheme="minorHAnsi"/>
          <w:sz w:val="22"/>
          <w:szCs w:val="22"/>
        </w:rPr>
        <w:t>,</w:t>
      </w:r>
      <w:r w:rsidR="00C1568F">
        <w:rPr>
          <w:rFonts w:asciiTheme="minorHAnsi" w:hAnsiTheme="minorHAnsi" w:cstheme="minorHAnsi"/>
          <w:sz w:val="22"/>
          <w:szCs w:val="22"/>
        </w:rPr>
        <w:t>0</w:t>
      </w:r>
      <w:r w:rsidR="00A930E0">
        <w:rPr>
          <w:rFonts w:asciiTheme="minorHAnsi" w:hAnsiTheme="minorHAnsi" w:cstheme="minorHAnsi"/>
          <w:sz w:val="22"/>
          <w:szCs w:val="22"/>
        </w:rPr>
        <w:t>3</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116DB45B"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1568F">
        <w:rPr>
          <w:rFonts w:asciiTheme="minorHAnsi" w:hAnsiTheme="minorHAnsi" w:cstheme="minorHAnsi"/>
          <w:sz w:val="22"/>
          <w:szCs w:val="22"/>
          <w:lang w:val="en-US"/>
        </w:rPr>
        <w:t>5</w:t>
      </w:r>
      <w:r>
        <w:rPr>
          <w:rFonts w:asciiTheme="minorHAnsi" w:hAnsiTheme="minorHAnsi" w:cstheme="minorHAnsi"/>
          <w:sz w:val="22"/>
          <w:szCs w:val="22"/>
          <w:lang w:val="en-US"/>
        </w:rPr>
        <w:t>,</w:t>
      </w:r>
      <w:r w:rsidR="00A930E0">
        <w:rPr>
          <w:rFonts w:asciiTheme="minorHAnsi" w:hAnsiTheme="minorHAnsi" w:cstheme="minorHAnsi"/>
          <w:sz w:val="22"/>
          <w:szCs w:val="22"/>
          <w:lang w:val="en-US"/>
        </w:rPr>
        <w:t>0</w:t>
      </w:r>
      <w:r w:rsidR="008B67CC">
        <w:rPr>
          <w:rFonts w:asciiTheme="minorHAnsi" w:hAnsiTheme="minorHAnsi" w:cstheme="minorHAnsi"/>
          <w:sz w:val="22"/>
          <w:szCs w:val="22"/>
          <w:lang w:val="en-US"/>
        </w:rPr>
        <w:t>6</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A930E0">
        <w:rPr>
          <w:rFonts w:asciiTheme="minorHAnsi" w:hAnsiTheme="minorHAnsi" w:cstheme="minorHAnsi"/>
          <w:sz w:val="22"/>
          <w:szCs w:val="22"/>
          <w:lang w:val="en-US"/>
        </w:rPr>
        <w:t>6</w:t>
      </w:r>
      <w:r w:rsidR="008B67CC">
        <w:rPr>
          <w:rFonts w:asciiTheme="minorHAnsi" w:hAnsiTheme="minorHAnsi" w:cstheme="minorHAnsi"/>
          <w:sz w:val="22"/>
          <w:szCs w:val="22"/>
          <w:lang w:val="en-US"/>
        </w:rPr>
        <w:t>2</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586B29B0"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C1568F">
        <w:rPr>
          <w:rFonts w:asciiTheme="minorHAnsi" w:hAnsiTheme="minorHAnsi" w:cstheme="minorHAnsi"/>
          <w:sz w:val="22"/>
          <w:szCs w:val="22"/>
          <w:lang w:val="en-US"/>
        </w:rPr>
        <w:t>5</w:t>
      </w:r>
      <w:r w:rsidR="008B67CC">
        <w:rPr>
          <w:rFonts w:asciiTheme="minorHAnsi" w:hAnsiTheme="minorHAnsi" w:cstheme="minorHAnsi"/>
          <w:sz w:val="22"/>
          <w:szCs w:val="22"/>
          <w:lang w:val="en-US"/>
        </w:rPr>
        <w:t>2</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6B00AD32"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8B67CC">
        <w:rPr>
          <w:rFonts w:asciiTheme="minorHAnsi" w:hAnsiTheme="minorHAnsi" w:cstheme="minorHAnsi"/>
          <w:sz w:val="22"/>
          <w:szCs w:val="22"/>
        </w:rPr>
        <w:t>3</w:t>
      </w:r>
      <w:r w:rsidR="00A930E0">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63F139A7"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0C060E">
        <w:rPr>
          <w:rFonts w:asciiTheme="minorHAnsi" w:hAnsiTheme="minorHAnsi" w:cstheme="minorHAnsi"/>
          <w:sz w:val="22"/>
          <w:szCs w:val="22"/>
        </w:rPr>
        <w:t>9</w:t>
      </w:r>
      <w:r w:rsidR="008B67CC">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8B67CC">
        <w:rPr>
          <w:rFonts w:asciiTheme="minorHAnsi" w:hAnsiTheme="minorHAnsi" w:cstheme="minorHAnsi"/>
          <w:sz w:val="22"/>
          <w:szCs w:val="22"/>
        </w:rPr>
        <w:t>82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0684D8F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DB2BBC">
        <w:rPr>
          <w:rFonts w:asciiTheme="minorHAnsi" w:hAnsiTheme="minorHAnsi" w:cstheme="minorHAnsi"/>
          <w:sz w:val="22"/>
          <w:szCs w:val="22"/>
        </w:rPr>
        <w:t>0</w:t>
      </w:r>
      <w:r w:rsidR="008B67CC">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8B67CC">
        <w:rPr>
          <w:rFonts w:asciiTheme="minorHAnsi" w:hAnsiTheme="minorHAnsi" w:cstheme="minorHAnsi"/>
          <w:sz w:val="22"/>
          <w:szCs w:val="22"/>
        </w:rPr>
        <w:t>1</w:t>
      </w:r>
      <w:r w:rsidR="00513E2B">
        <w:rPr>
          <w:rFonts w:asciiTheme="minorHAnsi" w:hAnsiTheme="minorHAnsi" w:cstheme="minorHAnsi"/>
          <w:sz w:val="22"/>
          <w:szCs w:val="22"/>
        </w:rPr>
        <w:t>,</w:t>
      </w:r>
      <w:r w:rsidR="008B67CC">
        <w:rPr>
          <w:rFonts w:asciiTheme="minorHAnsi" w:hAnsiTheme="minorHAnsi" w:cstheme="minorHAnsi"/>
          <w:sz w:val="22"/>
          <w:szCs w:val="22"/>
        </w:rPr>
        <w:t>0</w:t>
      </w:r>
      <w:r w:rsidR="00A930E0">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2463E852"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8B67CC">
        <w:rPr>
          <w:rFonts w:asciiTheme="minorHAnsi" w:hAnsiTheme="minorHAnsi" w:cstheme="minorHAnsi"/>
          <w:sz w:val="22"/>
          <w:szCs w:val="22"/>
        </w:rPr>
        <w:t>3</w:t>
      </w:r>
      <w:r w:rsidR="00A930E0">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7FD530AE" w14:textId="30B98D88" w:rsidR="002A0DA0" w:rsidRDefault="002A0DA0"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1674C7BD"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A930E0">
        <w:rPr>
          <w:rFonts w:asciiTheme="minorHAnsi" w:hAnsiTheme="minorHAnsi" w:cstheme="minorHAnsi"/>
          <w:sz w:val="22"/>
          <w:szCs w:val="22"/>
        </w:rPr>
        <w:t>4</w:t>
      </w:r>
      <w:r w:rsidR="008B67CC">
        <w:rPr>
          <w:rFonts w:asciiTheme="minorHAnsi" w:hAnsiTheme="minorHAnsi" w:cstheme="minorHAnsi"/>
          <w:sz w:val="22"/>
          <w:szCs w:val="22"/>
        </w:rPr>
        <w:t>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5B19B053" w:rsidR="000866E6" w:rsidRDefault="000866E6"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43C4E8BB" w:rsidR="00765078" w:rsidRDefault="008B67CC" w:rsidP="004F74EE">
      <w:pPr>
        <w:pBdr>
          <w:top w:val="single" w:sz="4" w:space="1" w:color="auto"/>
          <w:bottom w:val="single" w:sz="4" w:space="1" w:color="auto"/>
        </w:pBdr>
        <w:jc w:val="center"/>
        <w:rPr>
          <w:rFonts w:ascii="Calibri" w:hAnsi="Calibri" w:cs="Calibri"/>
          <w:sz w:val="22"/>
          <w:szCs w:val="22"/>
          <w:lang w:val="es-PE" w:eastAsia="en-US"/>
        </w:rPr>
      </w:pPr>
      <w:r w:rsidRPr="008B67CC">
        <w:drawing>
          <wp:inline distT="0" distB="0" distL="0" distR="0" wp14:anchorId="339742DB" wp14:editId="228755FE">
            <wp:extent cx="8173085" cy="274891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274891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0F990BDA" w:rsidR="00F85D23" w:rsidRDefault="001C1FC1" w:rsidP="00FB4E04">
            <w:pPr>
              <w:ind w:left="-618" w:right="-654"/>
              <w:jc w:val="center"/>
              <w:rPr>
                <w:rFonts w:asciiTheme="minorHAnsi" w:hAnsiTheme="minorHAnsi" w:cstheme="minorHAnsi"/>
              </w:rPr>
            </w:pPr>
            <w:r w:rsidRPr="001C1FC1">
              <w:rPr>
                <w:rFonts w:asciiTheme="minorHAnsi" w:hAnsiTheme="minorHAnsi" w:cstheme="minorHAnsi"/>
                <w:noProof/>
              </w:rPr>
              <w:drawing>
                <wp:inline distT="0" distB="0" distL="0" distR="0" wp14:anchorId="1BA952DC" wp14:editId="2BB40C46">
                  <wp:extent cx="3567430" cy="2736376"/>
                  <wp:effectExtent l="0" t="0" r="0" b="698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0932" cy="2739062"/>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1EB97431" w:rsidR="00EF3BE9" w:rsidRPr="00CE793E" w:rsidRDefault="001C1FC1"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604D279D" wp14:editId="2B56F6A1">
                  <wp:extent cx="5239640" cy="238153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93712" cy="2406112"/>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151A3119" w:rsidR="006C63F4" w:rsidRPr="00737F8F" w:rsidRDefault="001C1FC1"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1C1FC1">
        <w:drawing>
          <wp:inline distT="0" distB="0" distL="0" distR="0" wp14:anchorId="4F8BFDD6" wp14:editId="7EA5E994">
            <wp:extent cx="5615940" cy="2169994"/>
            <wp:effectExtent l="0" t="0" r="3810" b="190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29288" cy="2175151"/>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64EA1D07" w:rsidR="005C4A97" w:rsidRDefault="001C1FC1" w:rsidP="00604758">
      <w:pPr>
        <w:spacing w:line="0" w:lineRule="atLeast"/>
        <w:ind w:right="-567"/>
        <w:jc w:val="both"/>
        <w:rPr>
          <w:rFonts w:asciiTheme="minorHAnsi" w:hAnsiTheme="minorHAnsi" w:cstheme="minorHAnsi"/>
          <w:i/>
          <w:sz w:val="18"/>
          <w:szCs w:val="18"/>
        </w:rPr>
      </w:pPr>
      <w:r w:rsidRPr="001C1FC1">
        <w:drawing>
          <wp:inline distT="0" distB="0" distL="0" distR="0" wp14:anchorId="3FB110EF" wp14:editId="1B51E5BF">
            <wp:extent cx="5850003" cy="2661314"/>
            <wp:effectExtent l="0" t="0" r="0" b="571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4582" cy="2667946"/>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10FCB448" w:rsidR="00127A54" w:rsidRDefault="001C1FC1" w:rsidP="006220EA">
      <w:pPr>
        <w:rPr>
          <w:rFonts w:asciiTheme="minorHAnsi" w:hAnsiTheme="minorHAnsi" w:cstheme="minorHAnsi"/>
          <w:i/>
          <w:sz w:val="18"/>
          <w:szCs w:val="18"/>
        </w:rPr>
      </w:pPr>
      <w:r w:rsidRPr="001C1FC1">
        <w:drawing>
          <wp:inline distT="0" distB="0" distL="0" distR="0" wp14:anchorId="7A23AF43" wp14:editId="7268E9CE">
            <wp:extent cx="5850255" cy="7356144"/>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089" cy="7357193"/>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799548A7" w:rsidR="005048C1" w:rsidRPr="00C2751F" w:rsidRDefault="001C1FC1" w:rsidP="005048C1">
      <w:pPr>
        <w:spacing w:line="0" w:lineRule="atLeast"/>
        <w:ind w:right="-567"/>
        <w:jc w:val="both"/>
        <w:rPr>
          <w:noProof/>
          <w:lang w:val="es-PE" w:eastAsia="es-PE"/>
        </w:rPr>
      </w:pPr>
      <w:r w:rsidRPr="001C1FC1">
        <w:drawing>
          <wp:inline distT="0" distB="0" distL="0" distR="0" wp14:anchorId="79BE5AF2" wp14:editId="55D7257F">
            <wp:extent cx="5850255" cy="6393976"/>
            <wp:effectExtent l="0" t="0" r="0" b="698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385" cy="6396304"/>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781D4DD4" w14:textId="77777777" w:rsidR="00405392" w:rsidRDefault="00405392" w:rsidP="00405392">
      <w:pPr>
        <w:jc w:val="both"/>
        <w:rPr>
          <w:rFonts w:asciiTheme="minorHAnsi" w:hAnsiTheme="minorHAnsi" w:cstheme="minorHAnsi"/>
          <w:sz w:val="22"/>
          <w:szCs w:val="22"/>
        </w:rPr>
      </w:pPr>
    </w:p>
    <w:p w14:paraId="197A8312" w14:textId="77777777" w:rsidR="001C1FC1" w:rsidRDefault="001C1FC1" w:rsidP="001C1FC1">
      <w:pPr>
        <w:jc w:val="center"/>
        <w:rPr>
          <w:rFonts w:asciiTheme="minorHAnsi" w:hAnsiTheme="minorHAnsi" w:cstheme="minorHAnsi"/>
          <w:sz w:val="22"/>
          <w:szCs w:val="22"/>
        </w:rPr>
      </w:pPr>
      <w:r>
        <w:rPr>
          <w:noProof/>
        </w:rPr>
        <w:drawing>
          <wp:inline distT="0" distB="0" distL="0" distR="0" wp14:anchorId="6CAA152C" wp14:editId="6CAC8FD7">
            <wp:extent cx="4636770" cy="2688609"/>
            <wp:effectExtent l="19050" t="19050" r="11430" b="16510"/>
            <wp:docPr id="1922249680" name="Picture 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75732" cy="2711201"/>
                    </a:xfrm>
                    <a:prstGeom prst="rect">
                      <a:avLst/>
                    </a:prstGeom>
                    <a:noFill/>
                    <a:ln>
                      <a:solidFill>
                        <a:schemeClr val="accent1"/>
                      </a:solidFill>
                    </a:ln>
                  </pic:spPr>
                </pic:pic>
              </a:graphicData>
            </a:graphic>
          </wp:inline>
        </w:drawing>
      </w:r>
    </w:p>
    <w:p w14:paraId="0C0315AB" w14:textId="77777777" w:rsidR="001C1FC1" w:rsidRDefault="001C1FC1" w:rsidP="001C1FC1">
      <w:pPr>
        <w:jc w:val="center"/>
        <w:rPr>
          <w:rFonts w:asciiTheme="minorHAnsi" w:hAnsiTheme="minorHAnsi" w:cstheme="minorHAnsi"/>
          <w:sz w:val="22"/>
          <w:szCs w:val="22"/>
        </w:rPr>
      </w:pPr>
    </w:p>
    <w:p w14:paraId="6D630993" w14:textId="77777777" w:rsidR="001C1FC1" w:rsidRDefault="001C1FC1" w:rsidP="001C1FC1">
      <w:pPr>
        <w:jc w:val="center"/>
        <w:rPr>
          <w:rFonts w:asciiTheme="minorHAnsi" w:hAnsiTheme="minorHAnsi" w:cstheme="minorHAnsi"/>
          <w:sz w:val="22"/>
          <w:szCs w:val="22"/>
        </w:rPr>
      </w:pPr>
      <w:r>
        <w:rPr>
          <w:noProof/>
        </w:rPr>
        <w:drawing>
          <wp:inline distT="0" distB="0" distL="0" distR="0" wp14:anchorId="639D887F" wp14:editId="3A606C55">
            <wp:extent cx="4652010" cy="2819685"/>
            <wp:effectExtent l="19050" t="19050" r="15240" b="19050"/>
            <wp:docPr id="709191947" name="Picture 3"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0338" cy="2830794"/>
                    </a:xfrm>
                    <a:prstGeom prst="rect">
                      <a:avLst/>
                    </a:prstGeom>
                    <a:noFill/>
                    <a:ln>
                      <a:solidFill>
                        <a:schemeClr val="accent1"/>
                      </a:solidFill>
                    </a:ln>
                  </pic:spPr>
                </pic:pic>
              </a:graphicData>
            </a:graphic>
          </wp:inline>
        </w:drawing>
      </w:r>
    </w:p>
    <w:p w14:paraId="0B733F0C" w14:textId="77777777" w:rsidR="001C1FC1" w:rsidRDefault="001C1FC1" w:rsidP="001C1FC1">
      <w:pPr>
        <w:jc w:val="center"/>
        <w:rPr>
          <w:rFonts w:asciiTheme="minorHAnsi" w:hAnsiTheme="minorHAnsi" w:cstheme="minorHAnsi"/>
          <w:sz w:val="22"/>
          <w:szCs w:val="22"/>
        </w:rPr>
      </w:pPr>
    </w:p>
    <w:p w14:paraId="3F8BDA0B" w14:textId="77777777" w:rsidR="001C1FC1" w:rsidRDefault="001C1FC1" w:rsidP="001C1FC1">
      <w:pPr>
        <w:ind w:left="993"/>
        <w:jc w:val="both"/>
        <w:rPr>
          <w:rFonts w:asciiTheme="minorHAnsi" w:hAnsiTheme="minorHAnsi" w:cstheme="minorHAnsi"/>
          <w:b/>
          <w:bCs/>
          <w:i/>
          <w:iCs/>
          <w:sz w:val="16"/>
          <w:szCs w:val="16"/>
        </w:rPr>
      </w:pPr>
    </w:p>
    <w:p w14:paraId="5FAC8031" w14:textId="77777777" w:rsidR="001C1FC1" w:rsidRDefault="001C1FC1" w:rsidP="001C1FC1">
      <w:pPr>
        <w:ind w:left="993"/>
        <w:jc w:val="both"/>
        <w:rPr>
          <w:rFonts w:asciiTheme="minorHAnsi" w:hAnsiTheme="minorHAnsi" w:cstheme="minorHAnsi"/>
          <w:b/>
          <w:bCs/>
          <w:i/>
          <w:iCs/>
          <w:sz w:val="16"/>
          <w:szCs w:val="16"/>
        </w:rPr>
      </w:pPr>
    </w:p>
    <w:p w14:paraId="6A3BAC0A" w14:textId="77777777" w:rsidR="001C1FC1" w:rsidRDefault="001C1FC1" w:rsidP="001C1FC1">
      <w:pPr>
        <w:ind w:left="993"/>
        <w:jc w:val="both"/>
        <w:rPr>
          <w:rFonts w:asciiTheme="minorHAnsi" w:hAnsiTheme="minorHAnsi" w:cstheme="minorHAnsi"/>
          <w:b/>
          <w:bCs/>
          <w:i/>
          <w:iCs/>
          <w:sz w:val="16"/>
          <w:szCs w:val="16"/>
        </w:rPr>
      </w:pPr>
    </w:p>
    <w:p w14:paraId="602F9D47" w14:textId="77777777" w:rsidR="001C1FC1" w:rsidRDefault="001C1FC1" w:rsidP="001C1FC1">
      <w:pPr>
        <w:ind w:left="993"/>
        <w:jc w:val="both"/>
        <w:rPr>
          <w:rFonts w:asciiTheme="minorHAnsi" w:hAnsiTheme="minorHAnsi" w:cstheme="minorHAnsi"/>
          <w:b/>
          <w:bCs/>
          <w:i/>
          <w:iCs/>
          <w:sz w:val="16"/>
          <w:szCs w:val="16"/>
        </w:rPr>
      </w:pPr>
    </w:p>
    <w:p w14:paraId="3E9805BF" w14:textId="69215769" w:rsidR="001C1FC1" w:rsidRDefault="001C1FC1" w:rsidP="001C1FC1">
      <w:pPr>
        <w:ind w:left="993"/>
        <w:jc w:val="both"/>
        <w:rPr>
          <w:rFonts w:asciiTheme="minorHAnsi" w:hAnsiTheme="minorHAnsi" w:cstheme="minorHAnsi"/>
          <w:b/>
          <w:bCs/>
          <w:i/>
          <w:iCs/>
          <w:sz w:val="16"/>
          <w:szCs w:val="16"/>
        </w:rPr>
      </w:pPr>
    </w:p>
    <w:p w14:paraId="3F234DFB" w14:textId="4873732B" w:rsidR="001C1FC1" w:rsidRDefault="001C1FC1" w:rsidP="001C1FC1">
      <w:pPr>
        <w:ind w:left="993"/>
        <w:jc w:val="both"/>
        <w:rPr>
          <w:rFonts w:asciiTheme="minorHAnsi" w:hAnsiTheme="minorHAnsi" w:cstheme="minorHAnsi"/>
          <w:b/>
          <w:bCs/>
          <w:i/>
          <w:iCs/>
          <w:sz w:val="16"/>
          <w:szCs w:val="16"/>
        </w:rPr>
      </w:pPr>
    </w:p>
    <w:p w14:paraId="1016226C" w14:textId="3C334EFE" w:rsidR="001C1FC1" w:rsidRDefault="001C1FC1" w:rsidP="001C1FC1">
      <w:pPr>
        <w:ind w:left="993"/>
        <w:jc w:val="both"/>
        <w:rPr>
          <w:rFonts w:asciiTheme="minorHAnsi" w:hAnsiTheme="minorHAnsi" w:cstheme="minorHAnsi"/>
          <w:b/>
          <w:bCs/>
          <w:i/>
          <w:iCs/>
          <w:sz w:val="16"/>
          <w:szCs w:val="16"/>
        </w:rPr>
      </w:pPr>
    </w:p>
    <w:p w14:paraId="176A443C" w14:textId="77777777" w:rsidR="001C1FC1" w:rsidRDefault="001C1FC1" w:rsidP="001C1FC1">
      <w:pPr>
        <w:ind w:left="993"/>
        <w:jc w:val="both"/>
        <w:rPr>
          <w:rFonts w:asciiTheme="minorHAnsi" w:hAnsiTheme="minorHAnsi" w:cstheme="minorHAnsi"/>
          <w:b/>
          <w:bCs/>
          <w:i/>
          <w:iCs/>
          <w:sz w:val="16"/>
          <w:szCs w:val="16"/>
        </w:rPr>
      </w:pPr>
    </w:p>
    <w:p w14:paraId="5F465F89" w14:textId="1DB18715" w:rsidR="001C1FC1" w:rsidRDefault="001C1FC1" w:rsidP="001C1FC1">
      <w:pPr>
        <w:ind w:left="993"/>
        <w:jc w:val="both"/>
        <w:rPr>
          <w:rFonts w:asciiTheme="minorHAnsi" w:hAnsiTheme="minorHAnsi" w:cstheme="minorHAnsi"/>
          <w:b/>
          <w:iCs/>
          <w:u w:val="single"/>
        </w:rPr>
      </w:pPr>
      <w:r>
        <w:rPr>
          <w:rFonts w:asciiTheme="minorHAnsi" w:hAnsiTheme="minorHAnsi" w:cstheme="minorHAnsi"/>
          <w:b/>
          <w:bCs/>
          <w:i/>
          <w:iCs/>
          <w:sz w:val="16"/>
          <w:szCs w:val="16"/>
        </w:rPr>
        <w:lastRenderedPageBreak/>
        <w:t xml:space="preserve"> </w:t>
      </w:r>
      <w:r>
        <w:rPr>
          <w:noProof/>
        </w:rPr>
        <w:drawing>
          <wp:inline distT="0" distB="0" distL="0" distR="0" wp14:anchorId="2FAED1B0" wp14:editId="1BD4D23A">
            <wp:extent cx="4616934" cy="2635440"/>
            <wp:effectExtent l="19050" t="19050" r="12700" b="12700"/>
            <wp:docPr id="1307672581" name="Picture 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37654" cy="2647267"/>
                    </a:xfrm>
                    <a:prstGeom prst="rect">
                      <a:avLst/>
                    </a:prstGeom>
                    <a:noFill/>
                    <a:ln>
                      <a:solidFill>
                        <a:schemeClr val="accent1"/>
                      </a:solidFill>
                    </a:ln>
                  </pic:spPr>
                </pic:pic>
              </a:graphicData>
            </a:graphic>
          </wp:inline>
        </w:drawing>
      </w:r>
    </w:p>
    <w:p w14:paraId="29CC031B" w14:textId="77777777" w:rsidR="001C1FC1" w:rsidRDefault="001C1FC1" w:rsidP="001C1FC1">
      <w:pPr>
        <w:jc w:val="center"/>
        <w:rPr>
          <w:rFonts w:asciiTheme="minorHAnsi" w:hAnsiTheme="minorHAnsi" w:cstheme="minorHAnsi"/>
          <w:b/>
          <w:iCs/>
          <w:u w:val="single"/>
        </w:rPr>
      </w:pPr>
    </w:p>
    <w:p w14:paraId="129FF1B6" w14:textId="77777777" w:rsidR="001C1FC1" w:rsidRDefault="001C1FC1" w:rsidP="001C1FC1">
      <w:pPr>
        <w:jc w:val="center"/>
        <w:rPr>
          <w:rFonts w:asciiTheme="minorHAnsi" w:hAnsiTheme="minorHAnsi" w:cstheme="minorHAnsi"/>
          <w:b/>
          <w:iCs/>
          <w:u w:val="single"/>
        </w:rPr>
      </w:pPr>
      <w:r>
        <w:rPr>
          <w:noProof/>
        </w:rPr>
        <w:drawing>
          <wp:inline distT="0" distB="0" distL="0" distR="0" wp14:anchorId="39D15914" wp14:editId="5D8059D0">
            <wp:extent cx="4638040" cy="2758270"/>
            <wp:effectExtent l="19050" t="19050" r="10160" b="23495"/>
            <wp:docPr id="2126090804" name="Picture 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62349" cy="2772726"/>
                    </a:xfrm>
                    <a:prstGeom prst="rect">
                      <a:avLst/>
                    </a:prstGeom>
                    <a:noFill/>
                    <a:ln>
                      <a:solidFill>
                        <a:schemeClr val="accent1"/>
                      </a:solidFill>
                    </a:ln>
                  </pic:spPr>
                </pic:pic>
              </a:graphicData>
            </a:graphic>
          </wp:inline>
        </w:drawing>
      </w:r>
    </w:p>
    <w:p w14:paraId="1D0890DC" w14:textId="77777777" w:rsidR="001C1FC1" w:rsidRDefault="001C1FC1" w:rsidP="001C1FC1">
      <w:pPr>
        <w:rPr>
          <w:rFonts w:asciiTheme="minorHAnsi" w:hAnsiTheme="minorHAnsi" w:cstheme="minorHAnsi"/>
          <w:b/>
          <w:iCs/>
          <w:u w:val="single"/>
        </w:rPr>
      </w:pPr>
    </w:p>
    <w:p w14:paraId="2FBBD970" w14:textId="236B5C67" w:rsidR="008F7A15" w:rsidRDefault="003C289C">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1C1FC1"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7FDA796"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2372F7">
            <w:rPr>
              <w:rFonts w:ascii="Calibri" w:hAnsi="Calibri" w:cs="Calibri"/>
              <w:b/>
              <w:sz w:val="26"/>
              <w:szCs w:val="26"/>
              <w:lang w:val="it-IT"/>
            </w:rPr>
            <w:t>2</w:t>
          </w:r>
          <w:r w:rsidR="00FE53EF">
            <w:rPr>
              <w:rFonts w:ascii="Calibri" w:hAnsi="Calibri" w:cs="Calibri"/>
              <w:b/>
              <w:sz w:val="26"/>
              <w:szCs w:val="26"/>
              <w:lang w:val="it-IT"/>
            </w:rPr>
            <w:t>4</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86C80EE"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4C681E">
            <w:rPr>
              <w:rFonts w:ascii="Calibri" w:hAnsi="Calibri" w:cs="Calibri"/>
              <w:b/>
              <w:sz w:val="26"/>
              <w:szCs w:val="26"/>
              <w:lang w:val="it-IT"/>
            </w:rPr>
            <w:t>2</w:t>
          </w:r>
          <w:r w:rsidR="00FE53EF">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093CA324"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8B67CC">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76164379"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8B67CC">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17</Pages>
  <Words>3395</Words>
  <Characters>18678</Characters>
  <Application>Microsoft Office Word</Application>
  <DocSecurity>0</DocSecurity>
  <Lines>155</Lines>
  <Paragraphs>44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22029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4</cp:revision>
  <cp:lastPrinted>2023-05-16T20:56:00Z</cp:lastPrinted>
  <dcterms:created xsi:type="dcterms:W3CDTF">2023-06-16T14:44:00Z</dcterms:created>
  <dcterms:modified xsi:type="dcterms:W3CDTF">2023-06-16T16:26:00Z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