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03F3B482"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B0263F">
        <w:rPr>
          <w:rFonts w:ascii="Poppins" w:hAnsi="Poppins" w:cs="Poppins"/>
          <w:sz w:val="24"/>
          <w:szCs w:val="22"/>
          <w:u w:val="single"/>
          <w:lang w:val="es-PE"/>
        </w:rPr>
        <w:t>3</w:t>
      </w:r>
      <w:r w:rsidR="008760D0">
        <w:rPr>
          <w:rFonts w:ascii="Poppins" w:hAnsi="Poppins" w:cs="Poppins"/>
          <w:sz w:val="24"/>
          <w:szCs w:val="22"/>
          <w:u w:val="single"/>
          <w:lang w:val="es-PE"/>
        </w:rPr>
        <w:t>2</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0A0F56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8760D0">
        <w:rPr>
          <w:rFonts w:ascii="Poppins" w:hAnsi="Poppins" w:cs="Poppins"/>
          <w:b/>
          <w:bCs/>
          <w:sz w:val="22"/>
          <w:szCs w:val="22"/>
        </w:rPr>
        <w:t>10</w:t>
      </w:r>
      <w:r w:rsidR="00316BFF">
        <w:rPr>
          <w:rFonts w:ascii="Poppins" w:hAnsi="Poppins" w:cs="Poppins"/>
          <w:b/>
          <w:bCs/>
          <w:sz w:val="22"/>
          <w:szCs w:val="22"/>
        </w:rPr>
        <w:t>/</w:t>
      </w:r>
      <w:r w:rsidR="005151B0">
        <w:rPr>
          <w:rFonts w:ascii="Poppins" w:hAnsi="Poppins" w:cs="Poppins"/>
          <w:b/>
          <w:bCs/>
          <w:sz w:val="22"/>
          <w:szCs w:val="22"/>
        </w:rPr>
        <w:t>0</w:t>
      </w:r>
      <w:r w:rsidR="00E66E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18FE6AD8" w:rsidR="00613813" w:rsidRPr="0096213B" w:rsidRDefault="00A969F5" w:rsidP="00A969F5">
      <w:pPr>
        <w:tabs>
          <w:tab w:val="left" w:pos="3826"/>
        </w:tabs>
        <w:rPr>
          <w:rFonts w:ascii="Poppins" w:hAnsi="Poppins" w:cs="Poppins"/>
          <w:b/>
          <w:bCs/>
          <w:sz w:val="22"/>
          <w:szCs w:val="22"/>
        </w:rPr>
      </w:pPr>
      <w:r>
        <w:rPr>
          <w:rFonts w:ascii="Poppins" w:hAnsi="Poppins" w:cs="Poppins"/>
          <w:b/>
          <w:bCs/>
          <w:sz w:val="22"/>
          <w:szCs w:val="22"/>
        </w:rPr>
        <w:tab/>
      </w: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744FBC0" w:rsidR="00AB06BA" w:rsidRPr="001C2FD3" w:rsidRDefault="003612C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6A2263D" wp14:editId="184F7408">
            <wp:extent cx="5408295" cy="3543300"/>
            <wp:effectExtent l="0" t="0" r="1905" b="0"/>
            <wp:docPr id="671479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5577" cy="354807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7EB65547" w14:textId="77777777" w:rsidR="00121201" w:rsidRDefault="00121201"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41019CB"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DC2C8B">
        <w:rPr>
          <w:rFonts w:ascii="Poppins" w:hAnsi="Poppins" w:cs="Poppins"/>
          <w:sz w:val="18"/>
          <w:szCs w:val="18"/>
        </w:rPr>
        <w:t>77</w:t>
      </w:r>
      <w:r w:rsidR="002E54DE">
        <w:rPr>
          <w:rFonts w:ascii="Poppins" w:hAnsi="Poppins" w:cs="Poppins"/>
          <w:sz w:val="18"/>
          <w:szCs w:val="18"/>
        </w:rPr>
        <w:t>,6</w:t>
      </w:r>
      <w:r w:rsidR="00DC2C8B">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2E54DE">
        <w:rPr>
          <w:rFonts w:ascii="Poppins" w:hAnsi="Poppins" w:cs="Poppins"/>
          <w:sz w:val="18"/>
          <w:szCs w:val="18"/>
        </w:rPr>
        <w:t>2</w:t>
      </w:r>
      <w:r w:rsidR="00DC2C8B">
        <w:rPr>
          <w:rFonts w:ascii="Poppins" w:hAnsi="Poppins" w:cs="Poppins"/>
          <w:sz w:val="18"/>
          <w:szCs w:val="18"/>
        </w:rPr>
        <w:t>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DC2C8B">
        <w:rPr>
          <w:rFonts w:ascii="Poppins" w:hAnsi="Poppins" w:cs="Poppins"/>
          <w:sz w:val="18"/>
          <w:szCs w:val="18"/>
        </w:rPr>
        <w:t>46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DC2C8B">
        <w:rPr>
          <w:rFonts w:ascii="Poppins" w:hAnsi="Poppins" w:cs="Poppins"/>
          <w:sz w:val="18"/>
          <w:szCs w:val="18"/>
        </w:rPr>
        <w:t>1</w:t>
      </w:r>
      <w:r w:rsidR="002E54DE">
        <w:rPr>
          <w:rFonts w:ascii="Poppins" w:hAnsi="Poppins" w:cs="Poppins"/>
          <w:sz w:val="18"/>
          <w:szCs w:val="18"/>
        </w:rPr>
        <w:t>,</w:t>
      </w:r>
      <w:r w:rsidR="00DC2C8B">
        <w:rPr>
          <w:rFonts w:ascii="Poppins" w:hAnsi="Poppins" w:cs="Poppins"/>
          <w:sz w:val="18"/>
          <w:szCs w:val="18"/>
        </w:rPr>
        <w:t>76</w:t>
      </w:r>
      <w:r w:rsidR="00065983">
        <w:rPr>
          <w:rFonts w:ascii="Poppins" w:hAnsi="Poppins" w:cs="Poppins"/>
          <w:sz w:val="18"/>
          <w:szCs w:val="18"/>
        </w:rPr>
        <w:t xml:space="preserve">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2E54DE">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2DBB783E"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930C99">
        <w:rPr>
          <w:rFonts w:ascii="Poppins" w:hAnsi="Poppins" w:cs="Poppins"/>
          <w:bCs/>
          <w:sz w:val="18"/>
          <w:szCs w:val="18"/>
        </w:rPr>
        <w:t>2</w:t>
      </w:r>
      <w:r w:rsidR="00DC2C8B">
        <w:rPr>
          <w:rFonts w:ascii="Poppins" w:hAnsi="Poppins" w:cs="Poppins"/>
          <w:bCs/>
          <w:sz w:val="18"/>
          <w:szCs w:val="18"/>
        </w:rPr>
        <w:t>7</w:t>
      </w:r>
      <w:r w:rsidR="007D7CB0">
        <w:rPr>
          <w:rFonts w:ascii="Poppins" w:hAnsi="Poppins" w:cs="Poppins"/>
          <w:bCs/>
          <w:sz w:val="18"/>
          <w:szCs w:val="18"/>
        </w:rPr>
        <w:t>.</w:t>
      </w:r>
      <w:r w:rsidR="00B816EA">
        <w:rPr>
          <w:rFonts w:ascii="Poppins" w:hAnsi="Poppins" w:cs="Poppins"/>
          <w:bCs/>
          <w:sz w:val="18"/>
          <w:szCs w:val="18"/>
        </w:rPr>
        <w:t>0</w:t>
      </w:r>
      <w:r w:rsidR="0019298D">
        <w:rPr>
          <w:rFonts w:ascii="Poppins" w:hAnsi="Poppins" w:cs="Poppins"/>
          <w:bCs/>
          <w:sz w:val="18"/>
          <w:szCs w:val="18"/>
        </w:rPr>
        <w:t>7</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DC2C8B">
        <w:rPr>
          <w:rFonts w:ascii="Poppins" w:hAnsi="Poppins" w:cs="Poppins"/>
          <w:bCs/>
          <w:sz w:val="18"/>
          <w:szCs w:val="18"/>
        </w:rPr>
        <w:t>07</w:t>
      </w:r>
      <w:r w:rsidR="005151B0">
        <w:rPr>
          <w:rFonts w:ascii="Poppins" w:hAnsi="Poppins" w:cs="Poppins"/>
          <w:bCs/>
          <w:sz w:val="18"/>
          <w:szCs w:val="18"/>
        </w:rPr>
        <w:t>.0</w:t>
      </w:r>
      <w:r w:rsidR="00DC2C8B">
        <w:rPr>
          <w:rFonts w:ascii="Poppins" w:hAnsi="Poppins" w:cs="Poppins"/>
          <w:bCs/>
          <w:sz w:val="18"/>
          <w:szCs w:val="18"/>
        </w:rPr>
        <w:t>8</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r w:rsidR="00647DA0">
        <w:rPr>
          <w:rFonts w:ascii="Poppins" w:hAnsi="Poppins" w:cs="Poppins"/>
          <w:bCs/>
          <w:sz w:val="18"/>
          <w:szCs w:val="18"/>
        </w:rPr>
        <w:t>:</w:t>
      </w:r>
    </w:p>
    <w:p w14:paraId="61532FA6" w14:textId="77777777" w:rsidR="00204D69" w:rsidRPr="00592F97" w:rsidRDefault="00204D69" w:rsidP="00204D69">
      <w:pPr>
        <w:jc w:val="both"/>
        <w:rPr>
          <w:rFonts w:ascii="Poppins" w:hAnsi="Poppins" w:cs="Poppins"/>
          <w:sz w:val="18"/>
          <w:szCs w:val="18"/>
        </w:rPr>
      </w:pPr>
    </w:p>
    <w:p w14:paraId="37C5FED6" w14:textId="77777777" w:rsidR="00F858EB" w:rsidRPr="005D618A" w:rsidRDefault="00F858EB" w:rsidP="00F858EB">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w:t>
      </w:r>
      <w:r w:rsidRPr="001E3A29">
        <w:rPr>
          <w:rFonts w:ascii="Poppins" w:hAnsi="Poppins" w:cs="Poppins"/>
          <w:b/>
          <w:sz w:val="18"/>
          <w:szCs w:val="18"/>
        </w:rPr>
        <w:t>incremento de los inventarios de crudo</w:t>
      </w:r>
      <w:r>
        <w:rPr>
          <w:rFonts w:ascii="Poppins" w:hAnsi="Poppins" w:cs="Poppins"/>
          <w:b/>
          <w:sz w:val="18"/>
          <w:szCs w:val="18"/>
        </w:rPr>
        <w:t xml:space="preserve"> y propano</w:t>
      </w:r>
      <w:r w:rsidRPr="001E3A29">
        <w:rPr>
          <w:rFonts w:ascii="Poppins" w:hAnsi="Poppins" w:cs="Poppins"/>
          <w:b/>
          <w:sz w:val="18"/>
          <w:szCs w:val="18"/>
        </w:rPr>
        <w:t xml:space="preserve">, así como el descenso de las existencias de </w:t>
      </w:r>
      <w:r>
        <w:rPr>
          <w:rFonts w:ascii="Poppins" w:hAnsi="Poppins" w:cs="Poppins"/>
          <w:b/>
          <w:sz w:val="18"/>
          <w:szCs w:val="18"/>
        </w:rPr>
        <w:t xml:space="preserve">gasolinas y </w:t>
      </w:r>
      <w:r w:rsidRPr="001E3A29">
        <w:rPr>
          <w:rFonts w:ascii="Poppins" w:hAnsi="Poppins" w:cs="Poppins"/>
          <w:b/>
          <w:sz w:val="18"/>
          <w:szCs w:val="18"/>
        </w:rPr>
        <w:t xml:space="preserve">destilado medio, al </w:t>
      </w:r>
      <w:r>
        <w:rPr>
          <w:rFonts w:ascii="Poppins" w:hAnsi="Poppins" w:cs="Poppins"/>
          <w:b/>
          <w:sz w:val="18"/>
          <w:szCs w:val="18"/>
        </w:rPr>
        <w:t>31</w:t>
      </w:r>
      <w:r w:rsidRPr="001E3A29">
        <w:rPr>
          <w:rFonts w:ascii="Poppins" w:hAnsi="Poppins" w:cs="Poppins"/>
          <w:b/>
          <w:sz w:val="18"/>
          <w:szCs w:val="18"/>
        </w:rPr>
        <w:t xml:space="preserve"> de ju</w:t>
      </w:r>
      <w:r>
        <w:rPr>
          <w:rFonts w:ascii="Poppins" w:hAnsi="Poppins" w:cs="Poppins"/>
          <w:b/>
          <w:sz w:val="18"/>
          <w:szCs w:val="18"/>
        </w:rPr>
        <w:t>l</w:t>
      </w:r>
      <w:r w:rsidRPr="001E3A29">
        <w:rPr>
          <w:rFonts w:ascii="Poppins" w:hAnsi="Poppins" w:cs="Poppins"/>
          <w:b/>
          <w:sz w:val="18"/>
          <w:szCs w:val="18"/>
        </w:rPr>
        <w:t>io del 202</w:t>
      </w:r>
      <w:r>
        <w:rPr>
          <w:rFonts w:ascii="Poppins" w:hAnsi="Poppins" w:cs="Poppins"/>
          <w:b/>
          <w:sz w:val="18"/>
          <w:szCs w:val="18"/>
        </w:rPr>
        <w:t>6</w:t>
      </w:r>
    </w:p>
    <w:p w14:paraId="41CE2DD6" w14:textId="77777777" w:rsidR="00F858EB" w:rsidRPr="005D618A" w:rsidRDefault="00F858EB" w:rsidP="00F858EB">
      <w:pPr>
        <w:shd w:val="clear" w:color="auto" w:fill="FFFFFF"/>
        <w:ind w:left="425"/>
        <w:jc w:val="both"/>
        <w:rPr>
          <w:rFonts w:ascii="Poppins" w:hAnsi="Poppins" w:cs="Poppins"/>
          <w:sz w:val="18"/>
          <w:szCs w:val="18"/>
        </w:rPr>
      </w:pPr>
    </w:p>
    <w:p w14:paraId="1DC13945" w14:textId="77777777" w:rsidR="00F858EB" w:rsidRPr="005D618A" w:rsidRDefault="00F858EB" w:rsidP="00F858EB">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incrementaron</w:t>
      </w:r>
      <w:r w:rsidRPr="005D618A">
        <w:rPr>
          <w:rFonts w:ascii="Poppins" w:hAnsi="Poppins" w:cs="Poppins"/>
          <w:sz w:val="18"/>
          <w:szCs w:val="18"/>
        </w:rPr>
        <w:t xml:space="preserve"> en</w:t>
      </w:r>
      <w:r>
        <w:rPr>
          <w:rFonts w:ascii="Poppins" w:hAnsi="Poppins" w:cs="Poppins"/>
          <w:sz w:val="18"/>
          <w:szCs w:val="18"/>
        </w:rPr>
        <w:t xml:space="preserve"> 2,5</w:t>
      </w:r>
      <w:r w:rsidRPr="005D618A">
        <w:rPr>
          <w:rFonts w:ascii="Poppins" w:hAnsi="Poppins" w:cs="Poppins"/>
          <w:sz w:val="18"/>
          <w:szCs w:val="18"/>
        </w:rPr>
        <w:t xml:space="preserve"> millones de barriles alcanzando los 4</w:t>
      </w:r>
      <w:r>
        <w:rPr>
          <w:rFonts w:ascii="Poppins" w:hAnsi="Poppins" w:cs="Poppins"/>
          <w:sz w:val="18"/>
          <w:szCs w:val="18"/>
        </w:rPr>
        <w:t>07,0</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18BECD55" w14:textId="77777777" w:rsidR="00F858EB" w:rsidRPr="005D618A" w:rsidRDefault="00F858EB" w:rsidP="00F858EB">
      <w:pPr>
        <w:shd w:val="clear" w:color="auto" w:fill="FFFFFF"/>
        <w:ind w:left="425"/>
        <w:jc w:val="both"/>
        <w:rPr>
          <w:rFonts w:ascii="Poppins" w:hAnsi="Poppins" w:cs="Poppins"/>
          <w:sz w:val="18"/>
          <w:szCs w:val="18"/>
        </w:rPr>
      </w:pPr>
    </w:p>
    <w:p w14:paraId="6AD7F15F" w14:textId="77777777" w:rsidR="00F858EB" w:rsidRPr="005D618A" w:rsidRDefault="00F858EB" w:rsidP="00F858EB">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redujeron </w:t>
      </w:r>
      <w:r w:rsidRPr="005D618A">
        <w:rPr>
          <w:rFonts w:ascii="Poppins" w:hAnsi="Poppins" w:cs="Poppins"/>
          <w:sz w:val="18"/>
          <w:szCs w:val="18"/>
        </w:rPr>
        <w:t>en</w:t>
      </w:r>
      <w:r>
        <w:rPr>
          <w:rFonts w:ascii="Poppins" w:hAnsi="Poppins" w:cs="Poppins"/>
          <w:sz w:val="18"/>
          <w:szCs w:val="18"/>
        </w:rPr>
        <w:t xml:space="preserve"> 1,6</w:t>
      </w:r>
      <w:r w:rsidRPr="005D618A">
        <w:rPr>
          <w:rFonts w:ascii="Poppins" w:hAnsi="Poppins" w:cs="Poppins"/>
          <w:sz w:val="18"/>
          <w:szCs w:val="18"/>
        </w:rPr>
        <w:t xml:space="preserve"> millones de barriles, reportando un total de 2</w:t>
      </w:r>
      <w:r>
        <w:rPr>
          <w:rFonts w:ascii="Poppins" w:hAnsi="Poppins" w:cs="Poppins"/>
          <w:sz w:val="18"/>
          <w:szCs w:val="18"/>
        </w:rPr>
        <w:t>09,7</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cayeron </w:t>
      </w:r>
      <w:r w:rsidRPr="005D618A">
        <w:rPr>
          <w:rFonts w:ascii="Poppins" w:hAnsi="Poppins" w:cs="Poppins"/>
          <w:sz w:val="18"/>
          <w:szCs w:val="18"/>
        </w:rPr>
        <w:t>en</w:t>
      </w:r>
      <w:r>
        <w:rPr>
          <w:rFonts w:ascii="Poppins" w:hAnsi="Poppins" w:cs="Poppins"/>
          <w:sz w:val="18"/>
          <w:szCs w:val="18"/>
        </w:rPr>
        <w:t xml:space="preserve"> 3,5 </w:t>
      </w:r>
      <w:r w:rsidRPr="005D618A">
        <w:rPr>
          <w:rFonts w:ascii="Poppins" w:hAnsi="Poppins" w:cs="Poppins"/>
          <w:sz w:val="18"/>
          <w:szCs w:val="18"/>
        </w:rPr>
        <w:t>millones de barriles, ubicándose en 1</w:t>
      </w:r>
      <w:r>
        <w:rPr>
          <w:rFonts w:ascii="Poppins" w:hAnsi="Poppins" w:cs="Poppins"/>
          <w:sz w:val="18"/>
          <w:szCs w:val="18"/>
        </w:rPr>
        <w:t>07,2</w:t>
      </w:r>
      <w:r w:rsidRPr="005D618A">
        <w:rPr>
          <w:rFonts w:ascii="Poppins" w:hAnsi="Poppins" w:cs="Poppins"/>
          <w:sz w:val="18"/>
          <w:szCs w:val="18"/>
        </w:rPr>
        <w:t xml:space="preserve"> millones de barriles</w:t>
      </w:r>
      <w:r>
        <w:rPr>
          <w:rFonts w:ascii="Poppins" w:hAnsi="Poppins" w:cs="Poppins"/>
          <w:sz w:val="18"/>
          <w:szCs w:val="18"/>
        </w:rPr>
        <w:t>.</w:t>
      </w:r>
    </w:p>
    <w:p w14:paraId="7953ABE4" w14:textId="77777777" w:rsidR="00F858EB" w:rsidRPr="005D618A" w:rsidRDefault="00F858EB" w:rsidP="00F858EB">
      <w:pPr>
        <w:shd w:val="clear" w:color="auto" w:fill="FFFFFF"/>
        <w:ind w:left="425"/>
        <w:jc w:val="both"/>
        <w:rPr>
          <w:rFonts w:ascii="Poppins" w:hAnsi="Poppins" w:cs="Poppins"/>
          <w:sz w:val="18"/>
          <w:szCs w:val="18"/>
        </w:rPr>
      </w:pPr>
    </w:p>
    <w:p w14:paraId="19F636B4" w14:textId="77777777" w:rsidR="00F858EB" w:rsidRDefault="00F858EB" w:rsidP="00F858EB">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0,82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103,10 </w:t>
      </w:r>
      <w:r w:rsidRPr="005D618A">
        <w:rPr>
          <w:rFonts w:ascii="Poppins" w:hAnsi="Poppins" w:cs="Poppins"/>
          <w:sz w:val="18"/>
          <w:szCs w:val="18"/>
        </w:rPr>
        <w:t>millones de barriles</w:t>
      </w:r>
      <w:r>
        <w:rPr>
          <w:rFonts w:ascii="Poppins" w:hAnsi="Poppins" w:cs="Poppins"/>
          <w:sz w:val="18"/>
          <w:szCs w:val="18"/>
        </w:rPr>
        <w:t>.</w:t>
      </w:r>
    </w:p>
    <w:p w14:paraId="779D768F" w14:textId="77777777" w:rsidR="00121201" w:rsidRPr="005D618A" w:rsidRDefault="00121201" w:rsidP="00F858EB">
      <w:pPr>
        <w:shd w:val="clear" w:color="auto" w:fill="FFFFFF"/>
        <w:ind w:left="425"/>
        <w:jc w:val="both"/>
        <w:rPr>
          <w:rFonts w:ascii="Poppins" w:hAnsi="Poppins" w:cs="Poppins"/>
          <w:sz w:val="18"/>
          <w:szCs w:val="18"/>
        </w:rPr>
      </w:pPr>
    </w:p>
    <w:p w14:paraId="159D4806" w14:textId="77777777" w:rsidR="00F858EB" w:rsidRPr="007654D3" w:rsidRDefault="00F858EB" w:rsidP="00F858EB">
      <w:pPr>
        <w:jc w:val="both"/>
        <w:rPr>
          <w:rFonts w:ascii="Poppins" w:hAnsi="Poppins" w:cs="Poppins"/>
          <w:b/>
          <w:sz w:val="18"/>
          <w:szCs w:val="18"/>
          <w:highlight w:val="yellow"/>
        </w:rPr>
      </w:pPr>
    </w:p>
    <w:p w14:paraId="4DE0BD3C" w14:textId="77777777" w:rsidR="00F858EB" w:rsidRDefault="00F858EB" w:rsidP="00F858EB">
      <w:pPr>
        <w:pStyle w:val="Prrafodelista"/>
        <w:numPr>
          <w:ilvl w:val="0"/>
          <w:numId w:val="30"/>
        </w:numPr>
        <w:ind w:left="425"/>
        <w:contextualSpacing/>
        <w:jc w:val="both"/>
        <w:rPr>
          <w:rFonts w:ascii="Poppins" w:hAnsi="Poppins" w:cs="Poppins"/>
          <w:b/>
          <w:sz w:val="18"/>
          <w:szCs w:val="18"/>
        </w:rPr>
      </w:pPr>
      <w:r w:rsidRPr="00DF4D86">
        <w:rPr>
          <w:rFonts w:ascii="Poppins" w:hAnsi="Poppins" w:cs="Poppins"/>
          <w:b/>
          <w:sz w:val="18"/>
          <w:szCs w:val="18"/>
        </w:rPr>
        <w:lastRenderedPageBreak/>
        <w:t xml:space="preserve">La guerra </w:t>
      </w:r>
      <w:r>
        <w:rPr>
          <w:rFonts w:ascii="Poppins" w:hAnsi="Poppins" w:cs="Poppins"/>
          <w:b/>
          <w:sz w:val="18"/>
          <w:szCs w:val="18"/>
        </w:rPr>
        <w:t xml:space="preserve">entre </w:t>
      </w:r>
      <w:r w:rsidRPr="00DF4D86">
        <w:rPr>
          <w:rFonts w:ascii="Poppins" w:hAnsi="Poppins" w:cs="Poppins"/>
          <w:b/>
          <w:sz w:val="18"/>
          <w:szCs w:val="18"/>
        </w:rPr>
        <w:t>EE.UU.</w:t>
      </w:r>
      <w:r>
        <w:rPr>
          <w:rFonts w:ascii="Poppins" w:hAnsi="Poppins" w:cs="Poppins"/>
          <w:b/>
          <w:sz w:val="18"/>
          <w:szCs w:val="18"/>
        </w:rPr>
        <w:t xml:space="preserve"> e </w:t>
      </w:r>
      <w:r w:rsidRPr="00DF4D86">
        <w:rPr>
          <w:rFonts w:ascii="Poppins" w:hAnsi="Poppins" w:cs="Poppins"/>
          <w:b/>
          <w:sz w:val="18"/>
          <w:szCs w:val="18"/>
        </w:rPr>
        <w:t xml:space="preserve">Irán mantiene restringidos </w:t>
      </w:r>
      <w:r>
        <w:rPr>
          <w:rFonts w:ascii="Poppins" w:hAnsi="Poppins" w:cs="Poppins"/>
          <w:b/>
          <w:sz w:val="18"/>
          <w:szCs w:val="18"/>
        </w:rPr>
        <w:t xml:space="preserve">los estrechos de </w:t>
      </w:r>
      <w:r w:rsidRPr="00DF4D86">
        <w:rPr>
          <w:rFonts w:ascii="Poppins" w:hAnsi="Poppins" w:cs="Poppins"/>
          <w:b/>
          <w:sz w:val="18"/>
          <w:szCs w:val="18"/>
        </w:rPr>
        <w:t>Ormuz y Bab el-</w:t>
      </w:r>
      <w:proofErr w:type="spellStart"/>
      <w:r w:rsidRPr="00DF4D86">
        <w:rPr>
          <w:rFonts w:ascii="Poppins" w:hAnsi="Poppins" w:cs="Poppins"/>
          <w:b/>
          <w:sz w:val="18"/>
          <w:szCs w:val="18"/>
        </w:rPr>
        <w:t>Mandeb</w:t>
      </w:r>
      <w:proofErr w:type="spellEnd"/>
      <w:r w:rsidRPr="00DF4D86">
        <w:rPr>
          <w:rFonts w:ascii="Poppins" w:hAnsi="Poppins" w:cs="Poppins"/>
          <w:b/>
          <w:sz w:val="18"/>
          <w:szCs w:val="18"/>
        </w:rPr>
        <w:t>, pese a nuevos avances diplomáticos</w:t>
      </w:r>
    </w:p>
    <w:p w14:paraId="41C88355" w14:textId="77777777" w:rsidR="00F858EB" w:rsidRPr="00C4158C" w:rsidRDefault="00F858EB" w:rsidP="00F858EB">
      <w:pPr>
        <w:pStyle w:val="Prrafodelista"/>
        <w:ind w:left="425"/>
        <w:jc w:val="both"/>
        <w:rPr>
          <w:rFonts w:ascii="Poppins" w:hAnsi="Poppins" w:cs="Poppins"/>
          <w:b/>
          <w:sz w:val="18"/>
          <w:szCs w:val="18"/>
        </w:rPr>
      </w:pPr>
    </w:p>
    <w:p w14:paraId="44633A3B" w14:textId="77777777" w:rsidR="00F858EB" w:rsidRPr="00EC751E" w:rsidRDefault="00F858EB" w:rsidP="00F858EB">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febrero, los contactos nucleares indirectos celebrados en Ginebra no lograron avances y quedaron rápidamente superados por la ofensiva conjunta de EE.UU. e Israel iniciada el 28 de febrero. A partir de entonces, Irán endureció su posición, respaldó el cierre del Estrecho de Ormuz y </w:t>
      </w:r>
      <w:r>
        <w:rPr>
          <w:rFonts w:ascii="Poppins" w:hAnsi="Poppins" w:cs="Poppins"/>
          <w:sz w:val="18"/>
          <w:szCs w:val="18"/>
        </w:rPr>
        <w:t xml:space="preserve">EE.UU. </w:t>
      </w:r>
      <w:r w:rsidRPr="00EC751E">
        <w:rPr>
          <w:rFonts w:ascii="Poppins" w:hAnsi="Poppins" w:cs="Poppins"/>
          <w:sz w:val="18"/>
          <w:szCs w:val="18"/>
        </w:rPr>
        <w:t>elevó progresivamente sus amenazas, trasladando el conflicto desde el terreno diplomático hacia una confrontación militar abierta.</w:t>
      </w:r>
    </w:p>
    <w:p w14:paraId="2DBDC7EB" w14:textId="77777777" w:rsidR="00F858EB" w:rsidRPr="00EC751E" w:rsidRDefault="00F858EB" w:rsidP="00F858EB">
      <w:pPr>
        <w:shd w:val="clear" w:color="auto" w:fill="FFFFFF"/>
        <w:ind w:left="425"/>
        <w:jc w:val="both"/>
        <w:rPr>
          <w:rFonts w:ascii="Poppins" w:hAnsi="Poppins" w:cs="Poppins"/>
          <w:sz w:val="18"/>
          <w:szCs w:val="18"/>
        </w:rPr>
      </w:pPr>
    </w:p>
    <w:p w14:paraId="64AB5E15" w14:textId="77777777" w:rsidR="00F858EB" w:rsidRDefault="00F858EB" w:rsidP="00F858EB">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marzo, la escalada se concentró en la isla de </w:t>
      </w:r>
      <w:proofErr w:type="spellStart"/>
      <w:r w:rsidRPr="00EC751E">
        <w:rPr>
          <w:rFonts w:ascii="Poppins" w:hAnsi="Poppins" w:cs="Poppins"/>
          <w:sz w:val="18"/>
          <w:szCs w:val="18"/>
        </w:rPr>
        <w:t>Kharg</w:t>
      </w:r>
      <w:proofErr w:type="spellEnd"/>
      <w:r w:rsidRPr="00EC751E">
        <w:rPr>
          <w:rFonts w:ascii="Poppins" w:hAnsi="Poppins" w:cs="Poppins"/>
          <w:sz w:val="18"/>
          <w:szCs w:val="18"/>
        </w:rPr>
        <w:t xml:space="preserve">, principal nodo exportador iraní, donde EE.UU. atacó más de 90 objetivos militares sin alcanzar directamente la infraestructura petrolera. </w:t>
      </w:r>
      <w:r>
        <w:rPr>
          <w:rFonts w:ascii="Poppins" w:hAnsi="Poppins" w:cs="Poppins"/>
          <w:sz w:val="18"/>
          <w:szCs w:val="18"/>
        </w:rPr>
        <w:t>Incluso la Casa Blanca</w:t>
      </w:r>
      <w:r w:rsidRPr="00EC751E">
        <w:rPr>
          <w:rFonts w:ascii="Poppins" w:hAnsi="Poppins" w:cs="Poppins"/>
          <w:sz w:val="18"/>
          <w:szCs w:val="18"/>
        </w:rPr>
        <w:t xml:space="preserve"> llegó a evaluar la ocupación o el bloqueo de la isla para forzar la reapertura de Ormuz, mientras Irán advirtió sobre mayores restricciones en el Golfo e incluso el eventual uso de minas. Aunque Trump anunció pausas temporales en los ataques contra instalaciones energéticas, no se produjeron avances diplomáticos verificables y el mercado comenzó a asumir que la guerra podía prolongarse.</w:t>
      </w:r>
    </w:p>
    <w:p w14:paraId="1D45320F" w14:textId="77777777" w:rsidR="00F858EB" w:rsidRDefault="00F858EB" w:rsidP="00F858EB">
      <w:pPr>
        <w:shd w:val="clear" w:color="auto" w:fill="FFFFFF"/>
        <w:ind w:left="425"/>
        <w:jc w:val="both"/>
        <w:rPr>
          <w:rFonts w:ascii="Poppins" w:hAnsi="Poppins" w:cs="Poppins"/>
          <w:sz w:val="18"/>
          <w:szCs w:val="18"/>
        </w:rPr>
      </w:pPr>
    </w:p>
    <w:p w14:paraId="029E288B" w14:textId="77777777" w:rsidR="00F858EB" w:rsidRPr="00EC751E" w:rsidRDefault="00F858EB" w:rsidP="00F858EB">
      <w:pPr>
        <w:shd w:val="clear" w:color="auto" w:fill="FFFFFF"/>
        <w:ind w:left="425"/>
        <w:jc w:val="both"/>
        <w:rPr>
          <w:rFonts w:ascii="Poppins" w:hAnsi="Poppins" w:cs="Poppins"/>
          <w:sz w:val="18"/>
          <w:szCs w:val="18"/>
        </w:rPr>
      </w:pPr>
      <w:r w:rsidRPr="00EC751E">
        <w:rPr>
          <w:rFonts w:ascii="Poppins" w:hAnsi="Poppins" w:cs="Poppins"/>
          <w:sz w:val="18"/>
          <w:szCs w:val="18"/>
        </w:rPr>
        <w:t xml:space="preserve">Durante abril, la crisis alternó entre treguas tácticas, negociaciones incompletas y una creciente presión marítima. La mediación de Pakistán permitió una suspensión temporal de los ataques y conversaciones de alto nivel en Islamabad, pero persistieron desacuerdos sobre el programa nuclear, el alivio de sanciones y la seguridad del Golfo. Irán reabrió provisionalmente Ormuz el 17 de abril, aunque mantuvo la amenaza de volver a cerrarlo; al finalizar el mes, el tránsito seguía restringido, numerosos tanqueros permanecían retenidos y aumentaba el riesgo de que la disrupción se extendiera hacia </w:t>
      </w:r>
      <w:r>
        <w:rPr>
          <w:rFonts w:ascii="Poppins" w:hAnsi="Poppins" w:cs="Poppins"/>
          <w:sz w:val="18"/>
          <w:szCs w:val="18"/>
        </w:rPr>
        <w:t xml:space="preserve">el estrecho de </w:t>
      </w:r>
      <w:r w:rsidRPr="00EC751E">
        <w:rPr>
          <w:rFonts w:ascii="Poppins" w:hAnsi="Poppins" w:cs="Poppins"/>
          <w:sz w:val="18"/>
          <w:szCs w:val="18"/>
        </w:rPr>
        <w:t>Bab el-</w:t>
      </w:r>
      <w:proofErr w:type="spellStart"/>
      <w:r w:rsidRPr="00EC751E">
        <w:rPr>
          <w:rFonts w:ascii="Poppins" w:hAnsi="Poppins" w:cs="Poppins"/>
          <w:sz w:val="18"/>
          <w:szCs w:val="18"/>
        </w:rPr>
        <w:t>Mandeb</w:t>
      </w:r>
      <w:proofErr w:type="spellEnd"/>
      <w:r w:rsidRPr="00EC751E">
        <w:rPr>
          <w:rFonts w:ascii="Poppins" w:hAnsi="Poppins" w:cs="Poppins"/>
          <w:sz w:val="18"/>
          <w:szCs w:val="18"/>
        </w:rPr>
        <w:t>.</w:t>
      </w:r>
    </w:p>
    <w:p w14:paraId="08860DBA" w14:textId="77777777" w:rsidR="00F858EB" w:rsidRPr="00EC751E" w:rsidRDefault="00F858EB" w:rsidP="00F858EB">
      <w:pPr>
        <w:shd w:val="clear" w:color="auto" w:fill="FFFFFF"/>
        <w:ind w:left="425"/>
        <w:jc w:val="both"/>
        <w:rPr>
          <w:rFonts w:ascii="Poppins" w:hAnsi="Poppins" w:cs="Poppins"/>
          <w:sz w:val="18"/>
          <w:szCs w:val="18"/>
        </w:rPr>
      </w:pPr>
    </w:p>
    <w:p w14:paraId="19C95903" w14:textId="77777777" w:rsidR="00F858EB" w:rsidRDefault="00F858EB" w:rsidP="00F858EB">
      <w:pPr>
        <w:shd w:val="clear" w:color="auto" w:fill="FFFFFF"/>
        <w:ind w:left="425"/>
        <w:jc w:val="both"/>
        <w:rPr>
          <w:rFonts w:ascii="Poppins" w:hAnsi="Poppins" w:cs="Poppins"/>
          <w:sz w:val="18"/>
          <w:szCs w:val="18"/>
        </w:rPr>
      </w:pPr>
      <w:r w:rsidRPr="00EC751E">
        <w:rPr>
          <w:rFonts w:ascii="Poppins" w:hAnsi="Poppins" w:cs="Poppins"/>
          <w:sz w:val="18"/>
          <w:szCs w:val="18"/>
        </w:rPr>
        <w:t>En mayo, EE.UU. combinó nuevas sanciones e interceptaciones marítimas con negociaciones indirectas mediadas por Omán y Pakistán. Las señales de entendimiento permitieron la salida selectiva de tanqueros y redujeron temporalmente los precios, pero las diferencias sobre el uranio enriquecido, los peajes y la reapertura de Ormuz impidieron un acuerdo definitivo. A fines de mes surgió un memorando preliminar para extender el alto el fuego por 60 días y mantener abierto el estrecho durante las conversaciones, aunque continuaron las restricciones, las acusaciones de violación de la tregua y las dudas sobre su aplicación efectiva.</w:t>
      </w:r>
    </w:p>
    <w:p w14:paraId="5C689AA6" w14:textId="77777777" w:rsidR="00F858EB" w:rsidRDefault="00F858EB" w:rsidP="00F858EB">
      <w:pPr>
        <w:shd w:val="clear" w:color="auto" w:fill="FFFFFF"/>
        <w:ind w:left="425"/>
        <w:jc w:val="both"/>
        <w:rPr>
          <w:rFonts w:ascii="Poppins" w:hAnsi="Poppins" w:cs="Poppins"/>
          <w:sz w:val="18"/>
          <w:szCs w:val="18"/>
        </w:rPr>
      </w:pPr>
    </w:p>
    <w:p w14:paraId="3401C9B4" w14:textId="77777777" w:rsidR="00F858EB" w:rsidRPr="006660F7" w:rsidRDefault="00F858EB" w:rsidP="00F858EB">
      <w:pPr>
        <w:shd w:val="clear" w:color="auto" w:fill="FFFFFF"/>
        <w:ind w:left="425"/>
        <w:jc w:val="both"/>
        <w:rPr>
          <w:rFonts w:ascii="Poppins" w:hAnsi="Poppins" w:cs="Poppins"/>
          <w:sz w:val="18"/>
          <w:szCs w:val="18"/>
        </w:rPr>
      </w:pPr>
      <w:r w:rsidRPr="00693094">
        <w:rPr>
          <w:rFonts w:ascii="Poppins" w:hAnsi="Poppins" w:cs="Poppins"/>
          <w:sz w:val="18"/>
          <w:szCs w:val="18"/>
        </w:rPr>
        <w:t>Durante junio, la negociación entre EE.UU. e Irán transitó desde avances frágiles y episodios militares hacia un memorando interino formalizado el 17 de junio. El acuerdo estableció una tregua de 60 días, la reapertura gradual de Ormuz, el levantamiento progresivo del bloqueo naval y una autorización temporal para las ventas de crudo iraní. La mejora permitió elevar los cruces</w:t>
      </w:r>
      <w:r>
        <w:rPr>
          <w:rFonts w:ascii="Poppins" w:hAnsi="Poppins" w:cs="Poppins"/>
          <w:sz w:val="18"/>
          <w:szCs w:val="18"/>
        </w:rPr>
        <w:t xml:space="preserve"> en el Estrecho,</w:t>
      </w:r>
      <w:r w:rsidRPr="00693094">
        <w:rPr>
          <w:rFonts w:ascii="Poppins" w:hAnsi="Poppins" w:cs="Poppins"/>
          <w:sz w:val="18"/>
          <w:szCs w:val="18"/>
        </w:rPr>
        <w:t xml:space="preserve"> desde unos 10 hasta 45 buques diarios y recuperar exportaciones regionales cercanas a 10 millones de bpd, reduciendo significativamente la prima geopolítica y provocando nuevas caídas del Brent y el WTI. Sin embargo, el tránsito permaneció alrededor de 64% por debajo de la normalidad y persistieron riesgos relacionados con seguridad </w:t>
      </w:r>
      <w:r w:rsidRPr="006660F7">
        <w:rPr>
          <w:rFonts w:ascii="Poppins" w:hAnsi="Poppins" w:cs="Poppins"/>
          <w:sz w:val="18"/>
          <w:szCs w:val="18"/>
        </w:rPr>
        <w:t>marítima, seguros, desminado, sanciones y verificación nuclear.</w:t>
      </w:r>
    </w:p>
    <w:p w14:paraId="43A3D60F" w14:textId="77777777" w:rsidR="00F858EB" w:rsidRPr="006660F7" w:rsidRDefault="00F858EB" w:rsidP="00F858EB">
      <w:pPr>
        <w:shd w:val="clear" w:color="auto" w:fill="FFFFFF"/>
        <w:ind w:left="425"/>
        <w:jc w:val="both"/>
        <w:rPr>
          <w:rFonts w:ascii="Poppins" w:hAnsi="Poppins" w:cs="Poppins"/>
          <w:sz w:val="18"/>
          <w:szCs w:val="18"/>
        </w:rPr>
      </w:pPr>
    </w:p>
    <w:p w14:paraId="7F57C4DA" w14:textId="77777777" w:rsidR="00F858EB" w:rsidRPr="006660F7" w:rsidRDefault="00F858EB" w:rsidP="00F858EB">
      <w:pPr>
        <w:shd w:val="clear" w:color="auto" w:fill="FFFFFF"/>
        <w:ind w:left="425"/>
        <w:jc w:val="both"/>
        <w:rPr>
          <w:rFonts w:ascii="Poppins" w:hAnsi="Poppins" w:cs="Poppins"/>
          <w:sz w:val="18"/>
          <w:szCs w:val="18"/>
        </w:rPr>
      </w:pPr>
      <w:r w:rsidRPr="006660F7">
        <w:rPr>
          <w:rFonts w:ascii="Poppins" w:hAnsi="Poppins" w:cs="Poppins"/>
          <w:sz w:val="18"/>
          <w:szCs w:val="18"/>
        </w:rPr>
        <w:t xml:space="preserve">Durante julio, el memorando interino perdió progresivamente efectividad hasta colapsar y dar paso a una nueva escalada militar y marítima. A inicios del mes, el tránsito por Ormuz </w:t>
      </w:r>
      <w:r w:rsidRPr="006660F7">
        <w:rPr>
          <w:rFonts w:ascii="Poppins" w:hAnsi="Poppins" w:cs="Poppins"/>
          <w:sz w:val="18"/>
          <w:szCs w:val="18"/>
        </w:rPr>
        <w:lastRenderedPageBreak/>
        <w:t>descendió desde los máximos de junio hacia 20–25 buques diarios; posteriormente, ataques contra embarcaciones llevaron a EE.UU. a revocar el 7 de julio la autorización temporal para comercializar crudo iraní y reanudar sus operaciones militares. A mediados de mes, Washington restableció el bloqueo naval y Teherán respondió contra bases, instalaciones energéticas y buques, reduciendo los cruces por Ormuz a apenas tres o cuatro embarcaciones en algunos días y paralizando prácticamente el tránsito de metaneros. Desde el 20 de julio, la crisis se extendió hacia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donde los </w:t>
      </w:r>
      <w:proofErr w:type="spellStart"/>
      <w:r w:rsidRPr="006660F7">
        <w:rPr>
          <w:rFonts w:ascii="Poppins" w:hAnsi="Poppins" w:cs="Poppins"/>
          <w:sz w:val="18"/>
          <w:szCs w:val="18"/>
        </w:rPr>
        <w:t>hutíes</w:t>
      </w:r>
      <w:proofErr w:type="spellEnd"/>
      <w:r w:rsidRPr="006660F7">
        <w:rPr>
          <w:rFonts w:ascii="Poppins" w:hAnsi="Poppins" w:cs="Poppins"/>
          <w:sz w:val="18"/>
          <w:szCs w:val="18"/>
        </w:rPr>
        <w:t xml:space="preserve"> anunciaron un bloqueo contra Arabia Saudita y atacaron petroleros, mientras EE.UU. acumuló trece noches consecutivas de operaciones contra Irán. Una pausa táctica iniciada el 24 de julio permitió dos días sin ataques directos, pero no derivó en un alto el fuego: el 29 se reanudaron las hostilidades y, aunque Omán retomó su mediación, Irán rechazó una gestión regional conjunta de Ormuz. Al cierre del mes, el tránsito continuaba mínimo: seis buques de materias primas cruzaron el 28 de julio y solo dos VLCC salieron el día 31, mientras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mostraba una recuperación parcial, pero bajo persistente amenaza </w:t>
      </w:r>
      <w:proofErr w:type="spellStart"/>
      <w:r w:rsidRPr="006660F7">
        <w:rPr>
          <w:rFonts w:ascii="Poppins" w:hAnsi="Poppins" w:cs="Poppins"/>
          <w:sz w:val="18"/>
          <w:szCs w:val="18"/>
        </w:rPr>
        <w:t>hutí</w:t>
      </w:r>
      <w:proofErr w:type="spellEnd"/>
      <w:r w:rsidRPr="006660F7">
        <w:rPr>
          <w:rFonts w:ascii="Poppins" w:hAnsi="Poppins" w:cs="Poppins"/>
          <w:sz w:val="18"/>
          <w:szCs w:val="18"/>
        </w:rPr>
        <w:t>.</w:t>
      </w:r>
    </w:p>
    <w:p w14:paraId="6527E35E" w14:textId="77777777" w:rsidR="00F858EB" w:rsidRPr="006660F7" w:rsidRDefault="00F858EB" w:rsidP="00F858EB">
      <w:pPr>
        <w:shd w:val="clear" w:color="auto" w:fill="FFFFFF"/>
        <w:ind w:left="425"/>
        <w:jc w:val="both"/>
        <w:rPr>
          <w:rFonts w:ascii="Poppins" w:hAnsi="Poppins" w:cs="Poppins"/>
          <w:sz w:val="18"/>
          <w:szCs w:val="18"/>
        </w:rPr>
      </w:pPr>
    </w:p>
    <w:p w14:paraId="464A76DF" w14:textId="77777777" w:rsidR="00F858EB" w:rsidRDefault="00F858EB" w:rsidP="00F858EB">
      <w:pPr>
        <w:shd w:val="clear" w:color="auto" w:fill="FFFFFF"/>
        <w:ind w:left="425"/>
        <w:jc w:val="both"/>
        <w:rPr>
          <w:rFonts w:ascii="Poppins" w:hAnsi="Poppins" w:cs="Poppins"/>
          <w:sz w:val="18"/>
          <w:szCs w:val="18"/>
        </w:rPr>
      </w:pPr>
      <w:r w:rsidRPr="006660F7">
        <w:rPr>
          <w:rFonts w:ascii="Poppins" w:hAnsi="Poppins" w:cs="Poppins"/>
          <w:sz w:val="18"/>
          <w:szCs w:val="18"/>
        </w:rPr>
        <w:t>Entre el 1 y el 9 de agosto, la escalada de fines de julio dio paso a una nueva fase de desescalada diplomática, aunque sin una recuperación equivalente de los flujos energéticos. El 1 de agosto, EE.UU. suspendió una nueva ofensiva para dar espacio a la mediación regional; posteriormente, Omán y Catar intensificaron los contactos y, desde el 3 de agosto, EE.UU. informó avances hacia un acuerdo, aunque Irán negó negociaciones directas. Paralelamente, Irán y Omán avanzaron en un corredor marítimo, pero Irán mantuvo sus exigencias sobre sanciones, compensaciones y activos congelados. En el frente marítimo, entre el 3 y 6 de agosto solo 33 buques cruzaron el estrecho de Ormuz, frente a 50 la semana previa, mientras el estrecho de Bab el-</w:t>
      </w:r>
      <w:proofErr w:type="spellStart"/>
      <w:r w:rsidRPr="006660F7">
        <w:rPr>
          <w:rFonts w:ascii="Poppins" w:hAnsi="Poppins" w:cs="Poppins"/>
          <w:sz w:val="18"/>
          <w:szCs w:val="18"/>
        </w:rPr>
        <w:t>Mandeb</w:t>
      </w:r>
      <w:proofErr w:type="spellEnd"/>
      <w:r w:rsidRPr="006660F7">
        <w:rPr>
          <w:rFonts w:ascii="Poppins" w:hAnsi="Poppins" w:cs="Poppins"/>
          <w:sz w:val="18"/>
          <w:szCs w:val="18"/>
        </w:rPr>
        <w:t xml:space="preserve"> cayó a un solo tránsito el 5 de agosto antes de recuperarse a 26–28 al día siguiente. El 8 de agosto, Emiratos Árabes Unidos (EAU) denunció un nuevo ataque iraní contra un buque vinculado a ADNOC (Empresa petrolera estatal de EAU) y, el día 9, el gobierno iraní señaló que el acuerdo con Omán estaba en </w:t>
      </w:r>
      <w:r w:rsidRPr="006660F7">
        <w:rPr>
          <w:rFonts w:ascii="Poppins" w:hAnsi="Poppins" w:cs="Poppins"/>
          <w:i/>
          <w:iCs/>
          <w:sz w:val="18"/>
          <w:szCs w:val="18"/>
        </w:rPr>
        <w:t>“etapas finales”</w:t>
      </w:r>
      <w:r w:rsidRPr="006660F7">
        <w:rPr>
          <w:rFonts w:ascii="Poppins" w:hAnsi="Poppins" w:cs="Poppins"/>
          <w:sz w:val="18"/>
          <w:szCs w:val="18"/>
        </w:rPr>
        <w:t>, aunque sin garantizar todavía la reapertura efectiva del estrecho.</w:t>
      </w:r>
    </w:p>
    <w:p w14:paraId="31BF2E2B" w14:textId="77777777" w:rsidR="00F858EB" w:rsidRDefault="00F858EB" w:rsidP="00F858EB">
      <w:pPr>
        <w:shd w:val="clear" w:color="auto" w:fill="FFFFFF"/>
        <w:ind w:left="425"/>
        <w:jc w:val="both"/>
        <w:rPr>
          <w:rFonts w:ascii="Poppins" w:hAnsi="Poppins" w:cs="Poppins"/>
          <w:sz w:val="18"/>
          <w:szCs w:val="18"/>
        </w:rPr>
      </w:pPr>
    </w:p>
    <w:p w14:paraId="0E5AE358" w14:textId="77777777" w:rsidR="00F858EB" w:rsidRDefault="00F858EB" w:rsidP="00F858EB">
      <w:pPr>
        <w:shd w:val="clear" w:color="auto" w:fill="FFFFFF"/>
        <w:ind w:left="425"/>
        <w:jc w:val="both"/>
        <w:rPr>
          <w:rFonts w:ascii="Poppins" w:hAnsi="Poppins" w:cs="Poppins"/>
          <w:sz w:val="18"/>
          <w:szCs w:val="18"/>
        </w:rPr>
      </w:pPr>
      <w:r w:rsidRPr="00DF4D86">
        <w:rPr>
          <w:rFonts w:ascii="Poppins" w:hAnsi="Poppins" w:cs="Poppins"/>
          <w:sz w:val="18"/>
          <w:szCs w:val="18"/>
        </w:rPr>
        <w:t xml:space="preserve">En consecuencia, la semana mantuvo una señal bajista en precios por las expectativas de negociación, pero sin una reducción equivalente del riesgo físico de suministro. Los avances de </w:t>
      </w:r>
      <w:r>
        <w:rPr>
          <w:rFonts w:ascii="Poppins" w:hAnsi="Poppins" w:cs="Poppins"/>
          <w:sz w:val="18"/>
          <w:szCs w:val="18"/>
        </w:rPr>
        <w:t>C</w:t>
      </w:r>
      <w:r w:rsidRPr="00DF4D86">
        <w:rPr>
          <w:rFonts w:ascii="Poppins" w:hAnsi="Poppins" w:cs="Poppins"/>
          <w:sz w:val="18"/>
          <w:szCs w:val="18"/>
        </w:rPr>
        <w:t xml:space="preserve">atar y Omán redujeron inicialmente </w:t>
      </w:r>
      <w:r>
        <w:rPr>
          <w:rFonts w:ascii="Poppins" w:hAnsi="Poppins" w:cs="Poppins"/>
          <w:sz w:val="18"/>
          <w:szCs w:val="18"/>
        </w:rPr>
        <w:t>el riesgo</w:t>
      </w:r>
      <w:r w:rsidRPr="00DF4D86">
        <w:rPr>
          <w:rFonts w:ascii="Poppins" w:hAnsi="Poppins" w:cs="Poppins"/>
          <w:sz w:val="18"/>
          <w:szCs w:val="18"/>
        </w:rPr>
        <w:t xml:space="preserve"> geopolític</w:t>
      </w:r>
      <w:r>
        <w:rPr>
          <w:rFonts w:ascii="Poppins" w:hAnsi="Poppins" w:cs="Poppins"/>
          <w:sz w:val="18"/>
          <w:szCs w:val="18"/>
        </w:rPr>
        <w:t>o</w:t>
      </w:r>
      <w:r w:rsidRPr="00DF4D86">
        <w:rPr>
          <w:rFonts w:ascii="Poppins" w:hAnsi="Poppins" w:cs="Poppins"/>
          <w:sz w:val="18"/>
          <w:szCs w:val="18"/>
        </w:rPr>
        <w:t xml:space="preserve"> y llevaron al </w:t>
      </w:r>
      <w:r>
        <w:rPr>
          <w:rFonts w:ascii="Poppins" w:hAnsi="Poppins" w:cs="Poppins"/>
          <w:sz w:val="18"/>
          <w:szCs w:val="18"/>
        </w:rPr>
        <w:t xml:space="preserve">precio del crudo </w:t>
      </w:r>
      <w:r w:rsidRPr="00DF4D86">
        <w:rPr>
          <w:rFonts w:ascii="Poppins" w:hAnsi="Poppins" w:cs="Poppins"/>
          <w:sz w:val="18"/>
          <w:szCs w:val="18"/>
        </w:rPr>
        <w:t>Brent a caer 5,3% el 4 de agosto, hasta US$</w:t>
      </w:r>
      <w:r>
        <w:rPr>
          <w:rFonts w:ascii="Poppins" w:hAnsi="Poppins" w:cs="Poppins"/>
          <w:sz w:val="18"/>
          <w:szCs w:val="18"/>
        </w:rPr>
        <w:t xml:space="preserve"> </w:t>
      </w:r>
      <w:r w:rsidRPr="00DF4D86">
        <w:rPr>
          <w:rFonts w:ascii="Poppins" w:hAnsi="Poppins" w:cs="Poppins"/>
          <w:sz w:val="18"/>
          <w:szCs w:val="18"/>
        </w:rPr>
        <w:t xml:space="preserve">79,36/barril. Sin embargo, el bajo tránsito por Ormuz, la persistencia de ataques a buques, las condiciones impuestas por </w:t>
      </w:r>
      <w:r>
        <w:rPr>
          <w:rFonts w:ascii="Poppins" w:hAnsi="Poppins" w:cs="Poppins"/>
          <w:sz w:val="18"/>
          <w:szCs w:val="18"/>
        </w:rPr>
        <w:t>Irán</w:t>
      </w:r>
      <w:r w:rsidRPr="00DF4D86">
        <w:rPr>
          <w:rFonts w:ascii="Poppins" w:hAnsi="Poppins" w:cs="Poppins"/>
          <w:sz w:val="18"/>
          <w:szCs w:val="18"/>
        </w:rPr>
        <w:t xml:space="preserve"> y la amenaza </w:t>
      </w:r>
      <w:proofErr w:type="spellStart"/>
      <w:r w:rsidRPr="00DF4D86">
        <w:rPr>
          <w:rFonts w:ascii="Poppins" w:hAnsi="Poppins" w:cs="Poppins"/>
          <w:sz w:val="18"/>
          <w:szCs w:val="18"/>
        </w:rPr>
        <w:t>hutí</w:t>
      </w:r>
      <w:proofErr w:type="spellEnd"/>
      <w:r w:rsidRPr="00DF4D86">
        <w:rPr>
          <w:rFonts w:ascii="Poppins" w:hAnsi="Poppins" w:cs="Poppins"/>
          <w:sz w:val="18"/>
          <w:szCs w:val="18"/>
        </w:rPr>
        <w:t xml:space="preserve"> sobre Bab el-</w:t>
      </w:r>
      <w:proofErr w:type="spellStart"/>
      <w:r w:rsidRPr="00DF4D86">
        <w:rPr>
          <w:rFonts w:ascii="Poppins" w:hAnsi="Poppins" w:cs="Poppins"/>
          <w:sz w:val="18"/>
          <w:szCs w:val="18"/>
        </w:rPr>
        <w:t>Mandeb</w:t>
      </w:r>
      <w:proofErr w:type="spellEnd"/>
      <w:r w:rsidRPr="00DF4D86">
        <w:rPr>
          <w:rFonts w:ascii="Poppins" w:hAnsi="Poppins" w:cs="Poppins"/>
          <w:sz w:val="18"/>
          <w:szCs w:val="18"/>
        </w:rPr>
        <w:t xml:space="preserve"> e infraestructura saudí impidieron consolidar la desescalada. Así, al cierre del 9 de agosto, la negociación avanzaba más rápido que la recuperación efectiva de los flujos energéticos, manteniendo elevada la volatilidad y el riesgo de nuevas interrupciones.</w:t>
      </w:r>
    </w:p>
    <w:p w14:paraId="4FD05187" w14:textId="77777777" w:rsidR="00F858EB" w:rsidRDefault="00F858EB" w:rsidP="00F858EB">
      <w:pPr>
        <w:shd w:val="clear" w:color="auto" w:fill="FFFFFF"/>
        <w:ind w:left="425"/>
        <w:jc w:val="both"/>
        <w:rPr>
          <w:rFonts w:ascii="Poppins" w:hAnsi="Poppins" w:cs="Poppins"/>
          <w:sz w:val="18"/>
          <w:szCs w:val="18"/>
        </w:rPr>
      </w:pPr>
    </w:p>
    <w:p w14:paraId="05D4887B" w14:textId="77777777" w:rsidR="00F858EB" w:rsidRPr="004511A2" w:rsidRDefault="00F858EB" w:rsidP="00F858EB">
      <w:pPr>
        <w:pStyle w:val="Prrafodelista"/>
        <w:numPr>
          <w:ilvl w:val="0"/>
          <w:numId w:val="30"/>
        </w:numPr>
        <w:ind w:left="425"/>
        <w:contextualSpacing/>
        <w:jc w:val="both"/>
        <w:rPr>
          <w:rFonts w:ascii="Poppins" w:hAnsi="Poppins" w:cs="Poppins"/>
          <w:b/>
          <w:sz w:val="18"/>
          <w:szCs w:val="18"/>
        </w:rPr>
      </w:pPr>
      <w:r w:rsidRPr="00A528B8">
        <w:rPr>
          <w:rFonts w:ascii="Poppins" w:hAnsi="Poppins" w:cs="Poppins"/>
          <w:b/>
          <w:sz w:val="18"/>
          <w:szCs w:val="18"/>
        </w:rPr>
        <w:t>La tregua Israel–</w:t>
      </w:r>
      <w:proofErr w:type="spellStart"/>
      <w:r w:rsidRPr="00A528B8">
        <w:rPr>
          <w:rFonts w:ascii="Poppins" w:hAnsi="Poppins" w:cs="Poppins"/>
          <w:b/>
          <w:sz w:val="18"/>
          <w:szCs w:val="18"/>
        </w:rPr>
        <w:t>Hezbolá</w:t>
      </w:r>
      <w:proofErr w:type="spellEnd"/>
      <w:r w:rsidRPr="00A528B8">
        <w:rPr>
          <w:rFonts w:ascii="Poppins" w:hAnsi="Poppins" w:cs="Poppins"/>
          <w:b/>
          <w:sz w:val="18"/>
          <w:szCs w:val="18"/>
        </w:rPr>
        <w:t xml:space="preserve"> sigue frágil entre nuevos ataques y avances en la negociación sobre el desarme</w:t>
      </w:r>
    </w:p>
    <w:p w14:paraId="45848165" w14:textId="77777777" w:rsidR="00F858EB" w:rsidRPr="004511A2" w:rsidRDefault="00F858EB" w:rsidP="00F858EB">
      <w:pPr>
        <w:shd w:val="clear" w:color="auto" w:fill="FFFFFF"/>
        <w:ind w:left="425"/>
        <w:jc w:val="both"/>
        <w:rPr>
          <w:rFonts w:ascii="Poppins" w:hAnsi="Poppins" w:cs="Poppins"/>
          <w:sz w:val="18"/>
          <w:szCs w:val="18"/>
        </w:rPr>
      </w:pPr>
    </w:p>
    <w:p w14:paraId="0764C7B4" w14:textId="77777777" w:rsidR="00F858EB" w:rsidRPr="009312B6" w:rsidRDefault="00F858EB" w:rsidP="00F858EB">
      <w:pPr>
        <w:shd w:val="clear" w:color="auto" w:fill="FFFFFF"/>
        <w:ind w:left="425"/>
        <w:jc w:val="both"/>
        <w:rPr>
          <w:rFonts w:ascii="Poppins" w:hAnsi="Poppins" w:cs="Poppins"/>
          <w:sz w:val="18"/>
          <w:szCs w:val="18"/>
        </w:rPr>
      </w:pPr>
      <w:r w:rsidRPr="009312B6">
        <w:rPr>
          <w:rFonts w:ascii="Poppins" w:hAnsi="Poppins" w:cs="Poppins"/>
          <w:sz w:val="18"/>
          <w:szCs w:val="18"/>
        </w:rPr>
        <w:t xml:space="preserve">La implementación del acuerdo del 26 de junio continuó avanzando lentamente mediante las denominadas zonas piloto, destinadas a combinar el despliegue del Ejército libanés, el retiro progresivo de Israel y la eliminación verificable de armamento de </w:t>
      </w:r>
      <w:proofErr w:type="spellStart"/>
      <w:r w:rsidRPr="009312B6">
        <w:rPr>
          <w:rFonts w:ascii="Poppins" w:hAnsi="Poppins" w:cs="Poppins"/>
          <w:sz w:val="18"/>
          <w:szCs w:val="18"/>
        </w:rPr>
        <w:t>Hezbolá</w:t>
      </w:r>
      <w:proofErr w:type="spellEnd"/>
      <w:r w:rsidRPr="009312B6">
        <w:rPr>
          <w:rFonts w:ascii="Poppins" w:hAnsi="Poppins" w:cs="Poppins"/>
          <w:sz w:val="18"/>
          <w:szCs w:val="18"/>
        </w:rPr>
        <w:t xml:space="preserve">. Sin embargo, las fuerzas israelíes permanecieron en una franja de seguridad de aproximadamente 10 kilómetros en el sur del Líbano, mientras </w:t>
      </w:r>
      <w:proofErr w:type="spellStart"/>
      <w:r w:rsidRPr="009312B6">
        <w:rPr>
          <w:rFonts w:ascii="Poppins" w:hAnsi="Poppins" w:cs="Poppins"/>
          <w:sz w:val="18"/>
          <w:szCs w:val="18"/>
        </w:rPr>
        <w:t>Hezbolá</w:t>
      </w:r>
      <w:proofErr w:type="spellEnd"/>
      <w:r w:rsidRPr="009312B6">
        <w:rPr>
          <w:rFonts w:ascii="Poppins" w:hAnsi="Poppins" w:cs="Poppins"/>
          <w:sz w:val="18"/>
          <w:szCs w:val="18"/>
        </w:rPr>
        <w:t xml:space="preserve"> mantuvo su rechazo a entregar las armas antes de una retirada israelí.</w:t>
      </w:r>
    </w:p>
    <w:p w14:paraId="404DE6DC" w14:textId="77777777" w:rsidR="00F858EB" w:rsidRPr="009312B6" w:rsidRDefault="00F858EB" w:rsidP="00F858EB">
      <w:pPr>
        <w:shd w:val="clear" w:color="auto" w:fill="FFFFFF"/>
        <w:ind w:left="425"/>
        <w:jc w:val="both"/>
        <w:rPr>
          <w:rFonts w:ascii="Poppins" w:hAnsi="Poppins" w:cs="Poppins"/>
          <w:sz w:val="18"/>
          <w:szCs w:val="18"/>
        </w:rPr>
      </w:pPr>
    </w:p>
    <w:p w14:paraId="079E4EAE" w14:textId="77777777" w:rsidR="00F858EB" w:rsidRPr="009312B6" w:rsidRDefault="00F858EB" w:rsidP="00F858EB">
      <w:pPr>
        <w:shd w:val="clear" w:color="auto" w:fill="FFFFFF"/>
        <w:ind w:left="425"/>
        <w:jc w:val="both"/>
        <w:rPr>
          <w:rFonts w:ascii="Poppins" w:hAnsi="Poppins" w:cs="Poppins"/>
          <w:sz w:val="18"/>
          <w:szCs w:val="18"/>
        </w:rPr>
      </w:pPr>
      <w:r w:rsidRPr="009312B6">
        <w:rPr>
          <w:rFonts w:ascii="Poppins" w:hAnsi="Poppins" w:cs="Poppins"/>
          <w:sz w:val="18"/>
          <w:szCs w:val="18"/>
        </w:rPr>
        <w:t xml:space="preserve">Entre el 4 y 6 de agosto, Israel y Líbano celebraron una nueva ronda de conversaciones auspiciadas por EE.UU. en Roma, centradas en definir mecanismos de verificación internacional y nuevos retiros israelíes. Las negociaciones coincidieron con un repunte de la violencia: el 6 de agosto, dos soldados israelíes murieron y otros cuatro resultaron heridos por una explosión durante una operación en el sur del Líbano. Israel respondió con ataques que, según autoridades libanesas, dejaron un muerto y 12 heridos en </w:t>
      </w:r>
      <w:proofErr w:type="spellStart"/>
      <w:r w:rsidRPr="009312B6">
        <w:rPr>
          <w:rFonts w:ascii="Poppins" w:hAnsi="Poppins" w:cs="Poppins"/>
          <w:sz w:val="18"/>
          <w:szCs w:val="18"/>
        </w:rPr>
        <w:t>Tibnin</w:t>
      </w:r>
      <w:proofErr w:type="spellEnd"/>
      <w:r w:rsidRPr="009312B6">
        <w:rPr>
          <w:rFonts w:ascii="Poppins" w:hAnsi="Poppins" w:cs="Poppins"/>
          <w:sz w:val="18"/>
          <w:szCs w:val="18"/>
        </w:rPr>
        <w:t>.</w:t>
      </w:r>
    </w:p>
    <w:p w14:paraId="5F3D2AFF" w14:textId="77777777" w:rsidR="00F858EB" w:rsidRPr="009312B6" w:rsidRDefault="00F858EB" w:rsidP="00F858EB">
      <w:pPr>
        <w:shd w:val="clear" w:color="auto" w:fill="FFFFFF"/>
        <w:ind w:left="425"/>
        <w:jc w:val="both"/>
        <w:rPr>
          <w:rFonts w:ascii="Poppins" w:hAnsi="Poppins" w:cs="Poppins"/>
          <w:sz w:val="18"/>
          <w:szCs w:val="18"/>
        </w:rPr>
      </w:pPr>
    </w:p>
    <w:p w14:paraId="48A764E8" w14:textId="77777777" w:rsidR="00F858EB" w:rsidRDefault="00F858EB" w:rsidP="00F858EB">
      <w:pPr>
        <w:shd w:val="clear" w:color="auto" w:fill="FFFFFF"/>
        <w:ind w:left="425"/>
        <w:jc w:val="both"/>
        <w:rPr>
          <w:rFonts w:ascii="Poppins" w:hAnsi="Poppins" w:cs="Poppins"/>
          <w:sz w:val="18"/>
          <w:szCs w:val="18"/>
        </w:rPr>
      </w:pPr>
      <w:r w:rsidRPr="009312B6">
        <w:rPr>
          <w:rFonts w:ascii="Poppins" w:hAnsi="Poppins" w:cs="Poppins"/>
          <w:sz w:val="18"/>
          <w:szCs w:val="18"/>
        </w:rPr>
        <w:t xml:space="preserve">Al cierre </w:t>
      </w:r>
      <w:r>
        <w:rPr>
          <w:rFonts w:ascii="Poppins" w:hAnsi="Poppins" w:cs="Poppins"/>
          <w:sz w:val="18"/>
          <w:szCs w:val="18"/>
        </w:rPr>
        <w:t>de la semana</w:t>
      </w:r>
      <w:r w:rsidRPr="009312B6">
        <w:rPr>
          <w:rFonts w:ascii="Poppins" w:hAnsi="Poppins" w:cs="Poppins"/>
          <w:sz w:val="18"/>
          <w:szCs w:val="18"/>
        </w:rPr>
        <w:t xml:space="preserve">, las conversaciones habían avanzado hacia la participación de terceros países en una futura verificación del desarme, pero sin acuerdo sobre la siguiente zona de retirada israelí; Líbano propuso áreas como Bint Jbeil y Khiam y una nueva ronda quedó prevista para septiembre. </w:t>
      </w:r>
      <w:proofErr w:type="spellStart"/>
      <w:r w:rsidRPr="009312B6">
        <w:rPr>
          <w:rFonts w:ascii="Poppins" w:hAnsi="Poppins" w:cs="Poppins"/>
          <w:sz w:val="18"/>
          <w:szCs w:val="18"/>
        </w:rPr>
        <w:t>Hezbolá</w:t>
      </w:r>
      <w:proofErr w:type="spellEnd"/>
      <w:r w:rsidRPr="009312B6">
        <w:rPr>
          <w:rFonts w:ascii="Poppins" w:hAnsi="Poppins" w:cs="Poppins"/>
          <w:sz w:val="18"/>
          <w:szCs w:val="18"/>
        </w:rPr>
        <w:t xml:space="preserve"> permaneció fuera de las negociaciones y rechazó el desarme. En consecuencia, el diálogo redujo el riesgo inmediato de una nueva guerra abierta, pero la permanencia israelí, los episodios militares y el desacuerdo sobre la secuencia desarme–retiro mant</w:t>
      </w:r>
      <w:r>
        <w:rPr>
          <w:rFonts w:ascii="Poppins" w:hAnsi="Poppins" w:cs="Poppins"/>
          <w:sz w:val="18"/>
          <w:szCs w:val="18"/>
        </w:rPr>
        <w:t>ienen</w:t>
      </w:r>
      <w:r w:rsidRPr="009312B6">
        <w:rPr>
          <w:rFonts w:ascii="Poppins" w:hAnsi="Poppins" w:cs="Poppins"/>
          <w:sz w:val="18"/>
          <w:szCs w:val="18"/>
        </w:rPr>
        <w:t xml:space="preserve"> frágil la tregua.</w:t>
      </w:r>
    </w:p>
    <w:p w14:paraId="58D7042D" w14:textId="77777777" w:rsidR="00F858EB" w:rsidRDefault="00F858EB" w:rsidP="00F858EB">
      <w:pPr>
        <w:shd w:val="clear" w:color="auto" w:fill="FFFFFF"/>
        <w:ind w:left="425"/>
        <w:jc w:val="both"/>
        <w:rPr>
          <w:rFonts w:ascii="Poppins" w:hAnsi="Poppins" w:cs="Poppins"/>
          <w:sz w:val="18"/>
          <w:szCs w:val="18"/>
        </w:rPr>
      </w:pPr>
    </w:p>
    <w:p w14:paraId="4BC821C4" w14:textId="77777777" w:rsidR="00F858EB" w:rsidRPr="00E36B6B" w:rsidRDefault="00F858EB" w:rsidP="00F858EB">
      <w:pPr>
        <w:pStyle w:val="Prrafodelista"/>
        <w:numPr>
          <w:ilvl w:val="0"/>
          <w:numId w:val="30"/>
        </w:numPr>
        <w:ind w:left="425"/>
        <w:contextualSpacing/>
        <w:jc w:val="both"/>
        <w:rPr>
          <w:rFonts w:ascii="Poppins" w:hAnsi="Poppins" w:cs="Poppins"/>
          <w:b/>
          <w:sz w:val="18"/>
          <w:szCs w:val="18"/>
        </w:rPr>
      </w:pPr>
      <w:r w:rsidRPr="00943236">
        <w:rPr>
          <w:rFonts w:ascii="Poppins" w:hAnsi="Poppins" w:cs="Poppins"/>
          <w:b/>
          <w:sz w:val="18"/>
          <w:szCs w:val="18"/>
        </w:rPr>
        <w:t>Ataques ucranianos mantienen bajo presión al CPC y la refinación rusa, reduciendo la oferta de combustibles</w:t>
      </w:r>
    </w:p>
    <w:p w14:paraId="57C439DD" w14:textId="77777777" w:rsidR="00F858EB" w:rsidRPr="00E36B6B" w:rsidRDefault="00F858EB" w:rsidP="00F858EB">
      <w:pPr>
        <w:shd w:val="clear" w:color="auto" w:fill="FFFFFF"/>
        <w:ind w:left="425"/>
        <w:jc w:val="both"/>
        <w:rPr>
          <w:rFonts w:ascii="Poppins" w:hAnsi="Poppins" w:cs="Poppins"/>
          <w:sz w:val="18"/>
          <w:szCs w:val="18"/>
        </w:rPr>
      </w:pPr>
    </w:p>
    <w:p w14:paraId="1DECAF13" w14:textId="77777777" w:rsidR="00F858EB" w:rsidRPr="00943236" w:rsidRDefault="00F858EB" w:rsidP="00F858EB">
      <w:pPr>
        <w:shd w:val="clear" w:color="auto" w:fill="FFFFFF"/>
        <w:ind w:left="425"/>
        <w:jc w:val="both"/>
        <w:rPr>
          <w:rFonts w:ascii="Poppins" w:hAnsi="Poppins" w:cs="Poppins"/>
          <w:sz w:val="18"/>
          <w:szCs w:val="18"/>
        </w:rPr>
      </w:pPr>
      <w:r w:rsidRPr="00943236">
        <w:rPr>
          <w:rFonts w:ascii="Poppins" w:hAnsi="Poppins" w:cs="Poppins"/>
          <w:sz w:val="18"/>
          <w:szCs w:val="18"/>
        </w:rPr>
        <w:t>Durante la primera semana de agosto, Ucrania mantuvo la presión sobre la infraestructura energética rusa. Las cargas del CPC quedaron en julio más de 20% por debajo de lo programado, alrededor de 1,2–1,3 millones de bpd, mientras el 7 de agosto volvieron a registrarse interrupciones. Paralelamente, el 6 de agosto drones alcanzaron la refinería de Yaroslavl, de 300 mil bpd, y otras instalaciones rusas.</w:t>
      </w:r>
    </w:p>
    <w:p w14:paraId="1C0532F0" w14:textId="77777777" w:rsidR="00F858EB" w:rsidRPr="00943236" w:rsidRDefault="00F858EB" w:rsidP="00F858EB">
      <w:pPr>
        <w:shd w:val="clear" w:color="auto" w:fill="FFFFFF"/>
        <w:ind w:left="425"/>
        <w:jc w:val="both"/>
        <w:rPr>
          <w:rFonts w:ascii="Poppins" w:hAnsi="Poppins" w:cs="Poppins"/>
          <w:sz w:val="18"/>
          <w:szCs w:val="18"/>
        </w:rPr>
      </w:pPr>
    </w:p>
    <w:p w14:paraId="0E7FDC29" w14:textId="77777777" w:rsidR="00F858EB" w:rsidRDefault="00F858EB" w:rsidP="00F858EB">
      <w:pPr>
        <w:shd w:val="clear" w:color="auto" w:fill="FFFFFF"/>
        <w:ind w:left="425"/>
        <w:jc w:val="both"/>
        <w:rPr>
          <w:rFonts w:ascii="Poppins" w:hAnsi="Poppins" w:cs="Poppins"/>
          <w:sz w:val="18"/>
          <w:szCs w:val="18"/>
        </w:rPr>
      </w:pPr>
      <w:r w:rsidRPr="00943236">
        <w:rPr>
          <w:rFonts w:ascii="Poppins" w:hAnsi="Poppins" w:cs="Poppins"/>
          <w:sz w:val="18"/>
          <w:szCs w:val="18"/>
        </w:rPr>
        <w:t>Las exportaciones marítimas rusas de productos refinados cayeron 33% mensual en julio y los envíos de diésel y gasóleo retrocedieron 60%. Moscú prohibió desde el 1 de agosto hasta el 31 de enero de 2027 las exportaciones de gasolina, diésel, combustible marino y gasóleos; desde septiembre, los productores quedan exentos para estos tres últimos productos, mientras la gasolina continúa restringida</w:t>
      </w:r>
      <w:r>
        <w:rPr>
          <w:rFonts w:ascii="Poppins" w:hAnsi="Poppins" w:cs="Poppins"/>
          <w:sz w:val="18"/>
          <w:szCs w:val="18"/>
        </w:rPr>
        <w:t>.</w:t>
      </w:r>
    </w:p>
    <w:p w14:paraId="5A2DC27F" w14:textId="77777777" w:rsidR="00F858EB" w:rsidRDefault="00F858EB" w:rsidP="00F858EB">
      <w:pPr>
        <w:shd w:val="clear" w:color="auto" w:fill="FFFFFF"/>
        <w:ind w:left="425"/>
        <w:jc w:val="both"/>
        <w:rPr>
          <w:rFonts w:ascii="Poppins" w:hAnsi="Poppins" w:cs="Poppins"/>
          <w:sz w:val="18"/>
          <w:szCs w:val="18"/>
        </w:rPr>
      </w:pPr>
    </w:p>
    <w:p w14:paraId="288B656B" w14:textId="77777777" w:rsidR="00F858EB" w:rsidRPr="000A471E" w:rsidRDefault="00F858EB" w:rsidP="00F858EB">
      <w:pPr>
        <w:pStyle w:val="Prrafodelista"/>
        <w:numPr>
          <w:ilvl w:val="0"/>
          <w:numId w:val="30"/>
        </w:numPr>
        <w:ind w:left="425"/>
        <w:contextualSpacing/>
        <w:jc w:val="both"/>
        <w:rPr>
          <w:rFonts w:ascii="Poppins" w:hAnsi="Poppins" w:cs="Poppins"/>
          <w:b/>
          <w:sz w:val="18"/>
          <w:szCs w:val="18"/>
        </w:rPr>
      </w:pPr>
      <w:r w:rsidRPr="000A471E">
        <w:rPr>
          <w:rFonts w:ascii="Poppins" w:hAnsi="Poppins" w:cs="Poppins"/>
          <w:b/>
          <w:sz w:val="18"/>
          <w:szCs w:val="18"/>
        </w:rPr>
        <w:t>Reino Unido amplía sanciones contra bancos y petroleros vinculados con Rusia</w:t>
      </w:r>
    </w:p>
    <w:p w14:paraId="06BE8733" w14:textId="77777777" w:rsidR="00F858EB" w:rsidRDefault="00F858EB" w:rsidP="00F858EB">
      <w:pPr>
        <w:shd w:val="clear" w:color="auto" w:fill="FFFFFF"/>
        <w:ind w:left="425"/>
        <w:jc w:val="both"/>
        <w:rPr>
          <w:rFonts w:ascii="Poppins" w:hAnsi="Poppins" w:cs="Poppins"/>
          <w:sz w:val="18"/>
          <w:szCs w:val="18"/>
        </w:rPr>
      </w:pPr>
    </w:p>
    <w:p w14:paraId="56557463" w14:textId="77777777" w:rsidR="00F858EB" w:rsidRPr="000A471E" w:rsidRDefault="00F858EB" w:rsidP="00F858EB">
      <w:pPr>
        <w:shd w:val="clear" w:color="auto" w:fill="FFFFFF"/>
        <w:ind w:left="425"/>
        <w:jc w:val="both"/>
        <w:rPr>
          <w:rFonts w:ascii="Poppins" w:hAnsi="Poppins" w:cs="Poppins"/>
          <w:sz w:val="18"/>
          <w:szCs w:val="18"/>
        </w:rPr>
      </w:pPr>
      <w:r w:rsidRPr="000A471E">
        <w:rPr>
          <w:rFonts w:ascii="Poppins" w:hAnsi="Poppins" w:cs="Poppins"/>
          <w:sz w:val="18"/>
          <w:szCs w:val="18"/>
        </w:rPr>
        <w:t>El 6 de agosto, Reino Unido incorporó 13 nuevas designaciones y seis petroleros al régimen de sanciones contra Rusia. Las medidas alcanzaron seis bancos rusos, seis buques recientemente incorporados a la denominada flota en la sombra y empresas vinculadas al suministro de metales utilizados por la industria militar rusa.</w:t>
      </w:r>
    </w:p>
    <w:p w14:paraId="275ED109" w14:textId="77777777" w:rsidR="00F858EB" w:rsidRPr="000A471E" w:rsidRDefault="00F858EB" w:rsidP="00F858EB">
      <w:pPr>
        <w:shd w:val="clear" w:color="auto" w:fill="FFFFFF"/>
        <w:ind w:left="425"/>
        <w:jc w:val="both"/>
        <w:rPr>
          <w:rFonts w:ascii="Poppins" w:hAnsi="Poppins" w:cs="Poppins"/>
          <w:sz w:val="18"/>
          <w:szCs w:val="18"/>
        </w:rPr>
      </w:pPr>
    </w:p>
    <w:p w14:paraId="7B85FC4A" w14:textId="77777777" w:rsidR="00F858EB" w:rsidRDefault="00F858EB" w:rsidP="00F858EB">
      <w:pPr>
        <w:shd w:val="clear" w:color="auto" w:fill="FFFFFF"/>
        <w:ind w:left="425"/>
        <w:jc w:val="both"/>
        <w:rPr>
          <w:rFonts w:ascii="Poppins" w:hAnsi="Poppins" w:cs="Poppins"/>
          <w:sz w:val="18"/>
          <w:szCs w:val="18"/>
        </w:rPr>
      </w:pPr>
      <w:r w:rsidRPr="000A471E">
        <w:rPr>
          <w:rFonts w:ascii="Poppins" w:hAnsi="Poppins" w:cs="Poppins"/>
          <w:sz w:val="18"/>
          <w:szCs w:val="18"/>
        </w:rPr>
        <w:t>Londres busca dificultar el financiamiento y transporte de las exportaciones energéticas rusas y reducir los ingresos petroleros destinados a financiar la guerra en Ucrania. El Reino Unido acumula más de 3.400 personas, entidades y buques sancionados desde 2022. Una mayor restricción sobre la flota petrolera puede elevar costos logísticos y limitar parcialmente la disponibilidad de crudo ruso.</w:t>
      </w:r>
    </w:p>
    <w:p w14:paraId="5E2CA1A9" w14:textId="77777777" w:rsidR="00F858EB" w:rsidRDefault="00F858EB" w:rsidP="00F858EB">
      <w:pPr>
        <w:shd w:val="clear" w:color="auto" w:fill="FFFFFF"/>
        <w:ind w:left="425"/>
        <w:jc w:val="both"/>
        <w:rPr>
          <w:rFonts w:ascii="Poppins" w:hAnsi="Poppins" w:cs="Poppins"/>
          <w:sz w:val="18"/>
          <w:szCs w:val="18"/>
        </w:rPr>
      </w:pPr>
    </w:p>
    <w:p w14:paraId="4DDE7A68" w14:textId="77777777" w:rsidR="00121201" w:rsidRDefault="00121201" w:rsidP="00F858EB">
      <w:pPr>
        <w:shd w:val="clear" w:color="auto" w:fill="FFFFFF"/>
        <w:ind w:left="425"/>
        <w:jc w:val="both"/>
        <w:rPr>
          <w:rFonts w:ascii="Poppins" w:hAnsi="Poppins" w:cs="Poppins"/>
          <w:sz w:val="18"/>
          <w:szCs w:val="18"/>
        </w:rPr>
      </w:pPr>
    </w:p>
    <w:p w14:paraId="16F1FF97" w14:textId="77777777" w:rsidR="00121201" w:rsidRDefault="00121201" w:rsidP="00F858EB">
      <w:pPr>
        <w:shd w:val="clear" w:color="auto" w:fill="FFFFFF"/>
        <w:ind w:left="425"/>
        <w:jc w:val="both"/>
        <w:rPr>
          <w:rFonts w:ascii="Poppins" w:hAnsi="Poppins" w:cs="Poppins"/>
          <w:sz w:val="18"/>
          <w:szCs w:val="18"/>
        </w:rPr>
      </w:pPr>
    </w:p>
    <w:p w14:paraId="2743202B" w14:textId="77777777" w:rsidR="00121201" w:rsidRDefault="00121201" w:rsidP="00F858EB">
      <w:pPr>
        <w:shd w:val="clear" w:color="auto" w:fill="FFFFFF"/>
        <w:ind w:left="425"/>
        <w:jc w:val="both"/>
        <w:rPr>
          <w:rFonts w:ascii="Poppins" w:hAnsi="Poppins" w:cs="Poppins"/>
          <w:sz w:val="18"/>
          <w:szCs w:val="18"/>
        </w:rPr>
      </w:pPr>
    </w:p>
    <w:p w14:paraId="7142B71E" w14:textId="77777777" w:rsidR="00F858EB" w:rsidRPr="002D3A6F" w:rsidRDefault="00F858EB" w:rsidP="00F858EB">
      <w:pPr>
        <w:pStyle w:val="Prrafodelista"/>
        <w:numPr>
          <w:ilvl w:val="0"/>
          <w:numId w:val="30"/>
        </w:numPr>
        <w:ind w:left="425"/>
        <w:contextualSpacing/>
        <w:jc w:val="both"/>
        <w:rPr>
          <w:rFonts w:ascii="Poppins" w:hAnsi="Poppins" w:cs="Poppins"/>
          <w:b/>
          <w:sz w:val="18"/>
          <w:szCs w:val="18"/>
        </w:rPr>
      </w:pPr>
      <w:r w:rsidRPr="00A17839">
        <w:rPr>
          <w:rFonts w:ascii="Poppins" w:hAnsi="Poppins" w:cs="Poppins"/>
          <w:b/>
          <w:sz w:val="18"/>
          <w:szCs w:val="18"/>
        </w:rPr>
        <w:lastRenderedPageBreak/>
        <w:t>China recupera parcialmente sus importaciones de crudo</w:t>
      </w:r>
      <w:r w:rsidRPr="00276216">
        <w:rPr>
          <w:rFonts w:ascii="Poppins" w:hAnsi="Poppins" w:cs="Poppins"/>
          <w:b/>
          <w:sz w:val="18"/>
          <w:szCs w:val="18"/>
        </w:rPr>
        <w:t>,</w:t>
      </w:r>
      <w:r>
        <w:rPr>
          <w:rFonts w:ascii="Poppins" w:hAnsi="Poppins" w:cs="Poppins"/>
          <w:b/>
          <w:sz w:val="18"/>
          <w:szCs w:val="18"/>
        </w:rPr>
        <w:t xml:space="preserve"> </w:t>
      </w:r>
      <w:r w:rsidRPr="00276216">
        <w:rPr>
          <w:rFonts w:ascii="Poppins" w:hAnsi="Poppins" w:cs="Poppins"/>
          <w:b/>
          <w:sz w:val="18"/>
          <w:szCs w:val="18"/>
        </w:rPr>
        <w:t>mientras mayores exportaciones de combustibles amplían la oferta asiática</w:t>
      </w:r>
    </w:p>
    <w:p w14:paraId="2777FB3A" w14:textId="77777777" w:rsidR="00F858EB" w:rsidRPr="002D3A6F" w:rsidRDefault="00F858EB" w:rsidP="00F858EB">
      <w:pPr>
        <w:shd w:val="clear" w:color="auto" w:fill="FFFFFF"/>
        <w:ind w:left="425"/>
        <w:jc w:val="both"/>
        <w:rPr>
          <w:rFonts w:ascii="Poppins" w:hAnsi="Poppins" w:cs="Poppins"/>
          <w:sz w:val="18"/>
          <w:szCs w:val="18"/>
        </w:rPr>
      </w:pPr>
    </w:p>
    <w:p w14:paraId="40EDA754" w14:textId="77777777" w:rsidR="00F858EB" w:rsidRPr="00505E56" w:rsidRDefault="00F858EB" w:rsidP="00F858EB">
      <w:pPr>
        <w:shd w:val="clear" w:color="auto" w:fill="FFFFFF"/>
        <w:ind w:left="425"/>
        <w:jc w:val="both"/>
        <w:rPr>
          <w:rFonts w:ascii="Poppins" w:hAnsi="Poppins" w:cs="Poppins"/>
          <w:sz w:val="18"/>
          <w:szCs w:val="18"/>
        </w:rPr>
      </w:pPr>
      <w:r w:rsidRPr="00505E56">
        <w:rPr>
          <w:rFonts w:ascii="Poppins" w:hAnsi="Poppins" w:cs="Poppins"/>
          <w:sz w:val="18"/>
          <w:szCs w:val="18"/>
        </w:rPr>
        <w:t xml:space="preserve">Las importaciones totales de crudo de China aumentaron a 8,41 millones de bpd en julio, desde el mínimo de casi una década de 7,12 millones de bpd en junio, aunque permanecieron 24,3% por debajo de julio de 2025. En paralelo, Kpler registró llegadas marítimas por 6,94 millones de bpd, todavía 39% inferiores al promedio </w:t>
      </w:r>
      <w:proofErr w:type="spellStart"/>
      <w:r w:rsidRPr="00505E56">
        <w:rPr>
          <w:rFonts w:ascii="Poppins" w:hAnsi="Poppins" w:cs="Poppins"/>
          <w:sz w:val="18"/>
          <w:szCs w:val="18"/>
        </w:rPr>
        <w:t>preconflicto</w:t>
      </w:r>
      <w:proofErr w:type="spellEnd"/>
      <w:r w:rsidRPr="00505E56">
        <w:rPr>
          <w:rFonts w:ascii="Poppins" w:hAnsi="Poppins" w:cs="Poppins"/>
          <w:sz w:val="18"/>
          <w:szCs w:val="18"/>
        </w:rPr>
        <w:t xml:space="preserve"> de 11,43 millones. La recuperación respondió parcialmente a cargamentos despachados durante la tregua de junio, mientras los altos precios, la débil demanda interna y el uso de inventarios, estimados en más de 1 200 millones de barriles, continuaron limitando las compras.</w:t>
      </w:r>
    </w:p>
    <w:p w14:paraId="78391163" w14:textId="77777777" w:rsidR="00F858EB" w:rsidRPr="00505E56" w:rsidRDefault="00F858EB" w:rsidP="00F858EB">
      <w:pPr>
        <w:shd w:val="clear" w:color="auto" w:fill="FFFFFF"/>
        <w:ind w:left="425"/>
        <w:jc w:val="both"/>
        <w:rPr>
          <w:rFonts w:ascii="Poppins" w:hAnsi="Poppins" w:cs="Poppins"/>
          <w:sz w:val="18"/>
          <w:szCs w:val="18"/>
        </w:rPr>
      </w:pPr>
    </w:p>
    <w:p w14:paraId="405CF4EE" w14:textId="77777777" w:rsidR="00F858EB" w:rsidRDefault="00F858EB" w:rsidP="00F858EB">
      <w:pPr>
        <w:shd w:val="clear" w:color="auto" w:fill="FFFFFF"/>
        <w:ind w:left="425"/>
        <w:jc w:val="both"/>
        <w:rPr>
          <w:rFonts w:ascii="Poppins" w:hAnsi="Poppins" w:cs="Poppins"/>
          <w:sz w:val="18"/>
          <w:szCs w:val="18"/>
        </w:rPr>
      </w:pPr>
      <w:r w:rsidRPr="003E01EA">
        <w:rPr>
          <w:rFonts w:ascii="Poppins" w:hAnsi="Poppins" w:cs="Poppins"/>
          <w:sz w:val="18"/>
          <w:szCs w:val="18"/>
        </w:rPr>
        <w:t>Paralelamente, Pekín flexibilizó por segundo mes consecutivo las restricciones a las exportaciones de combustibles. Para agosto autorizó hasta 2,7 millones de toneladas de gasolina, diésel y jet fuel para mercados externos distintos de Hong Kong y Macao. Sumando además los despachos hacia Hong Kong y el combustible de aviación suministrado a vuelos internacionales en aeropuertos chinos, el programa total de exportación podría alcanzar 3,6–3,7 millones de toneladas, por encima del promedio mensual de 3,04 millones registrado en 2025.</w:t>
      </w:r>
    </w:p>
    <w:p w14:paraId="492D32F1" w14:textId="77777777" w:rsidR="00F858EB" w:rsidRDefault="00F858EB" w:rsidP="00F858EB">
      <w:pPr>
        <w:shd w:val="clear" w:color="auto" w:fill="FFFFFF"/>
        <w:ind w:left="425"/>
        <w:jc w:val="both"/>
        <w:rPr>
          <w:rFonts w:ascii="Poppins" w:hAnsi="Poppins" w:cs="Poppins"/>
          <w:sz w:val="18"/>
          <w:szCs w:val="18"/>
        </w:rPr>
      </w:pPr>
    </w:p>
    <w:p w14:paraId="66081147" w14:textId="77777777" w:rsidR="00F858EB" w:rsidRPr="0044753D" w:rsidRDefault="00F858EB" w:rsidP="00F858EB">
      <w:pPr>
        <w:pStyle w:val="Prrafodelista"/>
        <w:numPr>
          <w:ilvl w:val="0"/>
          <w:numId w:val="30"/>
        </w:numPr>
        <w:ind w:left="425"/>
        <w:contextualSpacing/>
        <w:jc w:val="both"/>
        <w:rPr>
          <w:rFonts w:ascii="Poppins" w:hAnsi="Poppins" w:cs="Poppins"/>
          <w:b/>
          <w:sz w:val="18"/>
          <w:szCs w:val="18"/>
        </w:rPr>
      </w:pPr>
      <w:r w:rsidRPr="0044753D">
        <w:rPr>
          <w:rFonts w:ascii="Poppins" w:hAnsi="Poppins" w:cs="Poppins"/>
          <w:b/>
          <w:sz w:val="18"/>
          <w:szCs w:val="18"/>
        </w:rPr>
        <w:t>Nuevos aranceles elevan el riesgo de desaceleración del comercio mundial</w:t>
      </w:r>
    </w:p>
    <w:p w14:paraId="5E8BC6CE" w14:textId="77777777" w:rsidR="00F858EB" w:rsidRDefault="00F858EB" w:rsidP="00F858EB">
      <w:pPr>
        <w:shd w:val="clear" w:color="auto" w:fill="FFFFFF"/>
        <w:ind w:left="425"/>
        <w:jc w:val="both"/>
        <w:rPr>
          <w:rFonts w:ascii="Poppins" w:hAnsi="Poppins" w:cs="Poppins"/>
          <w:sz w:val="18"/>
          <w:szCs w:val="18"/>
        </w:rPr>
      </w:pPr>
    </w:p>
    <w:p w14:paraId="3356A9E6" w14:textId="77777777" w:rsidR="00F858EB" w:rsidRPr="005F492C" w:rsidRDefault="00F858EB" w:rsidP="00F858EB">
      <w:pPr>
        <w:shd w:val="clear" w:color="auto" w:fill="FFFFFF"/>
        <w:ind w:left="425"/>
        <w:jc w:val="both"/>
        <w:rPr>
          <w:rFonts w:ascii="Poppins" w:hAnsi="Poppins" w:cs="Poppins"/>
          <w:sz w:val="18"/>
          <w:szCs w:val="18"/>
        </w:rPr>
      </w:pPr>
      <w:r w:rsidRPr="005F492C">
        <w:rPr>
          <w:rFonts w:ascii="Poppins" w:hAnsi="Poppins" w:cs="Poppins"/>
          <w:sz w:val="18"/>
          <w:szCs w:val="18"/>
        </w:rPr>
        <w:t>Desde el 24 de julio, EE.UU. aplica aranceles adicionales de 10% o 12,5% a bienes procedentes de 60 economías investigadas por supuestas deficiencias para impedir importaciones vinculadas con trabajo forzoso. Estas economías representaron 99,4% de las importaciones estadounidenses, aunque existen numerosas exclusiones, entre ellas petróleo, gas, fertilizantes, minerales críticos y determinados alimentos. El 3 de agosto, 25 estados estadounidenses impugnaron judicialmente la medida</w:t>
      </w:r>
      <w:r>
        <w:rPr>
          <w:rFonts w:ascii="Poppins" w:hAnsi="Poppins" w:cs="Poppins"/>
          <w:sz w:val="18"/>
          <w:szCs w:val="18"/>
        </w:rPr>
        <w:t>.</w:t>
      </w:r>
    </w:p>
    <w:p w14:paraId="1EC0A6F6" w14:textId="77777777" w:rsidR="00F858EB" w:rsidRPr="005F492C" w:rsidRDefault="00F858EB" w:rsidP="00F858EB">
      <w:pPr>
        <w:shd w:val="clear" w:color="auto" w:fill="FFFFFF"/>
        <w:ind w:left="425"/>
        <w:jc w:val="both"/>
        <w:rPr>
          <w:rFonts w:ascii="Poppins" w:hAnsi="Poppins" w:cs="Poppins"/>
          <w:sz w:val="18"/>
          <w:szCs w:val="18"/>
        </w:rPr>
      </w:pPr>
    </w:p>
    <w:p w14:paraId="5FD1ED01" w14:textId="77777777" w:rsidR="00F858EB" w:rsidRDefault="00F858EB" w:rsidP="00F858EB">
      <w:pPr>
        <w:shd w:val="clear" w:color="auto" w:fill="FFFFFF"/>
        <w:ind w:left="425"/>
        <w:jc w:val="both"/>
        <w:rPr>
          <w:rFonts w:ascii="Poppins" w:hAnsi="Poppins" w:cs="Poppins"/>
          <w:sz w:val="18"/>
          <w:szCs w:val="18"/>
        </w:rPr>
      </w:pPr>
      <w:r w:rsidRPr="005F492C">
        <w:rPr>
          <w:rFonts w:ascii="Poppins" w:hAnsi="Poppins" w:cs="Poppins"/>
          <w:sz w:val="18"/>
          <w:szCs w:val="18"/>
        </w:rPr>
        <w:t>Para Perú, el arancel adicional es de 12,5%. Mincetur precisó que más de 2 000 productos, equivalentes a alrededor de 45% del valor exportado a EE.UU., están excluidos; mientras ADEX estimó que 49,7% de los envíos, unos US$5 336 millones, quedarían alcanzados. El Gobierno presentó al Congreso un proyecto para prohibir importaciones producidas con trabajo forzoso y buscar una revisión de la medida estadounidense. Por las exenciones a hidrocarburos, su efecto sobre el mercado energético sería principalmente macroeconómico, vía menor comercio, actividad y demanda de combustibles.</w:t>
      </w:r>
    </w:p>
    <w:p w14:paraId="137E1DB3" w14:textId="77777777" w:rsidR="00F858EB" w:rsidRDefault="00F858EB" w:rsidP="00F858EB">
      <w:pPr>
        <w:shd w:val="clear" w:color="auto" w:fill="FFFFFF"/>
        <w:ind w:left="425"/>
        <w:jc w:val="both"/>
        <w:rPr>
          <w:rFonts w:ascii="Poppins" w:hAnsi="Poppins" w:cs="Poppins"/>
          <w:sz w:val="18"/>
          <w:szCs w:val="18"/>
        </w:rPr>
      </w:pPr>
    </w:p>
    <w:p w14:paraId="684629CD" w14:textId="77777777" w:rsidR="00F858EB" w:rsidRPr="000B5C67" w:rsidRDefault="00F858EB" w:rsidP="00F858EB">
      <w:pPr>
        <w:pStyle w:val="Prrafodelista"/>
        <w:numPr>
          <w:ilvl w:val="0"/>
          <w:numId w:val="30"/>
        </w:numPr>
        <w:ind w:left="425"/>
        <w:contextualSpacing/>
        <w:jc w:val="both"/>
        <w:rPr>
          <w:rFonts w:ascii="Poppins" w:hAnsi="Poppins" w:cs="Poppins"/>
          <w:b/>
          <w:sz w:val="18"/>
          <w:szCs w:val="18"/>
        </w:rPr>
      </w:pPr>
      <w:r w:rsidRPr="00994092">
        <w:rPr>
          <w:rFonts w:ascii="Poppins" w:hAnsi="Poppins" w:cs="Poppins"/>
          <w:b/>
          <w:sz w:val="18"/>
          <w:szCs w:val="18"/>
        </w:rPr>
        <w:t xml:space="preserve">Temporada de alta movilidad sostiene la demanda de combustibles en EE.UU., mientras los precios en </w:t>
      </w:r>
      <w:r>
        <w:rPr>
          <w:rFonts w:ascii="Poppins" w:hAnsi="Poppins" w:cs="Poppins"/>
          <w:b/>
          <w:sz w:val="18"/>
          <w:szCs w:val="18"/>
        </w:rPr>
        <w:t>estación de servicio</w:t>
      </w:r>
      <w:r w:rsidRPr="00994092">
        <w:rPr>
          <w:rFonts w:ascii="Poppins" w:hAnsi="Poppins" w:cs="Poppins"/>
          <w:b/>
          <w:sz w:val="18"/>
          <w:szCs w:val="18"/>
        </w:rPr>
        <w:t xml:space="preserve"> comienzan a ceder</w:t>
      </w:r>
    </w:p>
    <w:p w14:paraId="66BE8C24" w14:textId="77777777" w:rsidR="00F858EB" w:rsidRDefault="00F858EB" w:rsidP="00F858EB">
      <w:pPr>
        <w:shd w:val="clear" w:color="auto" w:fill="FFFFFF"/>
        <w:ind w:left="425"/>
        <w:jc w:val="both"/>
        <w:rPr>
          <w:rFonts w:ascii="Poppins" w:hAnsi="Poppins" w:cs="Poppins"/>
          <w:sz w:val="18"/>
          <w:szCs w:val="18"/>
        </w:rPr>
      </w:pPr>
    </w:p>
    <w:p w14:paraId="371325C8" w14:textId="77777777" w:rsidR="00F858EB" w:rsidRPr="00994092" w:rsidRDefault="00F858EB" w:rsidP="00F858EB">
      <w:pPr>
        <w:shd w:val="clear" w:color="auto" w:fill="FFFFFF"/>
        <w:ind w:left="425"/>
        <w:jc w:val="both"/>
        <w:rPr>
          <w:rFonts w:ascii="Poppins" w:hAnsi="Poppins" w:cs="Poppins"/>
          <w:sz w:val="18"/>
          <w:szCs w:val="18"/>
        </w:rPr>
      </w:pPr>
      <w:r w:rsidRPr="00994092">
        <w:rPr>
          <w:rFonts w:ascii="Poppins" w:hAnsi="Poppins" w:cs="Poppins"/>
          <w:sz w:val="18"/>
          <w:szCs w:val="18"/>
        </w:rPr>
        <w:t>Durante la semana terminada el 31 de julio, la demanda de gasolina se mantuvo ligeramente por encima de 9 millones de bpd, prácticamente sin cambios semanales. El promedio de cuatro semanas alcanzó 9,0 millones de bpd, 0,6% más interanual; los destilados aumentaron 1,8% y el combustible de aviación 3,6% frente al mismo periodo de 2025.</w:t>
      </w:r>
    </w:p>
    <w:p w14:paraId="749D484A" w14:textId="77777777" w:rsidR="00F858EB" w:rsidRPr="00994092" w:rsidRDefault="00F858EB" w:rsidP="00F858EB">
      <w:pPr>
        <w:shd w:val="clear" w:color="auto" w:fill="FFFFFF"/>
        <w:ind w:left="425"/>
        <w:jc w:val="both"/>
        <w:rPr>
          <w:rFonts w:ascii="Poppins" w:hAnsi="Poppins" w:cs="Poppins"/>
          <w:sz w:val="18"/>
          <w:szCs w:val="18"/>
        </w:rPr>
      </w:pPr>
    </w:p>
    <w:p w14:paraId="50EB2888" w14:textId="77777777" w:rsidR="00F858EB" w:rsidRPr="00994092" w:rsidRDefault="00F858EB" w:rsidP="00F858EB">
      <w:pPr>
        <w:shd w:val="clear" w:color="auto" w:fill="FFFFFF"/>
        <w:ind w:left="425"/>
        <w:jc w:val="both"/>
        <w:rPr>
          <w:rFonts w:ascii="Poppins" w:hAnsi="Poppins" w:cs="Poppins"/>
          <w:sz w:val="18"/>
          <w:szCs w:val="18"/>
        </w:rPr>
      </w:pPr>
      <w:r w:rsidRPr="00994092">
        <w:rPr>
          <w:rFonts w:ascii="Poppins" w:hAnsi="Poppins" w:cs="Poppins"/>
          <w:sz w:val="18"/>
          <w:szCs w:val="18"/>
        </w:rPr>
        <w:t>En los surtidores</w:t>
      </w:r>
      <w:r>
        <w:rPr>
          <w:rFonts w:ascii="Poppins" w:hAnsi="Poppins" w:cs="Poppins"/>
          <w:sz w:val="18"/>
          <w:szCs w:val="18"/>
        </w:rPr>
        <w:t xml:space="preserve"> (Estaciones de Servicio)</w:t>
      </w:r>
      <w:r w:rsidRPr="00994092">
        <w:rPr>
          <w:rFonts w:ascii="Poppins" w:hAnsi="Poppins" w:cs="Poppins"/>
          <w:sz w:val="18"/>
          <w:szCs w:val="18"/>
        </w:rPr>
        <w:t>, sin embargo, comenzó una corrección. El promedio nacional de gasolina regular descendió de aproximadamente US$4,09/galón el 30 de julio a US$4,06/galón el 6 de agosto, según</w:t>
      </w:r>
      <w:r>
        <w:rPr>
          <w:rFonts w:ascii="Poppins" w:hAnsi="Poppins" w:cs="Poppins"/>
          <w:sz w:val="18"/>
          <w:szCs w:val="18"/>
        </w:rPr>
        <w:t xml:space="preserve"> la </w:t>
      </w:r>
      <w:r w:rsidRPr="00F44A86">
        <w:rPr>
          <w:rFonts w:ascii="Poppins" w:hAnsi="Poppins" w:cs="Poppins"/>
          <w:i/>
          <w:iCs/>
          <w:sz w:val="18"/>
          <w:szCs w:val="18"/>
        </w:rPr>
        <w:t xml:space="preserve">American </w:t>
      </w:r>
      <w:proofErr w:type="spellStart"/>
      <w:r w:rsidRPr="00F44A86">
        <w:rPr>
          <w:rFonts w:ascii="Poppins" w:hAnsi="Poppins" w:cs="Poppins"/>
          <w:i/>
          <w:iCs/>
          <w:sz w:val="18"/>
          <w:szCs w:val="18"/>
        </w:rPr>
        <w:t>Automobil</w:t>
      </w:r>
      <w:r w:rsidRPr="00994092">
        <w:rPr>
          <w:rFonts w:ascii="Poppins" w:hAnsi="Poppins" w:cs="Poppins"/>
          <w:i/>
          <w:iCs/>
          <w:sz w:val="18"/>
          <w:szCs w:val="18"/>
        </w:rPr>
        <w:t>e</w:t>
      </w:r>
      <w:proofErr w:type="spellEnd"/>
      <w:r w:rsidRPr="00994092">
        <w:rPr>
          <w:rFonts w:ascii="Poppins" w:hAnsi="Poppins" w:cs="Poppins"/>
          <w:i/>
          <w:iCs/>
          <w:sz w:val="18"/>
          <w:szCs w:val="18"/>
        </w:rPr>
        <w:t xml:space="preserve"> </w:t>
      </w:r>
      <w:proofErr w:type="spellStart"/>
      <w:r w:rsidRPr="00994092">
        <w:rPr>
          <w:rFonts w:ascii="Poppins" w:hAnsi="Poppins" w:cs="Poppins"/>
          <w:i/>
          <w:iCs/>
          <w:sz w:val="18"/>
          <w:szCs w:val="18"/>
        </w:rPr>
        <w:t>Association</w:t>
      </w:r>
      <w:proofErr w:type="spellEnd"/>
      <w:r w:rsidRPr="00994092">
        <w:rPr>
          <w:rFonts w:ascii="Poppins" w:hAnsi="Poppins" w:cs="Poppins"/>
          <w:i/>
          <w:iCs/>
          <w:sz w:val="18"/>
          <w:szCs w:val="18"/>
        </w:rPr>
        <w:t xml:space="preserve"> (AAA)</w:t>
      </w:r>
      <w:r w:rsidRPr="00994092">
        <w:rPr>
          <w:rFonts w:ascii="Poppins" w:hAnsi="Poppins" w:cs="Poppins"/>
          <w:sz w:val="18"/>
          <w:szCs w:val="18"/>
        </w:rPr>
        <w:t xml:space="preserve">. </w:t>
      </w:r>
      <w:r w:rsidRPr="00994092">
        <w:rPr>
          <w:rFonts w:ascii="Poppins" w:hAnsi="Poppins" w:cs="Poppins"/>
          <w:sz w:val="18"/>
          <w:szCs w:val="18"/>
        </w:rPr>
        <w:lastRenderedPageBreak/>
        <w:t>La organización atribuyó la caída principalmente al retroceso del crudo hacia los US$70/barril, ante mayores expectativas de una normalización de Ormuz</w:t>
      </w:r>
      <w:r>
        <w:rPr>
          <w:rFonts w:ascii="Poppins" w:hAnsi="Poppins" w:cs="Poppins"/>
          <w:sz w:val="18"/>
          <w:szCs w:val="18"/>
        </w:rPr>
        <w:t xml:space="preserve"> en negociaciones.</w:t>
      </w:r>
    </w:p>
    <w:p w14:paraId="687EC7BD" w14:textId="77777777" w:rsidR="00F858EB" w:rsidRPr="00994092" w:rsidRDefault="00F858EB" w:rsidP="00F858EB">
      <w:pPr>
        <w:shd w:val="clear" w:color="auto" w:fill="FFFFFF"/>
        <w:ind w:left="425"/>
        <w:jc w:val="both"/>
        <w:rPr>
          <w:rFonts w:ascii="Poppins" w:hAnsi="Poppins" w:cs="Poppins"/>
          <w:sz w:val="18"/>
          <w:szCs w:val="18"/>
        </w:rPr>
      </w:pPr>
    </w:p>
    <w:p w14:paraId="62C191CC" w14:textId="77777777" w:rsidR="00F858EB" w:rsidRDefault="00F858EB" w:rsidP="00F858EB">
      <w:pPr>
        <w:shd w:val="clear" w:color="auto" w:fill="FFFFFF"/>
        <w:ind w:left="425"/>
        <w:jc w:val="both"/>
        <w:rPr>
          <w:rFonts w:ascii="Poppins" w:hAnsi="Poppins" w:cs="Poppins"/>
          <w:sz w:val="18"/>
          <w:szCs w:val="18"/>
        </w:rPr>
      </w:pPr>
      <w:r w:rsidRPr="00994092">
        <w:rPr>
          <w:rFonts w:ascii="Poppins" w:hAnsi="Poppins" w:cs="Poppins"/>
          <w:sz w:val="18"/>
          <w:szCs w:val="18"/>
        </w:rPr>
        <w:t xml:space="preserve">En consecuencia, la </w:t>
      </w:r>
      <w:r>
        <w:rPr>
          <w:rFonts w:ascii="Poppins" w:hAnsi="Poppins" w:cs="Poppins"/>
          <w:sz w:val="18"/>
          <w:szCs w:val="18"/>
        </w:rPr>
        <w:t>movilidad estacional</w:t>
      </w:r>
      <w:r w:rsidRPr="00994092">
        <w:rPr>
          <w:rFonts w:ascii="Poppins" w:hAnsi="Poppins" w:cs="Poppins"/>
          <w:sz w:val="18"/>
          <w:szCs w:val="18"/>
        </w:rPr>
        <w:t xml:space="preserve"> continúa respaldando la demanda estadounidense en su tramo final, con consumo de gasolina ligeramente superior al de 2025 e inventarios históricamente ajustados. No obstante, la reciente caída del crudo comenzó a trasladarse al precio minorista, moderando temporalmente la presión alcista generada por la demanda estacional y la escasez de combustibles.</w:t>
      </w:r>
    </w:p>
    <w:p w14:paraId="684EB54E" w14:textId="77777777" w:rsidR="00647DA0" w:rsidRDefault="00647DA0" w:rsidP="0026393A">
      <w:pPr>
        <w:shd w:val="clear" w:color="auto" w:fill="FFFFFF"/>
        <w:ind w:left="425"/>
        <w:jc w:val="both"/>
        <w:rPr>
          <w:rFonts w:ascii="Poppins" w:hAnsi="Poppins" w:cs="Poppins"/>
          <w:sz w:val="18"/>
          <w:szCs w:val="18"/>
        </w:rPr>
      </w:pPr>
    </w:p>
    <w:p w14:paraId="046D17F1" w14:textId="77777777" w:rsidR="006925F8" w:rsidRDefault="006925F8" w:rsidP="0026393A">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3E58B5C"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BA6B91">
        <w:rPr>
          <w:rFonts w:ascii="Poppins" w:hAnsi="Poppins" w:cs="Poppins"/>
          <w:sz w:val="18"/>
          <w:szCs w:val="18"/>
        </w:rPr>
        <w:t>20</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BA6B91">
        <w:rPr>
          <w:rFonts w:ascii="Poppins" w:hAnsi="Poppins" w:cs="Poppins"/>
          <w:sz w:val="18"/>
          <w:szCs w:val="18"/>
        </w:rPr>
        <w:t>31</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w:t>
      </w:r>
      <w:r w:rsidR="00BA6B91">
        <w:rPr>
          <w:rFonts w:ascii="Poppins" w:hAnsi="Poppins" w:cs="Poppins"/>
          <w:sz w:val="18"/>
          <w:szCs w:val="18"/>
        </w:rPr>
        <w:t>l</w:t>
      </w:r>
      <w:r w:rsidR="00FA464F">
        <w:rPr>
          <w:rFonts w:ascii="Poppins" w:hAnsi="Poppins" w:cs="Poppins"/>
          <w:sz w:val="18"/>
          <w:szCs w:val="18"/>
        </w:rPr>
        <w:t>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BA6B91">
        <w:rPr>
          <w:rFonts w:ascii="Poppins" w:hAnsi="Poppins" w:cs="Poppins"/>
          <w:sz w:val="18"/>
          <w:szCs w:val="18"/>
        </w:rPr>
        <w:t>27</w:t>
      </w:r>
      <w:r w:rsidRPr="00581B20">
        <w:rPr>
          <w:rFonts w:ascii="Poppins" w:hAnsi="Poppins" w:cs="Poppins"/>
          <w:sz w:val="18"/>
          <w:szCs w:val="18"/>
        </w:rPr>
        <w:t xml:space="preserve"> de </w:t>
      </w:r>
      <w:r w:rsidR="00BA6B91">
        <w:rPr>
          <w:rFonts w:ascii="Poppins" w:hAnsi="Poppins" w:cs="Poppins"/>
          <w:sz w:val="18"/>
          <w:szCs w:val="18"/>
        </w:rPr>
        <w:t>agosto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4610C0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085C3D">
        <w:rPr>
          <w:rFonts w:ascii="Poppins" w:hAnsi="Poppins" w:cs="Poppins"/>
          <w:sz w:val="18"/>
          <w:szCs w:val="18"/>
        </w:rPr>
        <w:t xml:space="preserve"> y </w:t>
      </w:r>
      <w:proofErr w:type="spellStart"/>
      <w:r w:rsidR="00085C3D" w:rsidRPr="00581B20">
        <w:rPr>
          <w:rFonts w:ascii="Poppins" w:hAnsi="Poppins" w:cs="Poppins"/>
          <w:sz w:val="18"/>
          <w:szCs w:val="18"/>
        </w:rPr>
        <w:t>N°</w:t>
      </w:r>
      <w:proofErr w:type="spellEnd"/>
      <w:r w:rsidR="00085C3D" w:rsidRPr="00581B20">
        <w:rPr>
          <w:rFonts w:ascii="Poppins" w:hAnsi="Poppins" w:cs="Poppins"/>
          <w:sz w:val="18"/>
          <w:szCs w:val="18"/>
        </w:rPr>
        <w:t xml:space="preserve"> 0</w:t>
      </w:r>
      <w:r w:rsidR="00085C3D">
        <w:rPr>
          <w:rFonts w:ascii="Poppins" w:hAnsi="Poppins" w:cs="Poppins"/>
          <w:sz w:val="18"/>
          <w:szCs w:val="18"/>
        </w:rPr>
        <w:t>20</w:t>
      </w:r>
      <w:r w:rsidR="00085C3D" w:rsidRPr="00581B20">
        <w:rPr>
          <w:rFonts w:ascii="Poppins" w:hAnsi="Poppins" w:cs="Poppins"/>
          <w:sz w:val="18"/>
          <w:szCs w:val="18"/>
        </w:rPr>
        <w:t>-202</w:t>
      </w:r>
      <w:r w:rsidR="00085C3D">
        <w:rPr>
          <w:rFonts w:ascii="Poppins" w:hAnsi="Poppins" w:cs="Poppins"/>
          <w:sz w:val="18"/>
          <w:szCs w:val="18"/>
        </w:rPr>
        <w:t>6</w:t>
      </w:r>
      <w:r w:rsidR="00085C3D"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A66524">
        <w:rPr>
          <w:rFonts w:ascii="Poppins" w:hAnsi="Poppins" w:cs="Poppins"/>
          <w:sz w:val="18"/>
          <w:szCs w:val="18"/>
        </w:rPr>
        <w:t>11</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84F36">
        <w:rPr>
          <w:rFonts w:ascii="Poppins" w:hAnsi="Poppins" w:cs="Poppins"/>
          <w:sz w:val="18"/>
          <w:szCs w:val="18"/>
        </w:rPr>
        <w:t>lunes</w:t>
      </w:r>
      <w:r w:rsidR="001A4A01">
        <w:rPr>
          <w:rFonts w:ascii="Poppins" w:hAnsi="Poppins" w:cs="Poppins"/>
          <w:sz w:val="18"/>
          <w:szCs w:val="18"/>
        </w:rPr>
        <w:t xml:space="preserve"> </w:t>
      </w:r>
      <w:r w:rsidR="00684F36">
        <w:rPr>
          <w:rFonts w:ascii="Poppins" w:hAnsi="Poppins" w:cs="Poppins"/>
          <w:sz w:val="18"/>
          <w:szCs w:val="18"/>
        </w:rPr>
        <w:t>1</w:t>
      </w:r>
      <w:r w:rsidR="00A66524">
        <w:rPr>
          <w:rFonts w:ascii="Poppins" w:hAnsi="Poppins" w:cs="Poppins"/>
          <w:sz w:val="18"/>
          <w:szCs w:val="18"/>
        </w:rPr>
        <w:t>7</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94CCBF0" w:rsidR="00944C17" w:rsidRDefault="00593ACE" w:rsidP="009B438E">
      <w:pPr>
        <w:pStyle w:val="Sangradetextonormal"/>
        <w:numPr>
          <w:ilvl w:val="0"/>
          <w:numId w:val="16"/>
        </w:numPr>
        <w:ind w:left="568" w:hanging="426"/>
        <w:rPr>
          <w:rFonts w:ascii="Poppins" w:hAnsi="Poppins" w:cs="Poppins"/>
          <w:sz w:val="18"/>
          <w:szCs w:val="18"/>
          <w:lang w:val="es-PE"/>
        </w:rPr>
      </w:pPr>
      <w:r w:rsidRPr="00493AC4">
        <w:rPr>
          <w:rFonts w:ascii="Poppins" w:hAnsi="Poppins" w:cs="Poppins"/>
          <w:sz w:val="18"/>
          <w:szCs w:val="18"/>
        </w:rPr>
        <w:t xml:space="preserve">El día </w:t>
      </w:r>
      <w:r w:rsidR="00A66524">
        <w:rPr>
          <w:rFonts w:ascii="Poppins" w:hAnsi="Poppins" w:cs="Poppins"/>
          <w:sz w:val="18"/>
          <w:szCs w:val="18"/>
        </w:rPr>
        <w:t>11</w:t>
      </w:r>
      <w:r w:rsidRPr="00493AC4">
        <w:rPr>
          <w:rFonts w:ascii="Poppins" w:hAnsi="Poppins" w:cs="Poppins"/>
          <w:sz w:val="18"/>
          <w:szCs w:val="18"/>
        </w:rPr>
        <w:t>.</w:t>
      </w:r>
      <w:r w:rsidR="005151B0" w:rsidRPr="00493AC4">
        <w:rPr>
          <w:rFonts w:ascii="Poppins" w:hAnsi="Poppins" w:cs="Poppins"/>
          <w:sz w:val="18"/>
          <w:szCs w:val="18"/>
        </w:rPr>
        <w:t>0</w:t>
      </w:r>
      <w:r w:rsidR="00B83B09">
        <w:rPr>
          <w:rFonts w:ascii="Poppins" w:hAnsi="Poppins" w:cs="Poppins"/>
          <w:sz w:val="18"/>
          <w:szCs w:val="18"/>
        </w:rPr>
        <w:t>8</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Petroperú publicó su lista de precios de venta de combustibles</w:t>
      </w:r>
      <w:r w:rsidR="00F93AFF">
        <w:rPr>
          <w:rFonts w:ascii="Poppins" w:hAnsi="Poppins" w:cs="Poppins"/>
          <w:sz w:val="18"/>
          <w:szCs w:val="18"/>
        </w:rPr>
        <w:t xml:space="preserve">, con vigencia a partir del </w:t>
      </w:r>
      <w:r w:rsidR="00A66524">
        <w:rPr>
          <w:rFonts w:ascii="Poppins" w:hAnsi="Poppins" w:cs="Poppins"/>
          <w:sz w:val="18"/>
          <w:szCs w:val="18"/>
        </w:rPr>
        <w:t>11</w:t>
      </w:r>
      <w:r w:rsidR="00F93AFF">
        <w:rPr>
          <w:rFonts w:ascii="Poppins" w:hAnsi="Poppins" w:cs="Poppins"/>
          <w:sz w:val="18"/>
          <w:szCs w:val="18"/>
        </w:rPr>
        <w:t>.08.2026</w:t>
      </w:r>
      <w:r w:rsidRPr="00493AC4">
        <w:rPr>
          <w:rFonts w:ascii="Poppins" w:hAnsi="Poppins" w:cs="Poppins"/>
          <w:sz w:val="18"/>
          <w:szCs w:val="18"/>
        </w:rPr>
        <w:t xml:space="preserve">.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A66524">
        <w:rPr>
          <w:rFonts w:ascii="Poppins" w:hAnsi="Poppins" w:cs="Poppins"/>
          <w:sz w:val="18"/>
          <w:szCs w:val="18"/>
        </w:rPr>
        <w:t>-</w:t>
      </w:r>
      <w:r w:rsidR="00D56576">
        <w:rPr>
          <w:rFonts w:ascii="Poppins" w:hAnsi="Poppins" w:cs="Poppins"/>
          <w:sz w:val="18"/>
          <w:szCs w:val="18"/>
        </w:rPr>
        <w:t>0</w:t>
      </w:r>
      <w:r w:rsidR="00460518" w:rsidRPr="00493AC4">
        <w:rPr>
          <w:rFonts w:ascii="Poppins" w:hAnsi="Poppins" w:cs="Poppins"/>
          <w:sz w:val="18"/>
          <w:szCs w:val="18"/>
        </w:rPr>
        <w:t>,</w:t>
      </w:r>
      <w:r w:rsidR="00254C76">
        <w:rPr>
          <w:rFonts w:ascii="Poppins" w:hAnsi="Poppins" w:cs="Poppins"/>
          <w:sz w:val="18"/>
          <w:szCs w:val="18"/>
        </w:rPr>
        <w:t>6</w:t>
      </w:r>
      <w:r w:rsidR="00A66524">
        <w:rPr>
          <w:rFonts w:ascii="Poppins" w:hAnsi="Poppins" w:cs="Poppins"/>
          <w:sz w:val="18"/>
          <w:szCs w:val="18"/>
        </w:rPr>
        <w:t>6</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A66524">
        <w:rPr>
          <w:rFonts w:ascii="Poppins" w:hAnsi="Poppins" w:cs="Poppins"/>
          <w:sz w:val="18"/>
          <w:szCs w:val="18"/>
        </w:rPr>
        <w:t>-</w:t>
      </w:r>
      <w:r w:rsidR="00254C76">
        <w:rPr>
          <w:rFonts w:ascii="Poppins" w:hAnsi="Poppins" w:cs="Poppins"/>
          <w:sz w:val="18"/>
          <w:szCs w:val="18"/>
        </w:rPr>
        <w:t>0,6</w:t>
      </w:r>
      <w:r w:rsidR="00A66524">
        <w:rPr>
          <w:rFonts w:ascii="Poppins" w:hAnsi="Poppins" w:cs="Poppins"/>
          <w:sz w:val="18"/>
          <w:szCs w:val="18"/>
        </w:rPr>
        <w:t>0</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A66524">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254C76">
        <w:rPr>
          <w:rFonts w:ascii="Poppins" w:hAnsi="Poppins" w:cs="Poppins"/>
          <w:sz w:val="18"/>
          <w:szCs w:val="18"/>
        </w:rPr>
        <w:t>6</w:t>
      </w:r>
      <w:r w:rsidR="00A66524">
        <w:rPr>
          <w:rFonts w:ascii="Poppins" w:hAnsi="Poppins" w:cs="Poppins"/>
          <w:sz w:val="18"/>
          <w:szCs w:val="18"/>
        </w:rPr>
        <w:t>0</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A66524">
        <w:rPr>
          <w:rFonts w:ascii="Poppins" w:hAnsi="Poppins" w:cs="Poppins"/>
          <w:sz w:val="18"/>
          <w:szCs w:val="18"/>
        </w:rPr>
        <w:t>-</w:t>
      </w:r>
      <w:r w:rsidR="00254C76">
        <w:rPr>
          <w:rFonts w:ascii="Poppins" w:hAnsi="Poppins" w:cs="Poppins"/>
          <w:sz w:val="18"/>
          <w:szCs w:val="18"/>
        </w:rPr>
        <w:t>0,</w:t>
      </w:r>
      <w:r w:rsidR="00A66524">
        <w:rPr>
          <w:rFonts w:ascii="Poppins" w:hAnsi="Poppins" w:cs="Poppins"/>
          <w:sz w:val="18"/>
          <w:szCs w:val="18"/>
        </w:rPr>
        <w:t>55</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S-50 (</w:t>
      </w:r>
      <w:r w:rsidR="00A66524">
        <w:rPr>
          <w:rFonts w:ascii="Poppins" w:hAnsi="Poppins" w:cs="Poppins"/>
          <w:sz w:val="18"/>
          <w:szCs w:val="18"/>
        </w:rPr>
        <w:t>-</w:t>
      </w:r>
      <w:r w:rsidR="00254C76">
        <w:rPr>
          <w:rFonts w:ascii="Poppins" w:hAnsi="Poppins" w:cs="Poppins"/>
          <w:sz w:val="18"/>
          <w:szCs w:val="18"/>
        </w:rPr>
        <w:t>0,4</w:t>
      </w:r>
      <w:r w:rsidR="00A66524">
        <w:rPr>
          <w:rFonts w:ascii="Poppins" w:hAnsi="Poppins" w:cs="Poppins"/>
          <w:sz w:val="18"/>
          <w:szCs w:val="18"/>
        </w:rPr>
        <w:t>6</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A66524">
        <w:rPr>
          <w:rFonts w:ascii="Poppins" w:hAnsi="Poppins" w:cs="Poppins"/>
          <w:sz w:val="18"/>
          <w:szCs w:val="18"/>
        </w:rPr>
        <w:t>-</w:t>
      </w:r>
      <w:r w:rsidR="00254C76">
        <w:rPr>
          <w:rFonts w:ascii="Poppins" w:hAnsi="Poppins" w:cs="Poppins"/>
          <w:sz w:val="18"/>
          <w:szCs w:val="18"/>
        </w:rPr>
        <w:t>0,4</w:t>
      </w:r>
      <w:r w:rsidR="00A66524">
        <w:rPr>
          <w:rFonts w:ascii="Poppins" w:hAnsi="Poppins" w:cs="Poppins"/>
          <w:sz w:val="18"/>
          <w:szCs w:val="18"/>
        </w:rPr>
        <w:t>6</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655A5E" w:rsidRPr="00493AC4">
        <w:rPr>
          <w:rFonts w:ascii="Poppins" w:hAnsi="Poppins" w:cs="Poppins"/>
          <w:sz w:val="18"/>
          <w:szCs w:val="18"/>
        </w:rPr>
        <w:t>)</w:t>
      </w:r>
      <w:r w:rsidR="00D56576">
        <w:rPr>
          <w:rFonts w:ascii="Poppins" w:hAnsi="Poppins" w:cs="Poppins"/>
          <w:sz w:val="18"/>
          <w:szCs w:val="18"/>
        </w:rPr>
        <w:t xml:space="preserve">, 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6 </w:t>
      </w:r>
      <w:r w:rsidR="00D56576" w:rsidRPr="00493AC4">
        <w:rPr>
          <w:rFonts w:ascii="Poppins" w:hAnsi="Poppins" w:cs="Poppins"/>
          <w:sz w:val="18"/>
          <w:szCs w:val="18"/>
        </w:rPr>
        <w:t>(</w:t>
      </w:r>
      <w:r w:rsidR="00A66524">
        <w:rPr>
          <w:rFonts w:ascii="Poppins" w:hAnsi="Poppins" w:cs="Poppins"/>
          <w:sz w:val="18"/>
          <w:szCs w:val="18"/>
        </w:rPr>
        <w:t>-</w:t>
      </w:r>
      <w:r w:rsidR="00D56576" w:rsidRPr="00493AC4">
        <w:rPr>
          <w:rFonts w:ascii="Poppins" w:hAnsi="Poppins" w:cs="Poppins"/>
          <w:sz w:val="18"/>
          <w:szCs w:val="18"/>
        </w:rPr>
        <w:t>0,</w:t>
      </w:r>
      <w:r w:rsidR="00A66524">
        <w:rPr>
          <w:rFonts w:ascii="Poppins" w:hAnsi="Poppins" w:cs="Poppins"/>
          <w:sz w:val="18"/>
          <w:szCs w:val="18"/>
        </w:rPr>
        <w:t>43</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w:t>
      </w:r>
      <w:proofErr w:type="spellStart"/>
      <w:r w:rsidR="00D56576">
        <w:rPr>
          <w:rFonts w:ascii="Poppins" w:hAnsi="Poppins" w:cs="Poppins"/>
          <w:sz w:val="18"/>
          <w:szCs w:val="18"/>
        </w:rPr>
        <w:t>N°</w:t>
      </w:r>
      <w:proofErr w:type="spellEnd"/>
      <w:r w:rsidR="00254C76">
        <w:rPr>
          <w:rFonts w:ascii="Poppins" w:hAnsi="Poppins" w:cs="Poppins"/>
          <w:sz w:val="18"/>
          <w:szCs w:val="18"/>
        </w:rPr>
        <w:t xml:space="preserve"> </w:t>
      </w:r>
      <w:r w:rsidR="00D56576">
        <w:rPr>
          <w:rFonts w:ascii="Poppins" w:hAnsi="Poppins" w:cs="Poppins"/>
          <w:sz w:val="18"/>
          <w:szCs w:val="18"/>
        </w:rPr>
        <w:t xml:space="preserve">500 </w:t>
      </w:r>
      <w:r w:rsidR="00D56576" w:rsidRPr="00493AC4">
        <w:rPr>
          <w:rFonts w:ascii="Poppins" w:hAnsi="Poppins" w:cs="Poppins"/>
          <w:sz w:val="18"/>
          <w:szCs w:val="18"/>
        </w:rPr>
        <w:t>(</w:t>
      </w:r>
      <w:r w:rsidR="00A66524">
        <w:rPr>
          <w:rFonts w:ascii="Poppins" w:hAnsi="Poppins" w:cs="Poppins"/>
          <w:sz w:val="18"/>
          <w:szCs w:val="18"/>
        </w:rPr>
        <w:t>-</w:t>
      </w:r>
      <w:r w:rsidR="00D56576" w:rsidRPr="00493AC4">
        <w:rPr>
          <w:rFonts w:ascii="Poppins" w:hAnsi="Poppins" w:cs="Poppins"/>
          <w:sz w:val="18"/>
          <w:szCs w:val="18"/>
        </w:rPr>
        <w:t>0,</w:t>
      </w:r>
      <w:r w:rsidR="00A66524">
        <w:rPr>
          <w:rFonts w:ascii="Poppins" w:hAnsi="Poppins" w:cs="Poppins"/>
          <w:sz w:val="18"/>
          <w:szCs w:val="18"/>
        </w:rPr>
        <w:t>44</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9D2D574" w:rsidR="00013F5B" w:rsidRPr="00944C17" w:rsidRDefault="00944C17" w:rsidP="00944C17">
      <w:pPr>
        <w:rPr>
          <w:rFonts w:ascii="Poppins" w:hAnsi="Poppins" w:cs="Poppins"/>
          <w:sz w:val="18"/>
          <w:szCs w:val="18"/>
          <w:lang w:val="es-PE"/>
        </w:rPr>
      </w:pPr>
      <w:r>
        <w:rPr>
          <w:rFonts w:ascii="Poppins" w:hAnsi="Poppins" w:cs="Poppins"/>
          <w:sz w:val="18"/>
          <w:szCs w:val="18"/>
          <w:lang w:val="es-PE"/>
        </w:rPr>
        <w:br w:type="page"/>
      </w: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Default="00135BF0" w:rsidP="00313709">
      <w:pPr>
        <w:jc w:val="both"/>
        <w:rPr>
          <w:rFonts w:ascii="Poppins" w:hAnsi="Poppins" w:cs="Poppins"/>
          <w:sz w:val="18"/>
          <w:szCs w:val="18"/>
        </w:rPr>
      </w:pPr>
    </w:p>
    <w:p w14:paraId="578FF8B3" w14:textId="77777777" w:rsidR="006925F8" w:rsidRDefault="006925F8" w:rsidP="00313709">
      <w:pPr>
        <w:jc w:val="both"/>
        <w:rPr>
          <w:rFonts w:ascii="Poppins" w:hAnsi="Poppins" w:cs="Poppins"/>
          <w:sz w:val="18"/>
          <w:szCs w:val="18"/>
        </w:rPr>
      </w:pPr>
    </w:p>
    <w:p w14:paraId="70CDCCF6" w14:textId="77777777" w:rsidR="006925F8" w:rsidRDefault="006925F8" w:rsidP="00313709">
      <w:pPr>
        <w:jc w:val="both"/>
        <w:rPr>
          <w:rFonts w:ascii="Poppins" w:hAnsi="Poppins" w:cs="Poppins"/>
          <w:sz w:val="18"/>
          <w:szCs w:val="18"/>
        </w:rPr>
      </w:pPr>
    </w:p>
    <w:p w14:paraId="15F7A1F8" w14:textId="77777777" w:rsidR="006925F8" w:rsidRPr="0096213B" w:rsidRDefault="006925F8"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7F2AD1F"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91646E">
        <w:rPr>
          <w:rFonts w:ascii="Poppins" w:hAnsi="Poppins" w:cs="Poppins"/>
          <w:sz w:val="18"/>
          <w:szCs w:val="18"/>
        </w:rPr>
        <w:t>2</w:t>
      </w:r>
      <w:r w:rsidR="00A66524">
        <w:rPr>
          <w:rFonts w:ascii="Poppins" w:hAnsi="Poppins" w:cs="Poppins"/>
          <w:sz w:val="18"/>
          <w:szCs w:val="18"/>
        </w:rPr>
        <w:t>7</w:t>
      </w:r>
      <w:r w:rsidR="00E7305B">
        <w:rPr>
          <w:rFonts w:ascii="Poppins" w:hAnsi="Poppins" w:cs="Poppins"/>
          <w:sz w:val="18"/>
          <w:szCs w:val="18"/>
        </w:rPr>
        <w:t>/</w:t>
      </w:r>
      <w:r w:rsidR="006B489A">
        <w:rPr>
          <w:rFonts w:ascii="Poppins" w:hAnsi="Poppins" w:cs="Poppins"/>
          <w:sz w:val="18"/>
          <w:szCs w:val="18"/>
        </w:rPr>
        <w:t>0</w:t>
      </w:r>
      <w:r w:rsidR="00135BF0">
        <w:rPr>
          <w:rFonts w:ascii="Poppins" w:hAnsi="Poppins" w:cs="Poppins"/>
          <w:sz w:val="18"/>
          <w:szCs w:val="18"/>
        </w:rPr>
        <w:t>7</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A66524">
        <w:rPr>
          <w:rFonts w:ascii="Poppins" w:hAnsi="Poppins" w:cs="Poppins"/>
          <w:sz w:val="18"/>
          <w:szCs w:val="18"/>
        </w:rPr>
        <w:t>07</w:t>
      </w:r>
      <w:r w:rsidR="00336251" w:rsidRPr="0096213B">
        <w:rPr>
          <w:rFonts w:ascii="Poppins" w:hAnsi="Poppins" w:cs="Poppins"/>
          <w:sz w:val="18"/>
          <w:szCs w:val="18"/>
        </w:rPr>
        <w:t>/</w:t>
      </w:r>
      <w:r w:rsidR="005151B0">
        <w:rPr>
          <w:rFonts w:ascii="Poppins" w:hAnsi="Poppins" w:cs="Poppins"/>
          <w:sz w:val="18"/>
          <w:szCs w:val="18"/>
        </w:rPr>
        <w:t>0</w:t>
      </w:r>
      <w:r w:rsidR="00A66524">
        <w:rPr>
          <w:rFonts w:ascii="Poppins" w:hAnsi="Poppins" w:cs="Poppins"/>
          <w:sz w:val="18"/>
          <w:szCs w:val="18"/>
        </w:rPr>
        <w:t>8</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0091646E">
        <w:rPr>
          <w:rFonts w:ascii="Poppins" w:hAnsi="Poppins" w:cs="Poppins"/>
          <w:sz w:val="18"/>
          <w:szCs w:val="18"/>
        </w:rPr>
        <w:t>.</w:t>
      </w: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7C56FD8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C2C8B">
        <w:rPr>
          <w:rFonts w:ascii="Poppins" w:hAnsi="Poppins" w:cs="Poppins"/>
          <w:b/>
          <w:bCs/>
          <w:i/>
          <w:sz w:val="18"/>
          <w:szCs w:val="18"/>
          <w:lang w:eastAsia="es-PE"/>
        </w:rPr>
        <w:t>1</w:t>
      </w:r>
      <w:r w:rsidR="001E25D0">
        <w:rPr>
          <w:rFonts w:ascii="Poppins" w:hAnsi="Poppins" w:cs="Poppins"/>
          <w:b/>
          <w:bCs/>
          <w:i/>
          <w:sz w:val="18"/>
          <w:szCs w:val="18"/>
          <w:lang w:eastAsia="es-PE"/>
        </w:rPr>
        <w:t>0</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1E25D0">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4A9F6919" w14:textId="1B3955D8" w:rsidR="0091646E" w:rsidRDefault="00DC2C8B" w:rsidP="00A86191">
      <w:pPr>
        <w:spacing w:line="360" w:lineRule="auto"/>
        <w:ind w:right="49"/>
        <w:jc w:val="both"/>
        <w:rPr>
          <w:rFonts w:ascii="Poppins" w:eastAsia="Calibri" w:hAnsi="Poppins" w:cs="Poppins"/>
          <w:b/>
          <w:i/>
          <w:sz w:val="12"/>
          <w:szCs w:val="12"/>
        </w:rPr>
      </w:pPr>
      <w:r>
        <w:rPr>
          <w:rFonts w:ascii="Poppins" w:eastAsia="Calibri" w:hAnsi="Poppins" w:cs="Poppins"/>
          <w:b/>
          <w:i/>
          <w:noProof/>
          <w:sz w:val="12"/>
          <w:szCs w:val="12"/>
        </w:rPr>
        <w:drawing>
          <wp:inline distT="0" distB="0" distL="0" distR="0" wp14:anchorId="66CA7543" wp14:editId="5D93983F">
            <wp:extent cx="5486212" cy="2895600"/>
            <wp:effectExtent l="0" t="0" r="635" b="0"/>
            <wp:docPr id="10748468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4792" cy="2921240"/>
                    </a:xfrm>
                    <a:prstGeom prst="rect">
                      <a:avLst/>
                    </a:prstGeom>
                    <a:noFill/>
                  </pic:spPr>
                </pic:pic>
              </a:graphicData>
            </a:graphic>
          </wp:inline>
        </w:drawing>
      </w:r>
    </w:p>
    <w:p w14:paraId="6F543033" w14:textId="1DEDE60E"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E1E0889"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A2967">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925F8">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2814E9">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w:t>
      </w:r>
      <w:r w:rsidR="00FA2967">
        <w:rPr>
          <w:rFonts w:ascii="Poppins" w:hAnsi="Poppins" w:cs="Poppins"/>
          <w:sz w:val="18"/>
          <w:szCs w:val="18"/>
        </w:rPr>
        <w:t xml:space="preserve"> respectivamente,</w:t>
      </w:r>
      <w:r w:rsidRPr="0096213B">
        <w:rPr>
          <w:rFonts w:ascii="Poppins" w:hAnsi="Poppins" w:cs="Poppins"/>
          <w:sz w:val="18"/>
          <w:szCs w:val="18"/>
        </w:rPr>
        <w:t xml:space="preserve"> </w:t>
      </w:r>
      <w:r w:rsidR="0005557A">
        <w:rPr>
          <w:rFonts w:ascii="Poppins" w:hAnsi="Poppins" w:cs="Poppins"/>
          <w:sz w:val="18"/>
          <w:szCs w:val="18"/>
        </w:rPr>
        <w:t>8</w:t>
      </w:r>
      <w:r w:rsidR="00FA2967">
        <w:rPr>
          <w:rFonts w:ascii="Poppins" w:hAnsi="Poppins" w:cs="Poppins"/>
          <w:sz w:val="18"/>
          <w:szCs w:val="18"/>
        </w:rPr>
        <w:t>3</w:t>
      </w:r>
      <w:r w:rsidR="0005557A">
        <w:rPr>
          <w:rFonts w:ascii="Poppins" w:hAnsi="Poppins" w:cs="Poppins"/>
          <w:sz w:val="18"/>
          <w:szCs w:val="18"/>
        </w:rPr>
        <w:t>%</w:t>
      </w:r>
      <w:r w:rsidR="00FA2967">
        <w:rPr>
          <w:rFonts w:ascii="Poppins" w:hAnsi="Poppins" w:cs="Poppins"/>
          <w:sz w:val="18"/>
          <w:szCs w:val="18"/>
        </w:rPr>
        <w:t xml:space="preserve"> y 82%</w:t>
      </w:r>
      <w:r w:rsidR="003118CE">
        <w:rPr>
          <w:rFonts w:ascii="Poppins" w:hAnsi="Poppins" w:cs="Poppins"/>
          <w:sz w:val="18"/>
          <w:szCs w:val="18"/>
        </w:rPr>
        <w:t xml:space="preserve"> </w:t>
      </w:r>
      <w:r w:rsidRPr="0096213B">
        <w:rPr>
          <w:rFonts w:ascii="Poppins" w:hAnsi="Poppins" w:cs="Poppins"/>
          <w:sz w:val="18"/>
          <w:szCs w:val="18"/>
        </w:rPr>
        <w:t>del precio de los residuales R6 y R500</w:t>
      </w:r>
      <w:r w:rsidR="00FA2967">
        <w:rPr>
          <w:rFonts w:ascii="Poppins" w:hAnsi="Poppins" w:cs="Poppins"/>
          <w:sz w:val="18"/>
          <w:szCs w:val="18"/>
        </w:rPr>
        <w:t>, respectivamente</w:t>
      </w:r>
      <w:r w:rsidRPr="0096213B">
        <w:rPr>
          <w:rFonts w:ascii="Poppins" w:hAnsi="Poppins" w:cs="Poppins"/>
          <w:sz w:val="18"/>
          <w:szCs w:val="18"/>
        </w:rPr>
        <w:t xml:space="preserve">; y fue igual o superior al </w:t>
      </w:r>
      <w:r w:rsidR="00530DC3">
        <w:rPr>
          <w:rFonts w:ascii="Poppins" w:hAnsi="Poppins" w:cs="Poppins"/>
          <w:sz w:val="18"/>
          <w:szCs w:val="18"/>
        </w:rPr>
        <w:t>8</w:t>
      </w:r>
      <w:r w:rsidR="00FA2967">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72D5BC6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DC2C8B">
        <w:rPr>
          <w:rFonts w:ascii="Poppins" w:hAnsi="Poppins" w:cs="Poppins"/>
          <w:sz w:val="18"/>
          <w:szCs w:val="18"/>
        </w:rPr>
        <w:t>1</w:t>
      </w:r>
      <w:r w:rsidR="00FA2967">
        <w:rPr>
          <w:rFonts w:ascii="Poppins" w:hAnsi="Poppins" w:cs="Poppins"/>
          <w:sz w:val="18"/>
          <w:szCs w:val="18"/>
        </w:rPr>
        <w:t>0</w:t>
      </w:r>
      <w:r w:rsidR="00F07057">
        <w:rPr>
          <w:rFonts w:ascii="Poppins" w:hAnsi="Poppins" w:cs="Poppins"/>
          <w:sz w:val="18"/>
          <w:szCs w:val="18"/>
        </w:rPr>
        <w:t xml:space="preserve"> </w:t>
      </w:r>
      <w:r w:rsidRPr="0096213B">
        <w:rPr>
          <w:rFonts w:ascii="Poppins" w:hAnsi="Poppins" w:cs="Poppins"/>
          <w:sz w:val="18"/>
          <w:szCs w:val="18"/>
        </w:rPr>
        <w:t xml:space="preserve">de </w:t>
      </w:r>
      <w:r w:rsidR="00FA2967">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EAEDA4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66524">
        <w:rPr>
          <w:rFonts w:ascii="Poppins" w:hAnsi="Poppins" w:cs="Poppins"/>
          <w:sz w:val="18"/>
          <w:szCs w:val="18"/>
        </w:rPr>
        <w:t>3</w:t>
      </w:r>
      <w:r w:rsidR="00EB1667">
        <w:rPr>
          <w:rFonts w:ascii="Poppins" w:hAnsi="Poppins" w:cs="Poppins"/>
          <w:sz w:val="18"/>
          <w:szCs w:val="18"/>
        </w:rPr>
        <w:t>,</w:t>
      </w:r>
      <w:r w:rsidR="00A66524">
        <w:rPr>
          <w:rFonts w:ascii="Poppins" w:hAnsi="Poppins" w:cs="Poppins"/>
          <w:sz w:val="18"/>
          <w:szCs w:val="18"/>
        </w:rPr>
        <w:t>76</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A66524">
        <w:rPr>
          <w:rFonts w:ascii="Poppins" w:hAnsi="Poppins" w:cs="Poppins"/>
          <w:sz w:val="18"/>
          <w:szCs w:val="18"/>
        </w:rPr>
        <w:t>58</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DA64CF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B54588">
        <w:rPr>
          <w:rFonts w:ascii="Poppins" w:hAnsi="Poppins" w:cs="Poppins"/>
          <w:sz w:val="18"/>
          <w:szCs w:val="18"/>
        </w:rPr>
        <w:t>4,</w:t>
      </w:r>
      <w:r w:rsidR="00F143E2">
        <w:rPr>
          <w:rFonts w:ascii="Poppins" w:hAnsi="Poppins" w:cs="Poppins"/>
          <w:sz w:val="18"/>
          <w:szCs w:val="18"/>
        </w:rPr>
        <w:t>36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9804DE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F143E2">
        <w:rPr>
          <w:rFonts w:ascii="Poppins" w:hAnsi="Poppins" w:cs="Poppins"/>
          <w:sz w:val="18"/>
          <w:szCs w:val="18"/>
        </w:rPr>
        <w:t>07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F143E2">
        <w:rPr>
          <w:rFonts w:ascii="Poppins" w:hAnsi="Poppins" w:cs="Poppins"/>
          <w:sz w:val="18"/>
          <w:szCs w:val="18"/>
        </w:rPr>
        <w:t>88</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68AF178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F143E2">
        <w:rPr>
          <w:rFonts w:ascii="Poppins" w:hAnsi="Poppins" w:cs="Poppins"/>
          <w:sz w:val="18"/>
          <w:szCs w:val="18"/>
        </w:rPr>
        <w:t>32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w:t>
      </w:r>
      <w:r w:rsidR="00B54588">
        <w:rPr>
          <w:rFonts w:ascii="Poppins" w:hAnsi="Poppins" w:cs="Poppins"/>
          <w:sz w:val="18"/>
          <w:szCs w:val="18"/>
        </w:rPr>
        <w:t>2,</w:t>
      </w:r>
      <w:r w:rsidR="00F143E2">
        <w:rPr>
          <w:rFonts w:ascii="Poppins" w:hAnsi="Poppins" w:cs="Poppins"/>
          <w:sz w:val="18"/>
          <w:szCs w:val="18"/>
        </w:rPr>
        <w:t>48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120EE43"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B54588">
        <w:rPr>
          <w:rFonts w:ascii="Poppins" w:hAnsi="Poppins" w:cs="Poppins"/>
          <w:sz w:val="18"/>
          <w:szCs w:val="18"/>
        </w:rPr>
        <w:t>4,</w:t>
      </w:r>
      <w:r w:rsidR="00F143E2">
        <w:rPr>
          <w:rFonts w:ascii="Poppins" w:hAnsi="Poppins" w:cs="Poppins"/>
          <w:sz w:val="18"/>
          <w:szCs w:val="18"/>
        </w:rPr>
        <w:t>36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18E61021"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6925F8">
        <w:rPr>
          <w:rFonts w:ascii="Poppins" w:hAnsi="Poppins" w:cs="Poppins"/>
          <w:bCs/>
          <w:sz w:val="18"/>
          <w:szCs w:val="18"/>
        </w:rPr>
        <w:t>4</w:t>
      </w:r>
      <w:r w:rsidRPr="004C5B09">
        <w:rPr>
          <w:rFonts w:ascii="Poppins" w:hAnsi="Poppins" w:cs="Poppins"/>
          <w:bCs/>
          <w:sz w:val="18"/>
          <w:szCs w:val="18"/>
        </w:rPr>
        <w:t>,</w:t>
      </w:r>
      <w:r w:rsidR="00F143E2">
        <w:rPr>
          <w:rFonts w:ascii="Poppins" w:hAnsi="Poppins" w:cs="Poppins"/>
          <w:bCs/>
          <w:sz w:val="18"/>
          <w:szCs w:val="18"/>
        </w:rPr>
        <w:t>10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C9C313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041DC0">
        <w:rPr>
          <w:rFonts w:ascii="Poppins" w:hAnsi="Poppins" w:cs="Poppins"/>
          <w:sz w:val="18"/>
          <w:szCs w:val="18"/>
        </w:rPr>
        <w:t>4</w:t>
      </w:r>
      <w:r w:rsidR="003F2A3A">
        <w:rPr>
          <w:rFonts w:ascii="Poppins" w:hAnsi="Poppins" w:cs="Poppins"/>
          <w:sz w:val="18"/>
          <w:szCs w:val="18"/>
        </w:rPr>
        <w:t>,</w:t>
      </w:r>
      <w:r w:rsidR="006925F8">
        <w:rPr>
          <w:rFonts w:ascii="Poppins" w:hAnsi="Poppins" w:cs="Poppins"/>
          <w:sz w:val="18"/>
          <w:szCs w:val="18"/>
        </w:rPr>
        <w:t>5</w:t>
      </w:r>
      <w:r w:rsidR="00F143E2">
        <w:rPr>
          <w:rFonts w:ascii="Poppins" w:hAnsi="Poppins" w:cs="Poppins"/>
          <w:sz w:val="18"/>
          <w:szCs w:val="18"/>
        </w:rPr>
        <w:t>5</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4B2634A3" w14:textId="792EF568" w:rsidR="00CD6A33" w:rsidRDefault="00CB3778" w:rsidP="004F74EE">
      <w:pPr>
        <w:jc w:val="both"/>
        <w:rPr>
          <w:rFonts w:ascii="Poppins" w:hAnsi="Poppins" w:cs="Poppins"/>
          <w:sz w:val="18"/>
          <w:szCs w:val="18"/>
          <w:u w:val="single"/>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r w:rsidR="00884C25">
        <w:rPr>
          <w:rFonts w:ascii="Poppins" w:hAnsi="Poppins" w:cs="Poppins"/>
          <w:sz w:val="18"/>
          <w:szCs w:val="18"/>
          <w:lang w:eastAsia="en-US"/>
        </w:rPr>
        <w:t xml:space="preserve"> </w:t>
      </w:r>
      <w:r w:rsidR="006B7746" w:rsidRPr="006B7746">
        <w:rPr>
          <w:rFonts w:ascii="Poppins" w:hAnsi="Poppins" w:cs="Poppins"/>
          <w:sz w:val="18"/>
          <w:szCs w:val="18"/>
          <w:lang w:eastAsia="en-US"/>
        </w:rPr>
        <w:t>En ese contexto, de las diez cotizaciones comprendidas entre el 20 y el 31 de julio consideradas en el presente reporte, únicamente las correspondientes al 30 y 31 de julio registraron demoras superiores al umbral. Por tanto, los valores de flete utilizados para la presente semana incorporan el costo por demora para las cotizaciones que no superaron dicho umbral y, para las correspondientes al 30 y 31 de julio, el costo asociado a la priorización del cruce por el Canal de Panamá mediante subastas.</w:t>
      </w:r>
      <w:r w:rsidR="00CD6A33" w:rsidRPr="00CD6A33">
        <w:rPr>
          <w:rFonts w:ascii="Poppins" w:hAnsi="Poppins" w:cs="Poppins"/>
          <w:sz w:val="18"/>
          <w:szCs w:val="18"/>
          <w:lang w:eastAsia="en-US"/>
        </w:rPr>
        <w:t xml:space="preserve"> Como resultado, los costos considerados ascienden a </w:t>
      </w:r>
      <w:r w:rsidR="008A2049">
        <w:rPr>
          <w:rFonts w:ascii="Poppins" w:hAnsi="Poppins" w:cs="Poppins"/>
          <w:sz w:val="18"/>
          <w:szCs w:val="18"/>
          <w:lang w:eastAsia="en-US"/>
        </w:rPr>
        <w:t>0</w:t>
      </w:r>
      <w:r w:rsidR="00CD6A33" w:rsidRPr="00CD6A33">
        <w:rPr>
          <w:rFonts w:ascii="Poppins" w:hAnsi="Poppins" w:cs="Poppins"/>
          <w:sz w:val="18"/>
          <w:szCs w:val="18"/>
          <w:lang w:eastAsia="en-US"/>
        </w:rPr>
        <w:t>,</w:t>
      </w:r>
      <w:r w:rsidR="00F143E2">
        <w:rPr>
          <w:rFonts w:ascii="Poppins" w:hAnsi="Poppins" w:cs="Poppins"/>
          <w:sz w:val="18"/>
          <w:szCs w:val="18"/>
          <w:lang w:eastAsia="en-US"/>
        </w:rPr>
        <w:t>88</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w:t>
      </w:r>
      <w:r w:rsidR="00F143E2">
        <w:rPr>
          <w:rFonts w:ascii="Poppins" w:hAnsi="Poppins" w:cs="Poppins"/>
          <w:sz w:val="18"/>
          <w:szCs w:val="18"/>
          <w:lang w:eastAsia="en-US"/>
        </w:rPr>
        <w:t>1</w:t>
      </w:r>
      <w:r w:rsidR="002814E9">
        <w:rPr>
          <w:rFonts w:ascii="Poppins" w:hAnsi="Poppins" w:cs="Poppins"/>
          <w:sz w:val="18"/>
          <w:szCs w:val="18"/>
          <w:lang w:eastAsia="en-US"/>
        </w:rPr>
        <w:t>,</w:t>
      </w:r>
      <w:r w:rsidR="0009738E">
        <w:rPr>
          <w:rFonts w:ascii="Poppins" w:hAnsi="Poppins" w:cs="Poppins"/>
          <w:sz w:val="18"/>
          <w:szCs w:val="18"/>
          <w:lang w:eastAsia="en-US"/>
        </w:rPr>
        <w:t>6</w:t>
      </w:r>
      <w:r w:rsidR="00F143E2">
        <w:rPr>
          <w:rFonts w:ascii="Poppins" w:hAnsi="Poppins" w:cs="Poppins"/>
          <w:sz w:val="18"/>
          <w:szCs w:val="18"/>
          <w:lang w:eastAsia="en-US"/>
        </w:rPr>
        <w:t>6</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las gasolinas y </w:t>
      </w:r>
      <w:r w:rsidR="00F143E2">
        <w:rPr>
          <w:rFonts w:ascii="Poppins" w:hAnsi="Poppins" w:cs="Poppins"/>
          <w:sz w:val="18"/>
          <w:szCs w:val="18"/>
          <w:lang w:eastAsia="en-US"/>
        </w:rPr>
        <w:t>1</w:t>
      </w:r>
      <w:r w:rsidR="00CD6A33" w:rsidRPr="00CD6A33">
        <w:rPr>
          <w:rFonts w:ascii="Poppins" w:hAnsi="Poppins" w:cs="Poppins"/>
          <w:sz w:val="18"/>
          <w:szCs w:val="18"/>
          <w:lang w:eastAsia="en-US"/>
        </w:rPr>
        <w:t>,</w:t>
      </w:r>
      <w:r w:rsidR="0009738E">
        <w:rPr>
          <w:rFonts w:ascii="Poppins" w:hAnsi="Poppins" w:cs="Poppins"/>
          <w:sz w:val="18"/>
          <w:szCs w:val="18"/>
          <w:lang w:eastAsia="en-US"/>
        </w:rPr>
        <w:t>6</w:t>
      </w:r>
      <w:r w:rsidR="00F143E2">
        <w:rPr>
          <w:rFonts w:ascii="Poppins" w:hAnsi="Poppins" w:cs="Poppins"/>
          <w:sz w:val="18"/>
          <w:szCs w:val="18"/>
          <w:lang w:eastAsia="en-US"/>
        </w:rPr>
        <w:t>6</w:t>
      </w:r>
      <w:r w:rsidR="00CD6A33" w:rsidRPr="00CD6A33">
        <w:rPr>
          <w:rFonts w:ascii="Poppins" w:hAnsi="Poppins" w:cs="Poppins"/>
          <w:sz w:val="18"/>
          <w:szCs w:val="18"/>
          <w:lang w:eastAsia="en-US"/>
        </w:rPr>
        <w:t xml:space="preserve"> US$/</w:t>
      </w:r>
      <w:proofErr w:type="spellStart"/>
      <w:r w:rsidR="00CD6A33" w:rsidRPr="00CD6A33">
        <w:rPr>
          <w:rFonts w:ascii="Poppins" w:hAnsi="Poppins" w:cs="Poppins"/>
          <w:sz w:val="18"/>
          <w:szCs w:val="18"/>
          <w:lang w:eastAsia="en-US"/>
        </w:rPr>
        <w:t>Bl</w:t>
      </w:r>
      <w:proofErr w:type="spellEnd"/>
      <w:r w:rsidR="00CD6A33"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F90D8B">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6D41EEE2" w:rsidR="006B489A" w:rsidRPr="00F90D8B"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DC2C8B" w:rsidRPr="00DC2C8B">
              <w:rPr>
                <w:rFonts w:ascii="Poppins" w:hAnsi="Poppins" w:cs="Poppins"/>
                <w:i/>
                <w:iCs/>
                <w:noProof/>
                <w:sz w:val="14"/>
                <w:szCs w:val="14"/>
                <w:lang w:val="es-MX" w:eastAsia="en-US"/>
              </w:rPr>
              <w:drawing>
                <wp:inline distT="0" distB="0" distL="0" distR="0" wp14:anchorId="3AACC11A" wp14:editId="2B90CE2A">
                  <wp:extent cx="8172450" cy="3000375"/>
                  <wp:effectExtent l="0" t="0" r="0" b="9525"/>
                  <wp:docPr id="168244930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72450" cy="300037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A0C4E">
        <w:trPr>
          <w:trHeight w:val="4509"/>
        </w:trPr>
        <w:tc>
          <w:tcPr>
            <w:tcW w:w="5758" w:type="dxa"/>
            <w:tcBorders>
              <w:top w:val="single" w:sz="4" w:space="0" w:color="auto"/>
              <w:bottom w:val="single" w:sz="4" w:space="0" w:color="auto"/>
            </w:tcBorders>
          </w:tcPr>
          <w:p w14:paraId="5FE1CE67" w14:textId="5EFE071A" w:rsidR="000F7442" w:rsidRPr="0096213B" w:rsidRDefault="00DC2C8B" w:rsidP="000F7442">
            <w:pPr>
              <w:jc w:val="center"/>
              <w:rPr>
                <w:rFonts w:ascii="Poppins" w:hAnsi="Poppins" w:cs="Poppins"/>
                <w:sz w:val="8"/>
                <w:szCs w:val="20"/>
              </w:rPr>
            </w:pPr>
            <w:r w:rsidRPr="00DC2C8B">
              <w:rPr>
                <w:rFonts w:ascii="Poppins" w:hAnsi="Poppins" w:cs="Poppins"/>
                <w:noProof/>
                <w:sz w:val="8"/>
                <w:szCs w:val="20"/>
              </w:rPr>
              <w:drawing>
                <wp:inline distT="0" distB="0" distL="0" distR="0" wp14:anchorId="7291CD37" wp14:editId="6FBDCA12">
                  <wp:extent cx="3562350" cy="2838450"/>
                  <wp:effectExtent l="0" t="0" r="0" b="0"/>
                  <wp:docPr id="5628497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0E53FC8E" w:rsidR="00EF3BE9" w:rsidRPr="0096213B" w:rsidRDefault="00DC2C8B"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EA1BEC7" wp14:editId="7940A9F0">
                  <wp:extent cx="5309870" cy="2838450"/>
                  <wp:effectExtent l="0" t="0" r="5080" b="0"/>
                  <wp:docPr id="119736524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5871" cy="284700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A9D154A" w:rsidR="00551F16" w:rsidRPr="0096213B" w:rsidRDefault="007327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3278E">
        <w:drawing>
          <wp:inline distT="0" distB="0" distL="0" distR="0" wp14:anchorId="720517BE" wp14:editId="2CFB645B">
            <wp:extent cx="5686425" cy="2347595"/>
            <wp:effectExtent l="0" t="0" r="9525" b="0"/>
            <wp:docPr id="1458509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6425"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56CC185" w:rsidR="00F70B88" w:rsidRDefault="007D3D9A" w:rsidP="00604758">
      <w:pPr>
        <w:spacing w:line="0" w:lineRule="atLeast"/>
        <w:ind w:right="-567"/>
        <w:jc w:val="both"/>
        <w:rPr>
          <w:rFonts w:ascii="Poppins" w:hAnsi="Poppins" w:cs="Poppins"/>
          <w:noProof/>
          <w:sz w:val="20"/>
          <w:szCs w:val="20"/>
        </w:rPr>
      </w:pPr>
      <w:r w:rsidRPr="007D3D9A">
        <w:rPr>
          <w:noProof/>
        </w:rPr>
        <w:drawing>
          <wp:inline distT="0" distB="0" distL="0" distR="0" wp14:anchorId="6B69F16B" wp14:editId="62329174">
            <wp:extent cx="5848350" cy="2324100"/>
            <wp:effectExtent l="0" t="0" r="0" b="0"/>
            <wp:docPr id="151293694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6167" cy="2327206"/>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50191C1C" w:rsidR="005207D4" w:rsidRPr="0096213B" w:rsidRDefault="007D3D9A" w:rsidP="006220EA">
      <w:pPr>
        <w:rPr>
          <w:rFonts w:ascii="Poppins" w:hAnsi="Poppins" w:cs="Poppins"/>
          <w:i/>
          <w:sz w:val="14"/>
          <w:szCs w:val="14"/>
        </w:rPr>
      </w:pPr>
      <w:r w:rsidRPr="007D3D9A">
        <w:rPr>
          <w:noProof/>
        </w:rPr>
        <w:drawing>
          <wp:inline distT="0" distB="0" distL="0" distR="0" wp14:anchorId="5C003BA9" wp14:editId="767637C9">
            <wp:extent cx="5850255" cy="7505934"/>
            <wp:effectExtent l="0" t="0" r="0" b="0"/>
            <wp:docPr id="10417419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1715" cy="7507807"/>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D2D441D" w:rsidR="005048C1" w:rsidRPr="0096213B" w:rsidRDefault="00F91202" w:rsidP="005048C1">
      <w:pPr>
        <w:jc w:val="both"/>
        <w:rPr>
          <w:rFonts w:ascii="Poppins" w:hAnsi="Poppins" w:cs="Poppins"/>
          <w:i/>
          <w:iCs/>
          <w:sz w:val="12"/>
          <w:szCs w:val="12"/>
        </w:rPr>
      </w:pPr>
      <w:r>
        <w:t xml:space="preserve">                       </w:t>
      </w:r>
      <w:r w:rsidR="007D3D9A" w:rsidRPr="007D3D9A">
        <w:rPr>
          <w:noProof/>
        </w:rPr>
        <w:drawing>
          <wp:inline distT="0" distB="0" distL="0" distR="0" wp14:anchorId="6087D627" wp14:editId="066F2A36">
            <wp:extent cx="5849620" cy="6572250"/>
            <wp:effectExtent l="0" t="0" r="0" b="0"/>
            <wp:docPr id="117070479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2224" cy="657517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20391F31" w:rsidR="00AA374B" w:rsidRDefault="00397549" w:rsidP="00842A58">
      <w:pPr>
        <w:pStyle w:val="xl37"/>
        <w:tabs>
          <w:tab w:val="left" w:pos="180"/>
        </w:tabs>
        <w:spacing w:before="0" w:beforeAutospacing="0" w:after="0" w:afterAutospacing="0"/>
        <w:jc w:val="center"/>
        <w:rPr>
          <w:noProof/>
        </w:rPr>
      </w:pPr>
      <w:r>
        <w:rPr>
          <w:noProof/>
        </w:rPr>
        <w:drawing>
          <wp:inline distT="0" distB="0" distL="0" distR="0" wp14:anchorId="49318ABD" wp14:editId="470156A4">
            <wp:extent cx="4552880" cy="3232693"/>
            <wp:effectExtent l="0" t="0" r="635" b="6350"/>
            <wp:docPr id="5222601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60243" cy="3237921"/>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1687D468" w:rsidR="006C0944" w:rsidRDefault="00397549" w:rsidP="00373E46">
      <w:pPr>
        <w:pStyle w:val="xl37"/>
        <w:tabs>
          <w:tab w:val="left" w:pos="180"/>
        </w:tabs>
        <w:spacing w:before="0" w:beforeAutospacing="0" w:after="0" w:afterAutospacing="0"/>
        <w:jc w:val="center"/>
        <w:rPr>
          <w:noProof/>
        </w:rPr>
      </w:pPr>
      <w:r>
        <w:rPr>
          <w:noProof/>
        </w:rPr>
        <w:drawing>
          <wp:inline distT="0" distB="0" distL="0" distR="0" wp14:anchorId="35C1B305" wp14:editId="411BD7DC">
            <wp:extent cx="4652668" cy="3252429"/>
            <wp:effectExtent l="0" t="0" r="0" b="5715"/>
            <wp:docPr id="7700037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74403" cy="3267623"/>
                    </a:xfrm>
                    <a:prstGeom prst="rect">
                      <a:avLst/>
                    </a:prstGeom>
                    <a:noFill/>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7E97360D" w:rsidR="00BF0152" w:rsidRDefault="00397549" w:rsidP="00373E46">
      <w:pPr>
        <w:pStyle w:val="xl37"/>
        <w:tabs>
          <w:tab w:val="left" w:pos="180"/>
        </w:tabs>
        <w:spacing w:before="0" w:beforeAutospacing="0" w:after="0" w:afterAutospacing="0"/>
        <w:jc w:val="center"/>
        <w:rPr>
          <w:noProof/>
        </w:rPr>
      </w:pPr>
      <w:r>
        <w:rPr>
          <w:noProof/>
        </w:rPr>
        <w:drawing>
          <wp:inline distT="0" distB="0" distL="0" distR="0" wp14:anchorId="3690DE3E" wp14:editId="121154F4">
            <wp:extent cx="4605655" cy="3280047"/>
            <wp:effectExtent l="0" t="0" r="4445" b="0"/>
            <wp:docPr id="114129105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17060" cy="3288170"/>
                    </a:xfrm>
                    <a:prstGeom prst="rect">
                      <a:avLst/>
                    </a:prstGeom>
                    <a:noFill/>
                  </pic:spPr>
                </pic:pic>
              </a:graphicData>
            </a:graphic>
          </wp:inline>
        </w:drawing>
      </w:r>
    </w:p>
    <w:p w14:paraId="7D1019A4" w14:textId="77777777" w:rsidR="00C6521A" w:rsidRDefault="00C6521A" w:rsidP="00373E46">
      <w:pPr>
        <w:pStyle w:val="xl37"/>
        <w:tabs>
          <w:tab w:val="left" w:pos="180"/>
        </w:tabs>
        <w:spacing w:before="0" w:beforeAutospacing="0" w:after="0" w:afterAutospacing="0"/>
        <w:jc w:val="center"/>
        <w:rPr>
          <w:noProof/>
        </w:rPr>
      </w:pPr>
    </w:p>
    <w:p w14:paraId="43E1B340" w14:textId="77777777" w:rsidR="00C6521A" w:rsidRDefault="00C6521A" w:rsidP="00373E46">
      <w:pPr>
        <w:pStyle w:val="xl37"/>
        <w:tabs>
          <w:tab w:val="left" w:pos="180"/>
        </w:tabs>
        <w:spacing w:before="0" w:beforeAutospacing="0" w:after="0" w:afterAutospacing="0"/>
        <w:jc w:val="center"/>
        <w:rPr>
          <w:noProof/>
        </w:rPr>
      </w:pPr>
    </w:p>
    <w:p w14:paraId="43FA7DC4" w14:textId="4428AFEB" w:rsidR="00C6521A" w:rsidRDefault="00397549" w:rsidP="00373E46">
      <w:pPr>
        <w:pStyle w:val="xl37"/>
        <w:tabs>
          <w:tab w:val="left" w:pos="180"/>
        </w:tabs>
        <w:spacing w:before="0" w:beforeAutospacing="0" w:after="0" w:afterAutospacing="0"/>
        <w:jc w:val="center"/>
        <w:rPr>
          <w:noProof/>
        </w:rPr>
      </w:pPr>
      <w:r>
        <w:rPr>
          <w:noProof/>
        </w:rPr>
        <w:drawing>
          <wp:inline distT="0" distB="0" distL="0" distR="0" wp14:anchorId="23120654" wp14:editId="5FA2396E">
            <wp:extent cx="4701540" cy="3560492"/>
            <wp:effectExtent l="0" t="0" r="3810" b="1905"/>
            <wp:docPr id="34490456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14746" cy="3570493"/>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DF5DB7F" w14:textId="77777777" w:rsidR="00C6521A" w:rsidRDefault="00C6521A"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304D27ED" w:rsidR="009D455B" w:rsidRDefault="009D455B"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61512" w14:textId="77777777" w:rsidR="00692EBA" w:rsidRDefault="00692EBA" w:rsidP="006502B5">
      <w:r>
        <w:separator/>
      </w:r>
    </w:p>
  </w:endnote>
  <w:endnote w:type="continuationSeparator" w:id="0">
    <w:p w14:paraId="29AEC265" w14:textId="77777777" w:rsidR="00692EBA" w:rsidRDefault="00692EBA"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2C7E99" w14:textId="77777777" w:rsidR="00692EBA" w:rsidRDefault="00692EBA" w:rsidP="006502B5">
      <w:r>
        <w:separator/>
      </w:r>
    </w:p>
  </w:footnote>
  <w:footnote w:type="continuationSeparator" w:id="0">
    <w:p w14:paraId="0380AD09" w14:textId="77777777" w:rsidR="00692EBA" w:rsidRDefault="00692EBA"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F080CCF"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6A49">
            <w:rPr>
              <w:rFonts w:ascii="Poppins" w:hAnsi="Poppins" w:cs="Poppins"/>
              <w:b/>
              <w:sz w:val="22"/>
              <w:szCs w:val="22"/>
              <w:lang w:val="it-IT"/>
            </w:rPr>
            <w:t>3</w:t>
          </w:r>
          <w:r w:rsidR="003612C3">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8AA3B3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0263F">
            <w:rPr>
              <w:rFonts w:ascii="Poppins" w:hAnsi="Poppins" w:cs="Poppins"/>
              <w:b/>
              <w:sz w:val="22"/>
              <w:szCs w:val="22"/>
              <w:lang w:val="it-IT"/>
            </w:rPr>
            <w:t>3</w:t>
          </w:r>
          <w:r w:rsidR="008760D0">
            <w:rPr>
              <w:rFonts w:ascii="Poppins" w:hAnsi="Poppins" w:cs="Poppins"/>
              <w:b/>
              <w:sz w:val="22"/>
              <w:szCs w:val="22"/>
              <w:lang w:val="it-IT"/>
            </w:rPr>
            <w:t>2</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2A29B1A"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6925F8">
            <w:rPr>
              <w:rFonts w:ascii="Poppins" w:hAnsi="Poppins" w:cs="Poppins"/>
              <w:b/>
              <w:sz w:val="22"/>
              <w:szCs w:val="22"/>
              <w:lang w:val="it-IT"/>
            </w:rPr>
            <w:t>3</w:t>
          </w:r>
          <w:r w:rsidR="00DC2C8B">
            <w:rPr>
              <w:rFonts w:ascii="Poppins" w:hAnsi="Poppins" w:cs="Poppins"/>
              <w:b/>
              <w:sz w:val="22"/>
              <w:szCs w:val="22"/>
              <w:lang w:val="it-IT"/>
            </w:rPr>
            <w:t>2</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8FE8DBB"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55EA">
            <w:rPr>
              <w:rFonts w:ascii="Poppins" w:hAnsi="Poppins" w:cs="Poppins"/>
              <w:b/>
              <w:sz w:val="22"/>
              <w:szCs w:val="22"/>
              <w:lang w:val="it-IT"/>
            </w:rPr>
            <w:t>3</w:t>
          </w:r>
          <w:r w:rsidR="00DC2C8B">
            <w:rPr>
              <w:rFonts w:ascii="Poppins" w:hAnsi="Poppins" w:cs="Poppins"/>
              <w:b/>
              <w:sz w:val="22"/>
              <w:szCs w:val="22"/>
              <w:lang w:val="it-IT"/>
            </w:rPr>
            <w:t>2</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0E"/>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3D"/>
    <w:rsid w:val="00085CAF"/>
    <w:rsid w:val="00085F7D"/>
    <w:rsid w:val="000860DA"/>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38E"/>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201"/>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57D"/>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A4B"/>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5D0"/>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76"/>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4E"/>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4DE"/>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C4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E6E"/>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641"/>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C3"/>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454"/>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49"/>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B0E"/>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1A3"/>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A49"/>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EA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6CB3"/>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5ED5"/>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372"/>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DA0"/>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4F36"/>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5F8"/>
    <w:rsid w:val="0069297D"/>
    <w:rsid w:val="00692C5D"/>
    <w:rsid w:val="00692EBA"/>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46"/>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78E"/>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88F"/>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D9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0D0"/>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C25"/>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46E"/>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C99"/>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C17"/>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4FB6"/>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138"/>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24"/>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9F5"/>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63F"/>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588"/>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B09"/>
    <w:rsid w:val="00B83CC3"/>
    <w:rsid w:val="00B83F30"/>
    <w:rsid w:val="00B83F9A"/>
    <w:rsid w:val="00B840F8"/>
    <w:rsid w:val="00B8487B"/>
    <w:rsid w:val="00B848F9"/>
    <w:rsid w:val="00B84919"/>
    <w:rsid w:val="00B849CC"/>
    <w:rsid w:val="00B84BAD"/>
    <w:rsid w:val="00B852D3"/>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B91"/>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6AB"/>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23"/>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21A"/>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522"/>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5EA"/>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6E91"/>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C8B"/>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07D"/>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E3B"/>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67"/>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3E2"/>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8EB"/>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D8B"/>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AFF"/>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967"/>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19</Pages>
  <Words>4921</Words>
  <Characters>27068</Characters>
  <Application>Microsoft Office Word</Application>
  <DocSecurity>0</DocSecurity>
  <Lines>225</Lines>
  <Paragraphs>63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31926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2026-02-16T14:35:00Z</cp:lastPrinted>
  <dcterms:created xsi:type="dcterms:W3CDTF">2026-08-13T12:35:00Z</dcterms:created>
  <dcterms:modified xsi:type="dcterms:W3CDTF">2026-08-14T16:46:00Z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