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1F457A5"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E0065F">
        <w:rPr>
          <w:rFonts w:asciiTheme="minorHAnsi" w:hAnsiTheme="minorHAnsi" w:cstheme="minorHAnsi"/>
          <w:sz w:val="32"/>
          <w:szCs w:val="28"/>
          <w:u w:val="single"/>
          <w:lang w:val="it-IT"/>
        </w:rPr>
        <w:t>5</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B642924"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0065F">
        <w:rPr>
          <w:rFonts w:asciiTheme="minorHAnsi" w:hAnsiTheme="minorHAnsi" w:cstheme="minorHAnsi"/>
          <w:b/>
          <w:bCs/>
          <w:sz w:val="28"/>
          <w:szCs w:val="28"/>
        </w:rPr>
        <w:t>1</w:t>
      </w:r>
      <w:r w:rsidR="00111F45">
        <w:rPr>
          <w:rFonts w:asciiTheme="minorHAnsi" w:hAnsiTheme="minorHAnsi" w:cstheme="minorHAnsi"/>
          <w:b/>
          <w:bCs/>
          <w:sz w:val="28"/>
          <w:szCs w:val="28"/>
        </w:rPr>
        <w:t>0</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111F45">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559FA8F8" w:rsidR="00E53D92" w:rsidRPr="002B3648" w:rsidRDefault="00E0065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81BD1">
        <w:rPr>
          <w:noProof/>
        </w:rPr>
        <w:drawing>
          <wp:inline distT="0" distB="0" distL="0" distR="0" wp14:anchorId="6922166C" wp14:editId="5BC30F64">
            <wp:extent cx="5364480" cy="3497580"/>
            <wp:effectExtent l="0" t="0" r="7620" b="7620"/>
            <wp:docPr id="1" name="Picture 1"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 histogram&#10;&#10;Description automatically generated"/>
                    <pic:cNvPicPr/>
                  </pic:nvPicPr>
                  <pic:blipFill>
                    <a:blip r:embed="rId8"/>
                    <a:stretch>
                      <a:fillRect/>
                    </a:stretch>
                  </pic:blipFill>
                  <pic:spPr>
                    <a:xfrm>
                      <a:off x="0" y="0"/>
                      <a:ext cx="5364480" cy="349758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2931206D" w14:textId="53E532CF"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 xml:space="preserve">. </w:t>
      </w:r>
      <w:r w:rsidR="00464566">
        <w:rPr>
          <w:rFonts w:asciiTheme="minorHAnsi" w:hAnsiTheme="minorHAnsi" w:cstheme="minorHAnsi"/>
          <w:sz w:val="22"/>
          <w:szCs w:val="22"/>
        </w:rPr>
        <w:t xml:space="preserve">Durante el 2023, </w:t>
      </w:r>
      <w:r w:rsidR="00464566" w:rsidRPr="00464566">
        <w:rPr>
          <w:rFonts w:asciiTheme="minorHAnsi" w:hAnsiTheme="minorHAnsi" w:cstheme="minorHAnsi"/>
          <w:sz w:val="22"/>
          <w:szCs w:val="22"/>
        </w:rPr>
        <w:t>se registra volatilidad en los precios con periodos de descenso y ascenso semanales</w:t>
      </w:r>
      <w:r w:rsidR="00464566">
        <w:rPr>
          <w:rFonts w:asciiTheme="minorHAnsi" w:hAnsiTheme="minorHAnsi" w:cstheme="minorHAnsi"/>
          <w:sz w:val="22"/>
          <w:szCs w:val="22"/>
        </w:rPr>
        <w:t>, aunque con la irrupción repentina de la Crisis Bancaria, la tendencia general al alza de inicios de año se ha revertido.</w:t>
      </w:r>
    </w:p>
    <w:p w14:paraId="5CB5BC2E" w14:textId="77777777" w:rsidR="00E812D9" w:rsidRDefault="00E812D9" w:rsidP="00E812D9">
      <w:pPr>
        <w:jc w:val="both"/>
        <w:rPr>
          <w:rFonts w:asciiTheme="minorHAnsi" w:hAnsiTheme="minorHAnsi" w:cstheme="minorHAnsi"/>
          <w:sz w:val="22"/>
          <w:szCs w:val="22"/>
        </w:rPr>
      </w:pPr>
    </w:p>
    <w:p w14:paraId="197D44AE" w14:textId="1C69AAB6"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0065F">
        <w:rPr>
          <w:rFonts w:asciiTheme="minorHAnsi" w:hAnsiTheme="minorHAnsi" w:cstheme="minorHAnsi"/>
          <w:sz w:val="22"/>
          <w:szCs w:val="22"/>
        </w:rPr>
        <w:t>80</w:t>
      </w:r>
      <w:r>
        <w:rPr>
          <w:rFonts w:asciiTheme="minorHAnsi" w:hAnsiTheme="minorHAnsi" w:cstheme="minorHAnsi"/>
          <w:sz w:val="22"/>
          <w:szCs w:val="22"/>
        </w:rPr>
        <w:t>,</w:t>
      </w:r>
      <w:r w:rsidR="00E0065F">
        <w:rPr>
          <w:rFonts w:asciiTheme="minorHAnsi" w:hAnsiTheme="minorHAnsi" w:cstheme="minorHAnsi"/>
          <w:sz w:val="22"/>
          <w:szCs w:val="22"/>
        </w:rPr>
        <w:t>31</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las gasolinas registraron un precio superior a 1</w:t>
      </w:r>
      <w:r w:rsidR="00E0065F">
        <w:rPr>
          <w:rFonts w:asciiTheme="minorHAnsi" w:hAnsiTheme="minorHAnsi" w:cstheme="minorHAnsi"/>
          <w:sz w:val="22"/>
          <w:szCs w:val="22"/>
        </w:rPr>
        <w:t>1</w:t>
      </w:r>
      <w:r w:rsidRPr="006A2158">
        <w:rPr>
          <w:rFonts w:asciiTheme="minorHAnsi" w:hAnsiTheme="minorHAnsi" w:cstheme="minorHAnsi"/>
          <w:sz w:val="22"/>
          <w:szCs w:val="22"/>
        </w:rPr>
        <w:t>0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105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Para el mismo periodo, el precio del GLP cerró la semana en 3</w:t>
      </w:r>
      <w:r w:rsidR="00E0065F">
        <w:rPr>
          <w:rFonts w:asciiTheme="minorHAnsi" w:hAnsiTheme="minorHAnsi" w:cstheme="minorHAnsi"/>
          <w:sz w:val="22"/>
          <w:szCs w:val="22"/>
        </w:rPr>
        <w:t>6</w:t>
      </w:r>
      <w:r>
        <w:rPr>
          <w:rFonts w:asciiTheme="minorHAnsi" w:hAnsiTheme="minorHAnsi" w:cstheme="minorHAnsi"/>
          <w:sz w:val="22"/>
          <w:szCs w:val="22"/>
        </w:rPr>
        <w:t>,</w:t>
      </w:r>
      <w:r w:rsidR="00E0065F">
        <w:rPr>
          <w:rFonts w:asciiTheme="minorHAnsi" w:hAnsiTheme="minorHAnsi" w:cstheme="minorHAnsi"/>
          <w:sz w:val="22"/>
          <w:szCs w:val="22"/>
        </w:rPr>
        <w:t>27</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4853B9B2"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sidR="006A2158">
        <w:rPr>
          <w:rFonts w:asciiTheme="minorHAnsi" w:hAnsiTheme="minorHAnsi" w:cstheme="minorHAnsi"/>
          <w:sz w:val="22"/>
          <w:szCs w:val="22"/>
        </w:rPr>
        <w:t>2</w:t>
      </w:r>
      <w:r w:rsidR="00E0065F">
        <w:rPr>
          <w:rFonts w:asciiTheme="minorHAnsi" w:hAnsiTheme="minorHAnsi" w:cstheme="minorHAnsi"/>
          <w:sz w:val="22"/>
          <w:szCs w:val="22"/>
        </w:rPr>
        <w:t>4</w:t>
      </w:r>
      <w:r w:rsidRPr="00431A8E">
        <w:rPr>
          <w:rFonts w:asciiTheme="minorHAnsi" w:hAnsiTheme="minorHAnsi" w:cstheme="minorHAnsi"/>
          <w:sz w:val="22"/>
          <w:szCs w:val="22"/>
        </w:rPr>
        <w:t>.</w:t>
      </w:r>
      <w:r>
        <w:rPr>
          <w:rFonts w:asciiTheme="minorHAnsi" w:hAnsiTheme="minorHAnsi" w:cstheme="minorHAnsi"/>
          <w:sz w:val="22"/>
          <w:szCs w:val="22"/>
        </w:rPr>
        <w:t>03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E0065F">
        <w:rPr>
          <w:rFonts w:asciiTheme="minorHAnsi" w:hAnsiTheme="minorHAnsi" w:cstheme="minorHAnsi"/>
          <w:sz w:val="22"/>
          <w:szCs w:val="22"/>
        </w:rPr>
        <w:t>06</w:t>
      </w:r>
      <w:r w:rsidRPr="00431A8E">
        <w:rPr>
          <w:rFonts w:asciiTheme="minorHAnsi" w:hAnsiTheme="minorHAnsi" w:cstheme="minorHAnsi"/>
          <w:sz w:val="22"/>
          <w:szCs w:val="22"/>
        </w:rPr>
        <w:t>.0</w:t>
      </w:r>
      <w:r w:rsidR="00E0065F">
        <w:rPr>
          <w:rFonts w:asciiTheme="minorHAnsi" w:hAnsiTheme="minorHAnsi" w:cstheme="minorHAnsi"/>
          <w:sz w:val="22"/>
          <w:szCs w:val="22"/>
        </w:rPr>
        <w:t>4</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633C9590" w:rsidR="00107E57" w:rsidRDefault="00107E57" w:rsidP="006E0AC8">
      <w:pPr>
        <w:pStyle w:val="Prrafodelista"/>
        <w:ind w:left="426"/>
        <w:jc w:val="both"/>
        <w:rPr>
          <w:rFonts w:asciiTheme="minorHAnsi" w:hAnsiTheme="minorHAnsi" w:cstheme="minorHAnsi"/>
          <w:sz w:val="22"/>
          <w:szCs w:val="22"/>
        </w:rPr>
      </w:pPr>
    </w:p>
    <w:p w14:paraId="7A5E4007"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sz w:val="22"/>
          <w:szCs w:val="22"/>
        </w:rPr>
      </w:pPr>
      <w:r w:rsidRPr="00F50012">
        <w:rPr>
          <w:rFonts w:asciiTheme="minorHAnsi" w:hAnsiTheme="minorHAnsi" w:cstheme="minorHAnsi"/>
          <w:b/>
          <w:sz w:val="22"/>
          <w:szCs w:val="22"/>
        </w:rPr>
        <w:t>La disminución de los inventarios de crudo, propano, gasolinas y destilados al 31 de marzo del 2023.</w:t>
      </w:r>
    </w:p>
    <w:p w14:paraId="0CCB4F25" w14:textId="77777777" w:rsidR="00E0065F" w:rsidRPr="00F50012" w:rsidRDefault="00E0065F" w:rsidP="00E0065F">
      <w:pPr>
        <w:pStyle w:val="Prrafodelista"/>
        <w:ind w:left="426"/>
        <w:jc w:val="both"/>
        <w:rPr>
          <w:rFonts w:asciiTheme="minorHAnsi" w:hAnsiTheme="minorHAnsi" w:cstheme="minorHAnsi"/>
          <w:sz w:val="22"/>
          <w:szCs w:val="22"/>
        </w:rPr>
      </w:pPr>
    </w:p>
    <w:p w14:paraId="6EA808FE"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Los inventarios de petróleo en Estados Unidos bajaron en 3,7 millones barriles, ubicándose en un +4% por encima de la media de los últimos 5 años, lo que representa 470,0 millones de barriles.</w:t>
      </w:r>
    </w:p>
    <w:p w14:paraId="3F6DEE36" w14:textId="77777777" w:rsidR="00E0065F" w:rsidRPr="00F50012" w:rsidRDefault="00E0065F" w:rsidP="00E0065F">
      <w:pPr>
        <w:pStyle w:val="Prrafodelista"/>
        <w:ind w:left="426"/>
        <w:jc w:val="both"/>
        <w:rPr>
          <w:rFonts w:asciiTheme="minorHAnsi" w:hAnsiTheme="minorHAnsi" w:cstheme="minorHAnsi"/>
          <w:sz w:val="22"/>
          <w:szCs w:val="22"/>
        </w:rPr>
      </w:pPr>
    </w:p>
    <w:p w14:paraId="775863DB"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Las existencias de gasolina se redujeron en 4,1 millones de barriles, reportando un total de 222,6 millones de barriles; mientras los inventarios de destilados, que incluyen al diésel y al combustible para calefacción, disminuyeron 3,6 millones de barriles, con un total de 113,1 millones de barriles. Finalmente, las existencias de propano cayeron 0,54 millones de barriles, ubicándose en los 55,71 millones de barriles.</w:t>
      </w:r>
    </w:p>
    <w:p w14:paraId="14FBCB63" w14:textId="77777777" w:rsidR="00E0065F" w:rsidRPr="00F50012" w:rsidRDefault="00E0065F" w:rsidP="00E0065F">
      <w:pPr>
        <w:pStyle w:val="Prrafodelista"/>
        <w:ind w:left="426"/>
        <w:jc w:val="both"/>
        <w:rPr>
          <w:rFonts w:asciiTheme="minorHAnsi" w:hAnsiTheme="minorHAnsi" w:cstheme="minorHAnsi"/>
          <w:sz w:val="22"/>
          <w:szCs w:val="22"/>
        </w:rPr>
      </w:pPr>
    </w:p>
    <w:p w14:paraId="1AB64E23"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bCs/>
          <w:sz w:val="22"/>
          <w:szCs w:val="22"/>
        </w:rPr>
      </w:pPr>
      <w:r w:rsidRPr="00F50012">
        <w:rPr>
          <w:rFonts w:asciiTheme="minorHAnsi" w:hAnsiTheme="minorHAnsi" w:cstheme="minorHAnsi"/>
          <w:b/>
          <w:bCs/>
          <w:sz w:val="22"/>
          <w:szCs w:val="22"/>
        </w:rPr>
        <w:t>La confirmación de parte de la OPEP de un recorte de 1,66 millones de barriles diarios a partir de mayo y hasta finales de 2023.</w:t>
      </w:r>
    </w:p>
    <w:p w14:paraId="5EE05EE4" w14:textId="13F1EC22" w:rsidR="00E0065F"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br/>
        <w:t>Los últimos compromisos elevan el volumen total de recortes de la OPEP a 3,66 millones de bpd, incluido un recorte de 2 millones de barriles en octubre 2022, equivalente a alrededor del 3,7% de la demanda mundial.</w:t>
      </w:r>
    </w:p>
    <w:p w14:paraId="42FC93E4" w14:textId="77777777" w:rsidR="00E0065F" w:rsidRPr="00F50012" w:rsidRDefault="00E0065F" w:rsidP="00E0065F">
      <w:pPr>
        <w:pStyle w:val="Prrafodelista"/>
        <w:ind w:left="426"/>
        <w:jc w:val="both"/>
        <w:rPr>
          <w:rFonts w:asciiTheme="minorHAnsi" w:hAnsiTheme="minorHAnsi" w:cstheme="minorHAnsi"/>
          <w:sz w:val="22"/>
          <w:szCs w:val="22"/>
        </w:rPr>
      </w:pPr>
    </w:p>
    <w:p w14:paraId="60A54A49"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Analistas del mercado sostienen que la OPEP se está adelantando a lo que esperan que sea una caída potencialmente pronunciada de la demanda de los consumidores en los próximos meses. </w:t>
      </w:r>
    </w:p>
    <w:p w14:paraId="33D74EBA" w14:textId="77777777" w:rsidR="00E0065F" w:rsidRDefault="00E0065F" w:rsidP="00E0065F">
      <w:pPr>
        <w:pStyle w:val="Prrafodelista"/>
        <w:ind w:left="426"/>
        <w:jc w:val="both"/>
        <w:rPr>
          <w:rFonts w:asciiTheme="minorHAnsi" w:hAnsiTheme="minorHAnsi" w:cstheme="minorHAnsi"/>
          <w:sz w:val="22"/>
          <w:szCs w:val="22"/>
        </w:rPr>
      </w:pPr>
    </w:p>
    <w:p w14:paraId="401FBD38" w14:textId="6EC26CDD"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El precio del petróleo afecta el precio de los demás productos de consumo, debido a que los productos refinados se utilizan en el transporte y la producción de la mayoría de los </w:t>
      </w:r>
      <w:r w:rsidRPr="00F50012">
        <w:rPr>
          <w:rFonts w:asciiTheme="minorHAnsi" w:hAnsiTheme="minorHAnsi" w:cstheme="minorHAnsi"/>
          <w:sz w:val="22"/>
          <w:szCs w:val="22"/>
        </w:rPr>
        <w:lastRenderedPageBreak/>
        <w:t>productos de consumo, desde alimentos perecederos hasta bienes duraderos. En este sentido, a medida que sube el precio del petróleo, por lo general, se incrementa la inflación. De esta manera, aumenta la posibilidad de que la Reserva Federal (FED) de Estados Unidos se vea obligada a continuar luchando contra la inflación con aumentos de las tasas de interés.</w:t>
      </w:r>
    </w:p>
    <w:p w14:paraId="1CAAD9FF" w14:textId="77777777" w:rsidR="00E0065F" w:rsidRPr="00F50012" w:rsidRDefault="00E0065F" w:rsidP="00E0065F">
      <w:pPr>
        <w:pStyle w:val="Prrafodelista"/>
        <w:ind w:left="426"/>
        <w:jc w:val="both"/>
        <w:rPr>
          <w:rFonts w:asciiTheme="minorHAnsi" w:hAnsiTheme="minorHAnsi" w:cstheme="minorHAnsi"/>
          <w:sz w:val="22"/>
          <w:szCs w:val="22"/>
        </w:rPr>
      </w:pPr>
    </w:p>
    <w:p w14:paraId="6179DE81"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bCs/>
          <w:sz w:val="22"/>
          <w:szCs w:val="22"/>
        </w:rPr>
      </w:pPr>
      <w:r w:rsidRPr="00F50012">
        <w:rPr>
          <w:rFonts w:asciiTheme="minorHAnsi" w:hAnsiTheme="minorHAnsi" w:cstheme="minorHAnsi"/>
          <w:b/>
          <w:bCs/>
          <w:sz w:val="22"/>
          <w:szCs w:val="22"/>
        </w:rPr>
        <w:t>Las desalentadoras perspectivas económicas de Estados Unidos, que limitaron el alza de los precios del petróleo y productos derivados</w:t>
      </w:r>
    </w:p>
    <w:p w14:paraId="1B59F706" w14:textId="77777777" w:rsidR="00E0065F" w:rsidRPr="00F50012" w:rsidRDefault="00E0065F" w:rsidP="00E0065F">
      <w:pPr>
        <w:ind w:left="426"/>
        <w:jc w:val="both"/>
        <w:rPr>
          <w:rFonts w:asciiTheme="minorHAnsi" w:hAnsiTheme="minorHAnsi" w:cstheme="minorHAnsi"/>
          <w:color w:val="333333"/>
          <w:sz w:val="22"/>
          <w:szCs w:val="22"/>
          <w:shd w:val="clear" w:color="auto" w:fill="FFFFFF"/>
        </w:rPr>
      </w:pPr>
    </w:p>
    <w:p w14:paraId="656653D4"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t>Las ofertas de empleo en Estados Unidos cayeron en febrero 2023 a su nivel más bajo en casi 2 años, lo que sugiere que el mercado laboral se está enfriando.</w:t>
      </w:r>
    </w:p>
    <w:p w14:paraId="21AAE421"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br/>
        <w:t xml:space="preserve">Craig </w:t>
      </w:r>
      <w:proofErr w:type="spellStart"/>
      <w:r w:rsidRPr="00F50012">
        <w:rPr>
          <w:rFonts w:asciiTheme="minorHAnsi" w:hAnsiTheme="minorHAnsi" w:cstheme="minorHAnsi"/>
          <w:sz w:val="22"/>
          <w:szCs w:val="22"/>
        </w:rPr>
        <w:t>Erlam</w:t>
      </w:r>
      <w:proofErr w:type="spellEnd"/>
      <w:r w:rsidRPr="00F50012">
        <w:rPr>
          <w:rFonts w:asciiTheme="minorHAnsi" w:hAnsiTheme="minorHAnsi" w:cstheme="minorHAnsi"/>
          <w:sz w:val="22"/>
          <w:szCs w:val="22"/>
        </w:rPr>
        <w:t>, analista senior de mercados de OANDA, señaló: “Los datos podrían ser los primeros signos de debilidad en el mercado laboral estadounidense y eso es enorme. Sin ellos, a la Reserva Federal de Estados Unidos le resultará muy difícil argumentar que está pausando el ciclo de endurecimiento.”</w:t>
      </w:r>
    </w:p>
    <w:p w14:paraId="33FE7FFC" w14:textId="77777777" w:rsidR="00E0065F" w:rsidRPr="00F50012" w:rsidRDefault="00E0065F" w:rsidP="00E0065F">
      <w:pPr>
        <w:pStyle w:val="Prrafodelista"/>
        <w:ind w:left="426"/>
        <w:jc w:val="both"/>
        <w:rPr>
          <w:rFonts w:asciiTheme="minorHAnsi" w:hAnsiTheme="minorHAnsi" w:cstheme="minorHAnsi"/>
          <w:b/>
          <w:bCs/>
          <w:sz w:val="22"/>
          <w:szCs w:val="22"/>
        </w:rPr>
      </w:pPr>
    </w:p>
    <w:p w14:paraId="4580B0A7"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bCs/>
          <w:sz w:val="22"/>
          <w:szCs w:val="22"/>
        </w:rPr>
      </w:pPr>
      <w:r w:rsidRPr="00F50012">
        <w:rPr>
          <w:rFonts w:asciiTheme="minorHAnsi" w:hAnsiTheme="minorHAnsi" w:cstheme="minorHAnsi"/>
          <w:b/>
          <w:bCs/>
          <w:sz w:val="22"/>
          <w:szCs w:val="22"/>
        </w:rPr>
        <w:t>La disminución de la crisis bancaria, a raíz del rescate de bancos en Estados Unidos y Europa.</w:t>
      </w:r>
    </w:p>
    <w:p w14:paraId="7505C2CB" w14:textId="77777777" w:rsidR="00E0065F" w:rsidRPr="00F50012" w:rsidRDefault="00E0065F" w:rsidP="00E0065F">
      <w:pPr>
        <w:jc w:val="both"/>
        <w:rPr>
          <w:rFonts w:asciiTheme="minorHAnsi" w:hAnsiTheme="minorHAnsi" w:cstheme="minorHAnsi"/>
          <w:b/>
          <w:bCs/>
          <w:sz w:val="22"/>
          <w:szCs w:val="22"/>
        </w:rPr>
      </w:pPr>
    </w:p>
    <w:p w14:paraId="790ED490"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Los esfuerzos de las autoridades para frenar la preocupación por el sistema bancario mundial, permitieron que las acciones se recuperen y los rendimientos aumenten sobre la base de perspectivas económicas más sólidas. </w:t>
      </w:r>
    </w:p>
    <w:p w14:paraId="48FD8B07" w14:textId="77777777" w:rsidR="00E0065F" w:rsidRPr="00F50012" w:rsidRDefault="00E0065F" w:rsidP="00E0065F">
      <w:pPr>
        <w:ind w:left="426"/>
        <w:jc w:val="both"/>
        <w:rPr>
          <w:rFonts w:asciiTheme="minorHAnsi" w:hAnsiTheme="minorHAnsi" w:cstheme="minorHAnsi"/>
          <w:sz w:val="22"/>
          <w:szCs w:val="22"/>
        </w:rPr>
      </w:pPr>
    </w:p>
    <w:p w14:paraId="41CB68FB" w14:textId="77777777" w:rsidR="00E0065F" w:rsidRPr="00F50012" w:rsidRDefault="00E0065F" w:rsidP="00E0065F">
      <w:pPr>
        <w:ind w:left="426"/>
        <w:jc w:val="both"/>
        <w:rPr>
          <w:rFonts w:asciiTheme="minorHAnsi" w:hAnsiTheme="minorHAnsi" w:cstheme="minorHAnsi"/>
          <w:color w:val="333333"/>
          <w:sz w:val="22"/>
          <w:szCs w:val="22"/>
          <w:shd w:val="clear" w:color="auto" w:fill="FFFFFF"/>
        </w:rPr>
      </w:pPr>
      <w:proofErr w:type="spellStart"/>
      <w:r w:rsidRPr="00F50012">
        <w:rPr>
          <w:rFonts w:asciiTheme="minorHAnsi" w:hAnsiTheme="minorHAnsi" w:cstheme="minorHAnsi"/>
          <w:sz w:val="22"/>
          <w:szCs w:val="22"/>
        </w:rPr>
        <w:t>First</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Citizens</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BancShares</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Inc</w:t>
      </w:r>
      <w:proofErr w:type="spellEnd"/>
      <w:r w:rsidRPr="00F50012">
        <w:rPr>
          <w:rFonts w:asciiTheme="minorHAnsi" w:hAnsiTheme="minorHAnsi" w:cstheme="minorHAnsi"/>
          <w:sz w:val="22"/>
          <w:szCs w:val="22"/>
        </w:rPr>
        <w:t xml:space="preserve"> manifestó que adquirirá los depósitos y préstamos del quebrado Silicon Valley Bank, cerrando un capítulo en la crisis de confianza que ha sacudido a los mercados financieros. También hay esperanzas de apoyo adicional a la financiación bancaria, luego de conocerse a través de informes, que las autoridades estadounidenses se encontraban en las primeras fases de deliberación sobre la ampliación de las facilidades de préstamo de emergencia</w:t>
      </w:r>
      <w:r w:rsidRPr="00F50012">
        <w:rPr>
          <w:rFonts w:asciiTheme="minorHAnsi" w:hAnsiTheme="minorHAnsi" w:cstheme="minorHAnsi"/>
          <w:color w:val="333333"/>
          <w:sz w:val="22"/>
          <w:szCs w:val="22"/>
          <w:shd w:val="clear" w:color="auto" w:fill="FFFFFF"/>
        </w:rPr>
        <w:t>.</w:t>
      </w:r>
    </w:p>
    <w:p w14:paraId="33872C11" w14:textId="77777777" w:rsidR="00E0065F" w:rsidRPr="00F50012" w:rsidRDefault="00E0065F" w:rsidP="00E0065F">
      <w:pPr>
        <w:ind w:left="426"/>
        <w:jc w:val="both"/>
        <w:rPr>
          <w:rFonts w:asciiTheme="minorHAnsi" w:hAnsiTheme="minorHAnsi" w:cstheme="minorHAnsi"/>
          <w:color w:val="333333"/>
          <w:sz w:val="22"/>
          <w:szCs w:val="22"/>
          <w:shd w:val="clear" w:color="auto" w:fill="FFFFFF"/>
        </w:rPr>
      </w:pPr>
    </w:p>
    <w:p w14:paraId="63B25B92"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Entre otras acciones para frenar la crisis, destacan la realizada por la Unión de Bancos Suizos (UBS), la mayor institución financiera de ese país, que decidió comprar al </w:t>
      </w:r>
      <w:proofErr w:type="spellStart"/>
      <w:r w:rsidRPr="00F50012">
        <w:rPr>
          <w:rFonts w:asciiTheme="minorHAnsi" w:hAnsiTheme="minorHAnsi" w:cstheme="minorHAnsi"/>
          <w:sz w:val="22"/>
          <w:szCs w:val="22"/>
        </w:rPr>
        <w:t>Credit</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Suisse</w:t>
      </w:r>
      <w:proofErr w:type="spellEnd"/>
      <w:r w:rsidRPr="00F50012">
        <w:rPr>
          <w:rFonts w:asciiTheme="minorHAnsi" w:hAnsiTheme="minorHAnsi" w:cstheme="minorHAnsi"/>
          <w:sz w:val="22"/>
          <w:szCs w:val="22"/>
        </w:rPr>
        <w:t xml:space="preserve">, así como, la efectuada por 11 bancos de primer orden (Bank </w:t>
      </w:r>
      <w:proofErr w:type="spellStart"/>
      <w:r w:rsidRPr="00F50012">
        <w:rPr>
          <w:rFonts w:asciiTheme="minorHAnsi" w:hAnsiTheme="minorHAnsi" w:cstheme="minorHAnsi"/>
          <w:sz w:val="22"/>
          <w:szCs w:val="22"/>
        </w:rPr>
        <w:t>of</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America</w:t>
      </w:r>
      <w:proofErr w:type="spellEnd"/>
      <w:r w:rsidRPr="00F50012">
        <w:rPr>
          <w:rFonts w:asciiTheme="minorHAnsi" w:hAnsiTheme="minorHAnsi" w:cstheme="minorHAnsi"/>
          <w:sz w:val="22"/>
          <w:szCs w:val="22"/>
        </w:rPr>
        <w:t xml:space="preserve">, City </w:t>
      </w:r>
      <w:proofErr w:type="spellStart"/>
      <w:r w:rsidRPr="00F50012">
        <w:rPr>
          <w:rFonts w:asciiTheme="minorHAnsi" w:hAnsiTheme="minorHAnsi" w:cstheme="minorHAnsi"/>
          <w:sz w:val="22"/>
          <w:szCs w:val="22"/>
        </w:rPr>
        <w:t>Group</w:t>
      </w:r>
      <w:proofErr w:type="spellEnd"/>
      <w:r w:rsidRPr="00F50012">
        <w:rPr>
          <w:rFonts w:asciiTheme="minorHAnsi" w:hAnsiTheme="minorHAnsi" w:cstheme="minorHAnsi"/>
          <w:sz w:val="22"/>
          <w:szCs w:val="22"/>
        </w:rPr>
        <w:t xml:space="preserve">, JP Morgan, entre otros) que colocaron 30 mil millones de dólares al </w:t>
      </w:r>
      <w:proofErr w:type="spellStart"/>
      <w:r w:rsidRPr="00F50012">
        <w:rPr>
          <w:rFonts w:asciiTheme="minorHAnsi" w:hAnsiTheme="minorHAnsi" w:cstheme="minorHAnsi"/>
          <w:sz w:val="22"/>
          <w:szCs w:val="22"/>
        </w:rPr>
        <w:t>First</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Republic</w:t>
      </w:r>
      <w:proofErr w:type="spellEnd"/>
      <w:r w:rsidRPr="00F50012">
        <w:rPr>
          <w:rFonts w:asciiTheme="minorHAnsi" w:hAnsiTheme="minorHAnsi" w:cstheme="minorHAnsi"/>
          <w:sz w:val="22"/>
          <w:szCs w:val="22"/>
        </w:rPr>
        <w:t xml:space="preserve"> Bank.</w:t>
      </w:r>
    </w:p>
    <w:p w14:paraId="7894E36A" w14:textId="77777777" w:rsidR="00E0065F" w:rsidRPr="00F50012" w:rsidRDefault="00E0065F" w:rsidP="00E0065F">
      <w:pPr>
        <w:pStyle w:val="Prrafodelista"/>
        <w:ind w:left="426"/>
        <w:jc w:val="both"/>
        <w:rPr>
          <w:rFonts w:asciiTheme="minorHAnsi" w:hAnsiTheme="minorHAnsi" w:cstheme="minorHAnsi"/>
          <w:b/>
          <w:bCs/>
          <w:sz w:val="22"/>
          <w:szCs w:val="22"/>
        </w:rPr>
      </w:pPr>
    </w:p>
    <w:p w14:paraId="02E5543F" w14:textId="7A6F909F" w:rsidR="00E0065F" w:rsidRPr="00F50012" w:rsidRDefault="00E0065F" w:rsidP="00E0065F">
      <w:pPr>
        <w:pStyle w:val="Prrafodelista"/>
        <w:numPr>
          <w:ilvl w:val="0"/>
          <w:numId w:val="13"/>
        </w:numPr>
        <w:ind w:left="426"/>
        <w:contextualSpacing/>
        <w:jc w:val="both"/>
        <w:rPr>
          <w:rFonts w:asciiTheme="minorHAnsi" w:hAnsiTheme="minorHAnsi" w:cstheme="minorHAnsi"/>
          <w:sz w:val="22"/>
          <w:szCs w:val="22"/>
        </w:rPr>
      </w:pPr>
      <w:r w:rsidRPr="00F50012">
        <w:rPr>
          <w:rFonts w:asciiTheme="minorHAnsi" w:hAnsiTheme="minorHAnsi" w:cstheme="minorHAnsi"/>
          <w:b/>
          <w:bCs/>
          <w:sz w:val="22"/>
          <w:szCs w:val="22"/>
        </w:rPr>
        <w:t>La interrupción de las exportaciones de crudo de Irak de unos 450</w:t>
      </w:r>
      <w:r>
        <w:rPr>
          <w:rFonts w:asciiTheme="minorHAnsi" w:hAnsiTheme="minorHAnsi" w:cstheme="minorHAnsi"/>
          <w:b/>
          <w:bCs/>
          <w:sz w:val="22"/>
          <w:szCs w:val="22"/>
        </w:rPr>
        <w:t xml:space="preserve"> mil</w:t>
      </w:r>
      <w:r w:rsidRPr="00F50012">
        <w:rPr>
          <w:rFonts w:asciiTheme="minorHAnsi" w:hAnsiTheme="minorHAnsi" w:cstheme="minorHAnsi"/>
          <w:b/>
          <w:bCs/>
          <w:sz w:val="22"/>
          <w:szCs w:val="22"/>
        </w:rPr>
        <w:t xml:space="preserve"> barriles diarios desde su región del Kurdistán septentrional a través de Turquía.</w:t>
      </w:r>
    </w:p>
    <w:p w14:paraId="32DD9661" w14:textId="77777777" w:rsidR="00E0065F" w:rsidRPr="00F50012" w:rsidRDefault="00E0065F" w:rsidP="00E0065F">
      <w:pPr>
        <w:pStyle w:val="Prrafodelista"/>
        <w:ind w:left="426"/>
        <w:jc w:val="both"/>
        <w:rPr>
          <w:rFonts w:asciiTheme="minorHAnsi" w:hAnsiTheme="minorHAnsi" w:cstheme="minorHAnsi"/>
          <w:sz w:val="22"/>
          <w:szCs w:val="22"/>
        </w:rPr>
      </w:pPr>
    </w:p>
    <w:p w14:paraId="79DEE87F"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Los productores redujeron la producción en varios yacimientos de la región semiautónoma del Kurdistán a raíz de la paralización del oleoducto de exportación del norte, en respuesta a una decisión arbitral que confirmó que era necesario el consentimiento de Bagdad para enviar el petróleo.</w:t>
      </w:r>
    </w:p>
    <w:p w14:paraId="778A3822" w14:textId="77777777" w:rsidR="00E0065F" w:rsidRPr="00F50012" w:rsidRDefault="00E0065F" w:rsidP="00E0065F">
      <w:pPr>
        <w:pStyle w:val="Prrafodelista"/>
        <w:ind w:left="426"/>
        <w:jc w:val="both"/>
        <w:rPr>
          <w:rFonts w:asciiTheme="minorHAnsi" w:hAnsiTheme="minorHAnsi" w:cstheme="minorHAnsi"/>
          <w:sz w:val="22"/>
          <w:szCs w:val="22"/>
        </w:rPr>
      </w:pPr>
    </w:p>
    <w:p w14:paraId="0C98750E" w14:textId="41EB6135"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Ka Petrolera Noruega DNO comunicó </w:t>
      </w:r>
      <w:r>
        <w:rPr>
          <w:rFonts w:asciiTheme="minorHAnsi" w:hAnsiTheme="minorHAnsi" w:cstheme="minorHAnsi"/>
          <w:sz w:val="22"/>
          <w:szCs w:val="22"/>
        </w:rPr>
        <w:t>sobre l</w:t>
      </w:r>
      <w:r w:rsidRPr="00F50012">
        <w:rPr>
          <w:rFonts w:asciiTheme="minorHAnsi" w:hAnsiTheme="minorHAnsi" w:cstheme="minorHAnsi"/>
          <w:sz w:val="22"/>
          <w:szCs w:val="22"/>
        </w:rPr>
        <w:t>a interru</w:t>
      </w:r>
      <w:r>
        <w:rPr>
          <w:rFonts w:asciiTheme="minorHAnsi" w:hAnsiTheme="minorHAnsi" w:cstheme="minorHAnsi"/>
          <w:sz w:val="22"/>
          <w:szCs w:val="22"/>
        </w:rPr>
        <w:t>pción de</w:t>
      </w:r>
      <w:r w:rsidRPr="00F50012">
        <w:rPr>
          <w:rFonts w:asciiTheme="minorHAnsi" w:hAnsiTheme="minorHAnsi" w:cstheme="minorHAnsi"/>
          <w:sz w:val="22"/>
          <w:szCs w:val="22"/>
        </w:rPr>
        <w:t xml:space="preserve"> la producción en sus yacimientos del Kurdistán. Los campos de </w:t>
      </w:r>
      <w:proofErr w:type="spellStart"/>
      <w:r w:rsidRPr="00F50012">
        <w:rPr>
          <w:rFonts w:asciiTheme="minorHAnsi" w:hAnsiTheme="minorHAnsi" w:cstheme="minorHAnsi"/>
          <w:sz w:val="22"/>
          <w:szCs w:val="22"/>
        </w:rPr>
        <w:t>Tawke</w:t>
      </w:r>
      <w:proofErr w:type="spellEnd"/>
      <w:r w:rsidRPr="00F50012">
        <w:rPr>
          <w:rFonts w:asciiTheme="minorHAnsi" w:hAnsiTheme="minorHAnsi" w:cstheme="minorHAnsi"/>
          <w:sz w:val="22"/>
          <w:szCs w:val="22"/>
        </w:rPr>
        <w:t xml:space="preserve"> y </w:t>
      </w:r>
      <w:proofErr w:type="spellStart"/>
      <w:r w:rsidRPr="00F50012">
        <w:rPr>
          <w:rFonts w:asciiTheme="minorHAnsi" w:hAnsiTheme="minorHAnsi" w:cstheme="minorHAnsi"/>
          <w:sz w:val="22"/>
          <w:szCs w:val="22"/>
        </w:rPr>
        <w:t>Peshkabir</w:t>
      </w:r>
      <w:proofErr w:type="spellEnd"/>
      <w:r w:rsidRPr="00F50012">
        <w:rPr>
          <w:rFonts w:asciiTheme="minorHAnsi" w:hAnsiTheme="minorHAnsi" w:cstheme="minorHAnsi"/>
          <w:sz w:val="22"/>
          <w:szCs w:val="22"/>
        </w:rPr>
        <w:t xml:space="preserve"> de la compañía tuvieron una producción promedio de 107</w:t>
      </w:r>
      <w:r>
        <w:rPr>
          <w:rFonts w:asciiTheme="minorHAnsi" w:hAnsiTheme="minorHAnsi" w:cstheme="minorHAnsi"/>
          <w:sz w:val="22"/>
          <w:szCs w:val="22"/>
        </w:rPr>
        <w:t xml:space="preserve"> mil</w:t>
      </w:r>
      <w:r w:rsidRPr="00F50012">
        <w:rPr>
          <w:rFonts w:asciiTheme="minorHAnsi" w:hAnsiTheme="minorHAnsi" w:cstheme="minorHAnsi"/>
          <w:sz w:val="22"/>
          <w:szCs w:val="22"/>
        </w:rPr>
        <w:t xml:space="preserve"> bpd en 2022, una cuarta parte del total de las exportaciones kurdas.</w:t>
      </w:r>
    </w:p>
    <w:p w14:paraId="4FCF4193" w14:textId="77777777" w:rsidR="00E0065F" w:rsidRPr="00F50012" w:rsidRDefault="00E0065F" w:rsidP="00E0065F">
      <w:pPr>
        <w:pStyle w:val="Prrafodelista"/>
        <w:ind w:left="426"/>
        <w:jc w:val="both"/>
        <w:rPr>
          <w:rFonts w:asciiTheme="minorHAnsi" w:hAnsiTheme="minorHAnsi" w:cstheme="minorHAnsi"/>
          <w:color w:val="333333"/>
          <w:sz w:val="22"/>
          <w:szCs w:val="22"/>
          <w:shd w:val="clear" w:color="auto" w:fill="FFFFFF"/>
        </w:rPr>
      </w:pPr>
    </w:p>
    <w:p w14:paraId="5D1373AD"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bCs/>
          <w:sz w:val="22"/>
          <w:szCs w:val="22"/>
        </w:rPr>
      </w:pPr>
      <w:r w:rsidRPr="00F50012">
        <w:rPr>
          <w:rFonts w:asciiTheme="minorHAnsi" w:hAnsiTheme="minorHAnsi" w:cstheme="minorHAnsi"/>
          <w:b/>
          <w:bCs/>
          <w:sz w:val="22"/>
          <w:szCs w:val="22"/>
        </w:rPr>
        <w:lastRenderedPageBreak/>
        <w:t>El aumento de las tensiones en el mercado por los planes de Rusia de colocar armas nucleares tácticas en Bielorrusia.</w:t>
      </w:r>
    </w:p>
    <w:p w14:paraId="4E49946E"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b/>
          <w:bCs/>
          <w:sz w:val="22"/>
          <w:szCs w:val="22"/>
        </w:rPr>
        <w:br/>
      </w:r>
      <w:r w:rsidRPr="00F50012">
        <w:rPr>
          <w:rFonts w:asciiTheme="minorHAnsi" w:hAnsiTheme="minorHAnsi" w:cstheme="minorHAnsi"/>
          <w:sz w:val="22"/>
          <w:szCs w:val="22"/>
        </w:rPr>
        <w:t>La medida es, hasta la fecha, una de las más acentuadas por parte de Rusia sobre armas nucleares y una advertencia a la OTAN por su apoyo militar a Ucrania, que ha pedido una reunión del Consejo de Seguridad de la ONU.</w:t>
      </w:r>
    </w:p>
    <w:p w14:paraId="77D01EF8" w14:textId="77777777" w:rsidR="00E0065F" w:rsidRPr="00F50012" w:rsidRDefault="00E0065F" w:rsidP="00E0065F">
      <w:pPr>
        <w:pStyle w:val="Prrafodelista"/>
        <w:ind w:left="426"/>
        <w:jc w:val="both"/>
        <w:rPr>
          <w:rFonts w:asciiTheme="minorHAnsi" w:hAnsiTheme="minorHAnsi" w:cstheme="minorHAnsi"/>
          <w:sz w:val="22"/>
          <w:szCs w:val="22"/>
        </w:rPr>
      </w:pPr>
    </w:p>
    <w:p w14:paraId="0640F63A" w14:textId="468B8691"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El viceprimer ministro ruso, Alexander Novak, declaró que Moscú está cerca de alcanzar su objetivo de reducir la producción de crudo en 500</w:t>
      </w:r>
      <w:r>
        <w:rPr>
          <w:rFonts w:asciiTheme="minorHAnsi" w:hAnsiTheme="minorHAnsi" w:cstheme="minorHAnsi"/>
          <w:sz w:val="22"/>
          <w:szCs w:val="22"/>
        </w:rPr>
        <w:t xml:space="preserve"> mil</w:t>
      </w:r>
      <w:r w:rsidRPr="00F50012">
        <w:rPr>
          <w:rFonts w:asciiTheme="minorHAnsi" w:hAnsiTheme="minorHAnsi" w:cstheme="minorHAnsi"/>
          <w:sz w:val="22"/>
          <w:szCs w:val="22"/>
        </w:rPr>
        <w:t xml:space="preserve"> barriles diarios (bpd), hasta unos 9,5 millones de bpd.</w:t>
      </w:r>
    </w:p>
    <w:p w14:paraId="0532B25E" w14:textId="77777777" w:rsidR="00E0065F" w:rsidRPr="00F50012" w:rsidRDefault="00E0065F" w:rsidP="00E0065F">
      <w:pPr>
        <w:pStyle w:val="Prrafodelista"/>
        <w:ind w:left="426"/>
        <w:jc w:val="both"/>
        <w:rPr>
          <w:rFonts w:asciiTheme="minorHAnsi" w:hAnsiTheme="minorHAnsi" w:cstheme="minorHAnsi"/>
          <w:sz w:val="22"/>
          <w:szCs w:val="22"/>
        </w:rPr>
      </w:pPr>
    </w:p>
    <w:p w14:paraId="04F16278" w14:textId="77777777" w:rsidR="00E0065F" w:rsidRPr="00F50012" w:rsidRDefault="00E0065F" w:rsidP="00E0065F">
      <w:pPr>
        <w:pStyle w:val="Prrafodelista"/>
        <w:numPr>
          <w:ilvl w:val="0"/>
          <w:numId w:val="13"/>
        </w:numPr>
        <w:ind w:left="426"/>
        <w:contextualSpacing/>
        <w:jc w:val="both"/>
        <w:rPr>
          <w:rFonts w:asciiTheme="minorHAnsi" w:hAnsiTheme="minorHAnsi" w:cstheme="minorHAnsi"/>
          <w:b/>
          <w:bCs/>
          <w:sz w:val="22"/>
          <w:szCs w:val="22"/>
        </w:rPr>
      </w:pPr>
      <w:r w:rsidRPr="00F50012">
        <w:rPr>
          <w:rFonts w:asciiTheme="minorHAnsi" w:hAnsiTheme="minorHAnsi" w:cstheme="minorHAnsi"/>
          <w:b/>
          <w:bCs/>
          <w:sz w:val="22"/>
          <w:szCs w:val="22"/>
        </w:rPr>
        <w:t>Las señales de recuperación de la demanda en China y la mayor demanda de gasolinas</w:t>
      </w:r>
    </w:p>
    <w:p w14:paraId="3B5B506A" w14:textId="77777777" w:rsidR="00E0065F" w:rsidRPr="00F50012" w:rsidRDefault="00E0065F" w:rsidP="00E0065F">
      <w:pPr>
        <w:jc w:val="both"/>
        <w:rPr>
          <w:rFonts w:asciiTheme="minorHAnsi" w:hAnsiTheme="minorHAnsi" w:cstheme="minorHAnsi"/>
          <w:b/>
          <w:bCs/>
          <w:sz w:val="22"/>
          <w:szCs w:val="22"/>
        </w:rPr>
      </w:pPr>
    </w:p>
    <w:p w14:paraId="3928BC8A"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t xml:space="preserve">Según la previsión anual de una unidad de investigación de China </w:t>
      </w:r>
      <w:proofErr w:type="spellStart"/>
      <w:r w:rsidRPr="00F50012">
        <w:rPr>
          <w:rFonts w:asciiTheme="minorHAnsi" w:hAnsiTheme="minorHAnsi" w:cstheme="minorHAnsi"/>
          <w:sz w:val="22"/>
          <w:szCs w:val="22"/>
        </w:rPr>
        <w:t>National</w:t>
      </w:r>
      <w:proofErr w:type="spellEnd"/>
      <w:r w:rsidRPr="00F50012">
        <w:rPr>
          <w:rFonts w:asciiTheme="minorHAnsi" w:hAnsiTheme="minorHAnsi" w:cstheme="minorHAnsi"/>
          <w:sz w:val="22"/>
          <w:szCs w:val="22"/>
        </w:rPr>
        <w:t xml:space="preserve"> </w:t>
      </w:r>
      <w:proofErr w:type="spellStart"/>
      <w:r w:rsidRPr="00F50012">
        <w:rPr>
          <w:rFonts w:asciiTheme="minorHAnsi" w:hAnsiTheme="minorHAnsi" w:cstheme="minorHAnsi"/>
          <w:sz w:val="22"/>
          <w:szCs w:val="22"/>
        </w:rPr>
        <w:t>Petroleum</w:t>
      </w:r>
      <w:proofErr w:type="spellEnd"/>
      <w:r w:rsidRPr="00F50012">
        <w:rPr>
          <w:rFonts w:asciiTheme="minorHAnsi" w:hAnsiTheme="minorHAnsi" w:cstheme="minorHAnsi"/>
          <w:sz w:val="22"/>
          <w:szCs w:val="22"/>
        </w:rPr>
        <w:t xml:space="preserve"> Corp., el mercado espera que las importaciones de crudo de China aumenten un +6,2% en 2023, a 540 millones de toneladas.</w:t>
      </w:r>
    </w:p>
    <w:p w14:paraId="6AD5BF4A" w14:textId="77777777" w:rsidR="00E0065F" w:rsidRPr="00F50012" w:rsidRDefault="00E0065F" w:rsidP="00E0065F">
      <w:pPr>
        <w:jc w:val="both"/>
        <w:rPr>
          <w:rFonts w:asciiTheme="minorHAnsi" w:hAnsiTheme="minorHAnsi" w:cstheme="minorHAnsi"/>
          <w:b/>
          <w:bCs/>
          <w:sz w:val="22"/>
          <w:szCs w:val="22"/>
        </w:rPr>
      </w:pPr>
    </w:p>
    <w:p w14:paraId="25186CD3" w14:textId="77777777" w:rsidR="00E0065F" w:rsidRPr="00F50012" w:rsidRDefault="00E0065F" w:rsidP="00E0065F">
      <w:pPr>
        <w:ind w:left="426"/>
        <w:jc w:val="both"/>
        <w:rPr>
          <w:rFonts w:asciiTheme="minorHAnsi" w:hAnsiTheme="minorHAnsi" w:cstheme="minorHAnsi"/>
          <w:sz w:val="22"/>
          <w:szCs w:val="22"/>
        </w:rPr>
      </w:pPr>
      <w:r w:rsidRPr="00F50012">
        <w:rPr>
          <w:rFonts w:asciiTheme="minorHAnsi" w:hAnsiTheme="minorHAnsi" w:cstheme="minorHAnsi"/>
          <w:sz w:val="22"/>
          <w:szCs w:val="22"/>
        </w:rPr>
        <w:t>Goldman Sachs afirmó que la demanda de China, el mayor importador petrolero mundial, seguía aumentando en todo el complejo de materias primas, con una demanda de petróleo que supera los 16 millones de barriles diarios.</w:t>
      </w:r>
    </w:p>
    <w:p w14:paraId="3513A6B5" w14:textId="77777777" w:rsidR="00E0065F" w:rsidRPr="00F50012" w:rsidRDefault="00E0065F" w:rsidP="00E0065F">
      <w:pPr>
        <w:ind w:left="426"/>
        <w:jc w:val="both"/>
        <w:rPr>
          <w:rFonts w:asciiTheme="minorHAnsi" w:hAnsiTheme="minorHAnsi" w:cstheme="minorHAnsi"/>
          <w:sz w:val="22"/>
          <w:szCs w:val="22"/>
        </w:rPr>
      </w:pPr>
    </w:p>
    <w:p w14:paraId="4DEF2F3E" w14:textId="77777777" w:rsidR="00E0065F" w:rsidRPr="00F50012"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Por otro lado, la mayor demanda de gasolina en Estados Unidos animará a las refinerías a utilizar más crudo para convertirlo en el combustible de transporte por carretera, brindando soporte a los precios.</w:t>
      </w:r>
    </w:p>
    <w:p w14:paraId="6BF42DEB" w14:textId="77777777" w:rsidR="00E0065F" w:rsidRPr="00F50012" w:rsidRDefault="00E0065F" w:rsidP="00E0065F">
      <w:pPr>
        <w:ind w:left="426"/>
        <w:jc w:val="both"/>
        <w:rPr>
          <w:rFonts w:asciiTheme="minorHAnsi" w:hAnsiTheme="minorHAnsi" w:cstheme="minorHAnsi"/>
          <w:sz w:val="22"/>
          <w:szCs w:val="22"/>
        </w:rPr>
      </w:pPr>
    </w:p>
    <w:p w14:paraId="5201220F" w14:textId="11928CC1" w:rsidR="00107E57" w:rsidRPr="00523CA0" w:rsidRDefault="00E0065F" w:rsidP="00E0065F">
      <w:pPr>
        <w:pStyle w:val="Prrafodelista"/>
        <w:ind w:left="426"/>
        <w:jc w:val="both"/>
        <w:rPr>
          <w:rFonts w:asciiTheme="minorHAnsi" w:hAnsiTheme="minorHAnsi" w:cstheme="minorHAnsi"/>
          <w:sz w:val="22"/>
          <w:szCs w:val="22"/>
        </w:rPr>
      </w:pPr>
      <w:r w:rsidRPr="00F50012">
        <w:rPr>
          <w:rFonts w:asciiTheme="minorHAnsi" w:hAnsiTheme="minorHAnsi" w:cstheme="minorHAnsi"/>
          <w:sz w:val="22"/>
          <w:szCs w:val="22"/>
        </w:rPr>
        <w:t>La Agencia Internacional de la Energía (AIE) señaló que 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r w:rsidR="00107E57" w:rsidRPr="00523CA0">
        <w:rPr>
          <w:rFonts w:asciiTheme="minorHAnsi" w:hAnsiTheme="minorHAnsi" w:cstheme="minorHAnsi"/>
          <w:sz w:val="22"/>
          <w:szCs w:val="22"/>
        </w:rPr>
        <w:t>.</w:t>
      </w:r>
    </w:p>
    <w:p w14:paraId="2635AD76" w14:textId="77777777" w:rsidR="00107E57" w:rsidRPr="0089702E" w:rsidRDefault="00107E57" w:rsidP="006E0AC8">
      <w:pPr>
        <w:pStyle w:val="Prrafodelista"/>
        <w:ind w:left="426"/>
        <w:jc w:val="both"/>
        <w:rPr>
          <w:rFonts w:asciiTheme="minorHAnsi" w:hAnsiTheme="minorHAnsi" w:cstheme="minorHAnsi"/>
          <w:sz w:val="22"/>
          <w:szCs w:val="22"/>
        </w:rPr>
      </w:pP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79EB9F0F" w14:textId="5F41FF34" w:rsidR="00E0065F" w:rsidRDefault="00E0065F" w:rsidP="004D4B7D">
      <w:pPr>
        <w:pStyle w:val="Prrafodelista"/>
        <w:rPr>
          <w:rFonts w:asciiTheme="minorHAnsi" w:hAnsiTheme="minorHAnsi" w:cstheme="minorHAnsi"/>
          <w:sz w:val="22"/>
          <w:szCs w:val="22"/>
        </w:rPr>
      </w:pPr>
    </w:p>
    <w:p w14:paraId="01E8585E" w14:textId="77777777" w:rsidR="00E0065F" w:rsidRDefault="00E0065F" w:rsidP="004D4B7D">
      <w:pPr>
        <w:pStyle w:val="Prrafodelista"/>
        <w:rPr>
          <w:rFonts w:asciiTheme="minorHAnsi" w:hAnsiTheme="minorHAnsi" w:cstheme="minorHAnsi"/>
          <w:sz w:val="22"/>
          <w:szCs w:val="22"/>
        </w:rPr>
      </w:pPr>
    </w:p>
    <w:p w14:paraId="24F917D0" w14:textId="680B402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lastRenderedPageBreak/>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26910E3E" w14:textId="4E8CEB44" w:rsidR="006A2158" w:rsidRDefault="006A2158" w:rsidP="006A215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14</w:t>
      </w:r>
      <w:r w:rsidRPr="004D4B7D">
        <w:rPr>
          <w:rFonts w:asciiTheme="minorHAnsi" w:hAnsiTheme="minorHAnsi" w:cstheme="minorHAnsi"/>
          <w:sz w:val="22"/>
          <w:szCs w:val="22"/>
        </w:rPr>
        <w:t>-2023-OS/GRT, se fijaron las Bandas de Precios y los Márgenes Comerciales para el Gas Licuado de Petróleo destinado a envasado (GLP-E</w:t>
      </w:r>
      <w:r w:rsidR="009F6EF0">
        <w:rPr>
          <w:rFonts w:asciiTheme="minorHAnsi" w:hAnsiTheme="minorHAnsi" w:cstheme="minorHAnsi"/>
          <w:sz w:val="22"/>
          <w:szCs w:val="22"/>
        </w:rPr>
        <w:t xml:space="preserve">) </w:t>
      </w:r>
      <w:r w:rsidRPr="004D4B7D">
        <w:rPr>
          <w:rFonts w:asciiTheme="minorHAnsi" w:hAnsiTheme="minorHAnsi" w:cstheme="minorHAnsi"/>
          <w:sz w:val="22"/>
          <w:szCs w:val="22"/>
        </w:rPr>
        <w:t xml:space="preserve">y Diésel B5 destinado al uso vehicular con vigencia desde el </w:t>
      </w:r>
      <w:r>
        <w:rPr>
          <w:rFonts w:asciiTheme="minorHAnsi" w:hAnsiTheme="minorHAnsi" w:cstheme="minorHAnsi"/>
          <w:sz w:val="22"/>
          <w:szCs w:val="22"/>
        </w:rPr>
        <w:t>31</w:t>
      </w:r>
      <w:r w:rsidRPr="004D4B7D">
        <w:rPr>
          <w:rFonts w:asciiTheme="minorHAnsi" w:hAnsiTheme="minorHAnsi" w:cstheme="minorHAnsi"/>
          <w:sz w:val="22"/>
          <w:szCs w:val="22"/>
        </w:rPr>
        <w:t xml:space="preserve"> de </w:t>
      </w:r>
      <w:r>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27</w:t>
      </w:r>
      <w:r w:rsidRPr="004D4B7D">
        <w:rPr>
          <w:rFonts w:asciiTheme="minorHAnsi" w:hAnsiTheme="minorHAnsi" w:cstheme="minorHAnsi"/>
          <w:sz w:val="22"/>
          <w:szCs w:val="22"/>
        </w:rPr>
        <w:t xml:space="preserve"> de </w:t>
      </w:r>
      <w:r>
        <w:rPr>
          <w:rFonts w:asciiTheme="minorHAnsi" w:hAnsiTheme="minorHAnsi" w:cstheme="minorHAnsi"/>
          <w:sz w:val="22"/>
          <w:szCs w:val="22"/>
        </w:rPr>
        <w:t>abril</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se fijó la Banda de Precios para el </w:t>
      </w:r>
      <w:r w:rsidRPr="004D4B7D">
        <w:rPr>
          <w:rFonts w:asciiTheme="minorHAnsi" w:hAnsiTheme="minorHAnsi" w:cstheme="minorHAnsi"/>
          <w:sz w:val="22"/>
          <w:szCs w:val="22"/>
        </w:rPr>
        <w:t>Gas Licuado de Petróleo destinado a granel (GLP-G)</w:t>
      </w:r>
      <w:r>
        <w:rPr>
          <w:rFonts w:asciiTheme="minorHAnsi" w:hAnsiTheme="minorHAnsi" w:cstheme="minorHAnsi"/>
          <w:sz w:val="22"/>
          <w:szCs w:val="22"/>
        </w:rPr>
        <w:t>, c</w:t>
      </w:r>
      <w:r w:rsidR="009F6EF0">
        <w:rPr>
          <w:rFonts w:asciiTheme="minorHAnsi" w:hAnsiTheme="minorHAnsi" w:cstheme="minorHAnsi"/>
          <w:sz w:val="22"/>
          <w:szCs w:val="22"/>
        </w:rPr>
        <w:t xml:space="preserve">uya </w:t>
      </w:r>
      <w:r>
        <w:rPr>
          <w:rFonts w:asciiTheme="minorHAnsi" w:hAnsiTheme="minorHAnsi" w:cstheme="minorHAnsi"/>
          <w:sz w:val="22"/>
          <w:szCs w:val="22"/>
        </w:rPr>
        <w:t xml:space="preserve">vigencia </w:t>
      </w:r>
      <w:r w:rsidR="009F6EF0">
        <w:rPr>
          <w:rFonts w:asciiTheme="minorHAnsi" w:hAnsiTheme="minorHAnsi" w:cstheme="minorHAnsi"/>
          <w:sz w:val="22"/>
          <w:szCs w:val="22"/>
        </w:rPr>
        <w:t>solo fue para el 31 de marzo</w:t>
      </w:r>
      <w:r>
        <w:rPr>
          <w:rFonts w:asciiTheme="minorHAnsi" w:hAnsiTheme="minorHAnsi" w:cstheme="minorHAnsi"/>
          <w:sz w:val="22"/>
          <w:szCs w:val="22"/>
        </w:rPr>
        <w:t xml:space="preserve"> de 2023.</w:t>
      </w:r>
    </w:p>
    <w:p w14:paraId="29D68AA1" w14:textId="77777777" w:rsidR="006A2158" w:rsidRDefault="006A2158" w:rsidP="004D4B7D">
      <w:pPr>
        <w:pStyle w:val="Textonotapie"/>
        <w:tabs>
          <w:tab w:val="left" w:pos="709"/>
        </w:tabs>
        <w:spacing w:before="0" w:after="0"/>
        <w:ind w:left="568"/>
        <w:rPr>
          <w:rFonts w:asciiTheme="minorHAnsi" w:hAnsiTheme="minorHAnsi" w:cstheme="minorHAnsi"/>
          <w:sz w:val="22"/>
          <w:szCs w:val="22"/>
        </w:rPr>
      </w:pPr>
    </w:p>
    <w:p w14:paraId="5AAD8AFE" w14:textId="1C1D2557"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9F6EF0">
        <w:rPr>
          <w:rFonts w:asciiTheme="minorHAnsi" w:hAnsiTheme="minorHAnsi" w:cstheme="minorHAnsi"/>
          <w:sz w:val="22"/>
          <w:szCs w:val="22"/>
        </w:rPr>
        <w:t xml:space="preserve"> y </w:t>
      </w:r>
      <w:r w:rsidR="009F6EF0" w:rsidRPr="00300844">
        <w:rPr>
          <w:rFonts w:asciiTheme="minorHAnsi" w:hAnsiTheme="minorHAnsi" w:cstheme="minorHAnsi"/>
          <w:sz w:val="22"/>
          <w:szCs w:val="22"/>
        </w:rPr>
        <w:t>0</w:t>
      </w:r>
      <w:r w:rsidR="009F6EF0">
        <w:rPr>
          <w:rFonts w:asciiTheme="minorHAnsi" w:hAnsiTheme="minorHAnsi" w:cstheme="minorHAnsi"/>
          <w:sz w:val="22"/>
          <w:szCs w:val="22"/>
        </w:rPr>
        <w:t>05</w:t>
      </w:r>
      <w:r w:rsidR="009F6EF0" w:rsidRPr="00300844">
        <w:rPr>
          <w:rFonts w:asciiTheme="minorHAnsi" w:hAnsiTheme="minorHAnsi" w:cstheme="minorHAnsi"/>
          <w:sz w:val="22"/>
          <w:szCs w:val="22"/>
        </w:rPr>
        <w:t>-202</w:t>
      </w:r>
      <w:r w:rsidR="009F6EF0">
        <w:rPr>
          <w:rFonts w:asciiTheme="minorHAnsi" w:hAnsiTheme="minorHAnsi" w:cstheme="minorHAnsi"/>
          <w:sz w:val="22"/>
          <w:szCs w:val="22"/>
        </w:rPr>
        <w:t>3</w:t>
      </w:r>
      <w:r w:rsidR="009F6EF0"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E0065F">
        <w:rPr>
          <w:rFonts w:asciiTheme="minorHAnsi" w:hAnsiTheme="minorHAnsi" w:cstheme="minorHAnsi"/>
          <w:sz w:val="22"/>
          <w:szCs w:val="22"/>
        </w:rPr>
        <w:t>04 d</w:t>
      </w:r>
      <w:r w:rsidR="009F6EF0">
        <w:rPr>
          <w:rFonts w:asciiTheme="minorHAnsi" w:hAnsiTheme="minorHAnsi" w:cstheme="minorHAnsi"/>
          <w:sz w:val="22"/>
          <w:szCs w:val="22"/>
        </w:rPr>
        <w:t xml:space="preserve">e </w:t>
      </w:r>
      <w:r w:rsidR="00E0065F">
        <w:rPr>
          <w:rFonts w:asciiTheme="minorHAnsi" w:hAnsiTheme="minorHAnsi" w:cstheme="minorHAnsi"/>
          <w:sz w:val="22"/>
          <w:szCs w:val="22"/>
        </w:rPr>
        <w:t>abril</w:t>
      </w:r>
      <w:r w:rsidRPr="00294829">
        <w:rPr>
          <w:rFonts w:asciiTheme="minorHAnsi" w:hAnsiTheme="minorHAnsi" w:cstheme="minorHAnsi"/>
          <w:sz w:val="22"/>
          <w:szCs w:val="22"/>
        </w:rPr>
        <w:t xml:space="preserve"> al lunes </w:t>
      </w:r>
      <w:r w:rsidR="00E0065F">
        <w:rPr>
          <w:rFonts w:asciiTheme="minorHAnsi" w:hAnsiTheme="minorHAnsi" w:cstheme="minorHAnsi"/>
          <w:sz w:val="22"/>
          <w:szCs w:val="22"/>
        </w:rPr>
        <w:t>10</w:t>
      </w:r>
      <w:r w:rsidRPr="00294829">
        <w:rPr>
          <w:rFonts w:asciiTheme="minorHAnsi" w:hAnsiTheme="minorHAnsi" w:cstheme="minorHAnsi"/>
          <w:sz w:val="22"/>
          <w:szCs w:val="22"/>
        </w:rPr>
        <w:t xml:space="preserve"> de </w:t>
      </w:r>
      <w:r w:rsidR="009F6EF0">
        <w:rPr>
          <w:rFonts w:asciiTheme="minorHAnsi" w:hAnsiTheme="minorHAnsi" w:cstheme="minorHAnsi"/>
          <w:sz w:val="22"/>
          <w:szCs w:val="22"/>
        </w:rPr>
        <w:t>abril</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201FA998" w:rsidR="009D32AB" w:rsidRPr="001B07FE" w:rsidRDefault="00E812D9" w:rsidP="00FC618C">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E0065F">
        <w:rPr>
          <w:rFonts w:asciiTheme="minorHAnsi" w:hAnsiTheme="minorHAnsi" w:cstheme="minorHAnsi"/>
          <w:sz w:val="22"/>
          <w:szCs w:val="22"/>
        </w:rPr>
        <w:t>04</w:t>
      </w:r>
      <w:r w:rsidRPr="001B07FE">
        <w:rPr>
          <w:rFonts w:asciiTheme="minorHAnsi" w:hAnsiTheme="minorHAnsi" w:cstheme="minorHAnsi"/>
          <w:sz w:val="22"/>
          <w:szCs w:val="22"/>
        </w:rPr>
        <w:t>.0</w:t>
      </w:r>
      <w:r w:rsidR="00E0065F">
        <w:rPr>
          <w:rFonts w:asciiTheme="minorHAnsi" w:hAnsiTheme="minorHAnsi" w:cstheme="minorHAnsi"/>
          <w:sz w:val="22"/>
          <w:szCs w:val="22"/>
        </w:rPr>
        <w:t>4</w:t>
      </w:r>
      <w:r w:rsidRPr="001B07FE">
        <w:rPr>
          <w:rFonts w:asciiTheme="minorHAnsi" w:hAnsiTheme="minorHAnsi" w:cstheme="minorHAnsi"/>
          <w:sz w:val="22"/>
          <w:szCs w:val="22"/>
        </w:rPr>
        <w:t>.2023, PETROPERÚ publicó su lista de precios de venta de combustibles. Se registr</w:t>
      </w:r>
      <w:r w:rsidR="001B07FE" w:rsidRPr="001B07FE">
        <w:rPr>
          <w:rFonts w:asciiTheme="minorHAnsi" w:hAnsiTheme="minorHAnsi" w:cstheme="minorHAnsi"/>
          <w:sz w:val="22"/>
          <w:szCs w:val="22"/>
        </w:rPr>
        <w:t>ó una</w:t>
      </w:r>
      <w:r w:rsidRPr="001B07FE">
        <w:rPr>
          <w:rFonts w:asciiTheme="minorHAnsi" w:hAnsiTheme="minorHAnsi" w:cstheme="minorHAnsi"/>
          <w:sz w:val="22"/>
          <w:szCs w:val="22"/>
        </w:rPr>
        <w:t xml:space="preserve"> variaci</w:t>
      </w:r>
      <w:r w:rsidR="001B07FE" w:rsidRPr="001B07FE">
        <w:rPr>
          <w:rFonts w:asciiTheme="minorHAnsi" w:hAnsiTheme="minorHAnsi" w:cstheme="minorHAnsi"/>
          <w:sz w:val="22"/>
          <w:szCs w:val="22"/>
        </w:rPr>
        <w:t>ón</w:t>
      </w:r>
      <w:r w:rsidRPr="001B07FE">
        <w:rPr>
          <w:rFonts w:asciiTheme="minorHAnsi" w:hAnsiTheme="minorHAnsi" w:cstheme="minorHAnsi"/>
          <w:sz w:val="22"/>
          <w:szCs w:val="22"/>
        </w:rPr>
        <w:t xml:space="preserve"> en </w:t>
      </w:r>
      <w:r w:rsidR="001B07FE" w:rsidRPr="001B07FE">
        <w:rPr>
          <w:rFonts w:asciiTheme="minorHAnsi" w:hAnsiTheme="minorHAnsi" w:cstheme="minorHAnsi"/>
          <w:sz w:val="22"/>
          <w:szCs w:val="22"/>
        </w:rPr>
        <w:t>e</w:t>
      </w:r>
      <w:r w:rsidRPr="001B07FE">
        <w:rPr>
          <w:rFonts w:asciiTheme="minorHAnsi" w:hAnsiTheme="minorHAnsi" w:cstheme="minorHAnsi"/>
          <w:sz w:val="22"/>
          <w:szCs w:val="22"/>
        </w:rPr>
        <w:t>l precio</w:t>
      </w:r>
      <w:r w:rsidR="001B07FE" w:rsidRPr="001B07FE">
        <w:rPr>
          <w:rFonts w:asciiTheme="minorHAnsi" w:hAnsiTheme="minorHAnsi" w:cstheme="minorHAnsi"/>
          <w:sz w:val="22"/>
          <w:szCs w:val="22"/>
        </w:rPr>
        <w:t xml:space="preserve"> del</w:t>
      </w:r>
      <w:r w:rsidRPr="001B07FE">
        <w:rPr>
          <w:rFonts w:asciiTheme="minorHAnsi" w:hAnsiTheme="minorHAnsi" w:cstheme="minorHAnsi"/>
          <w:sz w:val="22"/>
          <w:szCs w:val="22"/>
        </w:rPr>
        <w:t xml:space="preserve"> </w:t>
      </w:r>
      <w:r w:rsidR="00AC2744">
        <w:rPr>
          <w:rFonts w:asciiTheme="minorHAnsi" w:hAnsiTheme="minorHAnsi" w:cstheme="minorHAnsi"/>
          <w:sz w:val="22"/>
          <w:szCs w:val="22"/>
        </w:rPr>
        <w:t>GLP</w:t>
      </w:r>
      <w:r w:rsidR="00954A3E" w:rsidRPr="001B07FE">
        <w:rPr>
          <w:rFonts w:asciiTheme="minorHAnsi" w:hAnsiTheme="minorHAnsi" w:cstheme="minorHAnsi"/>
          <w:sz w:val="22"/>
          <w:szCs w:val="22"/>
        </w:rPr>
        <w:t xml:space="preserve"> </w:t>
      </w:r>
      <w:r w:rsidR="001C64F2" w:rsidRPr="001B07FE">
        <w:rPr>
          <w:rFonts w:asciiTheme="minorHAnsi" w:hAnsiTheme="minorHAnsi" w:cstheme="minorHAnsi"/>
          <w:sz w:val="22"/>
          <w:szCs w:val="22"/>
        </w:rPr>
        <w:t>(-0,</w:t>
      </w:r>
      <w:r w:rsidR="00AC2744">
        <w:rPr>
          <w:rFonts w:asciiTheme="minorHAnsi" w:hAnsiTheme="minorHAnsi" w:cstheme="minorHAnsi"/>
          <w:sz w:val="22"/>
          <w:szCs w:val="22"/>
        </w:rPr>
        <w:t>16</w:t>
      </w:r>
      <w:r w:rsidR="001C64F2" w:rsidRPr="001B07FE">
        <w:rPr>
          <w:rFonts w:asciiTheme="minorHAnsi" w:hAnsiTheme="minorHAnsi" w:cstheme="minorHAnsi"/>
          <w:sz w:val="22"/>
          <w:szCs w:val="22"/>
        </w:rPr>
        <w:t xml:space="preserve"> S/</w:t>
      </w:r>
      <w:r w:rsidR="00AC2744">
        <w:rPr>
          <w:rFonts w:asciiTheme="minorHAnsi" w:hAnsiTheme="minorHAnsi" w:cstheme="minorHAnsi"/>
          <w:sz w:val="22"/>
          <w:szCs w:val="22"/>
        </w:rPr>
        <w:t>Kg</w:t>
      </w:r>
      <w:r w:rsidR="001C64F2" w:rsidRPr="001B07FE">
        <w:rPr>
          <w:rFonts w:asciiTheme="minorHAnsi" w:hAnsiTheme="minorHAnsi" w:cstheme="minorHAnsi"/>
          <w:sz w:val="22"/>
          <w:szCs w:val="22"/>
        </w:rPr>
        <w:t>)</w:t>
      </w:r>
      <w:r w:rsidR="0079059A" w:rsidRPr="001B07FE">
        <w:rPr>
          <w:rFonts w:asciiTheme="minorHAnsi" w:hAnsiTheme="minorHAnsi" w:cstheme="minorHAnsi"/>
          <w:sz w:val="22"/>
          <w:szCs w:val="22"/>
        </w:rPr>
        <w:t>.</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lastRenderedPageBreak/>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5DE66853"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6D5AB1F1"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F6EF0">
        <w:rPr>
          <w:rFonts w:asciiTheme="minorHAnsi" w:hAnsiTheme="minorHAnsi" w:cstheme="minorHAnsi"/>
          <w:sz w:val="22"/>
          <w:szCs w:val="22"/>
        </w:rPr>
        <w:t>2</w:t>
      </w:r>
      <w:r w:rsidR="00AC2744">
        <w:rPr>
          <w:rFonts w:asciiTheme="minorHAnsi" w:hAnsiTheme="minorHAnsi" w:cstheme="minorHAnsi"/>
          <w:sz w:val="22"/>
          <w:szCs w:val="22"/>
        </w:rPr>
        <w:t>7</w:t>
      </w:r>
      <w:r>
        <w:rPr>
          <w:rFonts w:asciiTheme="minorHAnsi" w:hAnsiTheme="minorHAnsi" w:cstheme="minorHAnsi"/>
          <w:sz w:val="22"/>
          <w:szCs w:val="22"/>
        </w:rPr>
        <w:t>/0</w:t>
      </w:r>
      <w:r w:rsidR="00E812D9">
        <w:rPr>
          <w:rFonts w:asciiTheme="minorHAnsi" w:hAnsiTheme="minorHAnsi" w:cstheme="minorHAnsi"/>
          <w:sz w:val="22"/>
          <w:szCs w:val="22"/>
        </w:rPr>
        <w:t>3</w:t>
      </w:r>
      <w:r>
        <w:rPr>
          <w:rFonts w:asciiTheme="minorHAnsi" w:hAnsiTheme="minorHAnsi" w:cstheme="minorHAnsi"/>
          <w:sz w:val="22"/>
          <w:szCs w:val="22"/>
        </w:rPr>
        <w:t xml:space="preserve">/2023 y el </w:t>
      </w:r>
      <w:r w:rsidR="00AC2744">
        <w:rPr>
          <w:rFonts w:asciiTheme="minorHAnsi" w:hAnsiTheme="minorHAnsi" w:cstheme="minorHAnsi"/>
          <w:sz w:val="22"/>
          <w:szCs w:val="22"/>
        </w:rPr>
        <w:t>06</w:t>
      </w:r>
      <w:r>
        <w:rPr>
          <w:rFonts w:asciiTheme="minorHAnsi" w:hAnsiTheme="minorHAnsi" w:cstheme="minorHAnsi"/>
          <w:sz w:val="22"/>
          <w:szCs w:val="22"/>
        </w:rPr>
        <w:t>/0</w:t>
      </w:r>
      <w:r w:rsidR="00AC2744">
        <w:rPr>
          <w:rFonts w:asciiTheme="minorHAnsi" w:hAnsiTheme="minorHAnsi" w:cstheme="minorHAnsi"/>
          <w:sz w:val="22"/>
          <w:szCs w:val="22"/>
        </w:rPr>
        <w:t>4</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7294CB91"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C2744">
        <w:rPr>
          <w:rFonts w:ascii="Calibri" w:hAnsi="Calibri" w:cs="Arial"/>
          <w:b/>
          <w:bCs/>
          <w:i/>
          <w:sz w:val="22"/>
          <w:szCs w:val="22"/>
          <w:lang w:eastAsia="es-PE"/>
        </w:rPr>
        <w:t>06</w:t>
      </w:r>
      <w:r>
        <w:rPr>
          <w:rFonts w:ascii="Calibri" w:hAnsi="Calibri" w:cs="Arial"/>
          <w:b/>
          <w:bCs/>
          <w:i/>
          <w:sz w:val="22"/>
          <w:szCs w:val="22"/>
          <w:lang w:eastAsia="es-PE"/>
        </w:rPr>
        <w:t>-0</w:t>
      </w:r>
      <w:r w:rsidR="00AC2744">
        <w:rPr>
          <w:rFonts w:ascii="Calibri" w:hAnsi="Calibri" w:cs="Arial"/>
          <w:b/>
          <w:bCs/>
          <w:i/>
          <w:sz w:val="22"/>
          <w:szCs w:val="22"/>
          <w:lang w:eastAsia="es-PE"/>
        </w:rPr>
        <w:t>4</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EF075BE" w:rsidR="00A86191" w:rsidRPr="00CC2A8A" w:rsidRDefault="00AC2744" w:rsidP="00A86191">
      <w:pPr>
        <w:pBdr>
          <w:top w:val="single" w:sz="4" w:space="1" w:color="auto"/>
          <w:bottom w:val="single" w:sz="4" w:space="1" w:color="auto"/>
        </w:pBdr>
        <w:rPr>
          <w:rFonts w:ascii="Calibri" w:hAnsi="Calibri" w:cs="Arial"/>
          <w:bCs/>
          <w:sz w:val="32"/>
          <w:szCs w:val="32"/>
        </w:rPr>
      </w:pPr>
      <w:r w:rsidRPr="00371915">
        <w:rPr>
          <w:noProof/>
        </w:rPr>
        <w:drawing>
          <wp:inline distT="0" distB="0" distL="0" distR="0" wp14:anchorId="49E1D3CA" wp14:editId="07967EBB">
            <wp:extent cx="5490845" cy="2778596"/>
            <wp:effectExtent l="0" t="0" r="0" b="3175"/>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2"/>
                    <a:stretch>
                      <a:fillRect/>
                    </a:stretch>
                  </pic:blipFill>
                  <pic:spPr>
                    <a:xfrm>
                      <a:off x="0" y="0"/>
                      <a:ext cx="5495768" cy="2781087"/>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264F5E16"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0DC88A68"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9F6EF0">
        <w:rPr>
          <w:rFonts w:asciiTheme="minorHAnsi" w:hAnsiTheme="minorHAnsi" w:cstheme="minorHAnsi"/>
          <w:sz w:val="22"/>
          <w:szCs w:val="22"/>
        </w:rPr>
        <w:t>6</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9F6EF0">
        <w:rPr>
          <w:rFonts w:asciiTheme="minorHAnsi" w:hAnsiTheme="minorHAnsi" w:cstheme="minorHAnsi"/>
          <w:sz w:val="22"/>
          <w:szCs w:val="22"/>
        </w:rPr>
        <w:t>0</w:t>
      </w:r>
      <w:r>
        <w:rPr>
          <w:rFonts w:asciiTheme="minorHAnsi" w:hAnsiTheme="minorHAnsi" w:cstheme="minorHAnsi"/>
          <w:sz w:val="22"/>
          <w:szCs w:val="22"/>
        </w:rPr>
        <w:t>% y 8</w:t>
      </w:r>
      <w:r w:rsidR="009F6EF0">
        <w:rPr>
          <w:rFonts w:asciiTheme="minorHAnsi" w:hAnsiTheme="minorHAnsi" w:cstheme="minorHAnsi"/>
          <w:sz w:val="22"/>
          <w:szCs w:val="22"/>
        </w:rPr>
        <w:t>8</w:t>
      </w:r>
      <w:r>
        <w:rPr>
          <w:rFonts w:asciiTheme="minorHAnsi" w:hAnsiTheme="minorHAnsi" w:cstheme="minorHAnsi"/>
          <w:sz w:val="22"/>
          <w:szCs w:val="22"/>
        </w:rPr>
        <w:t>% del precio de referencia de los biocombustibles, 7</w:t>
      </w:r>
      <w:r w:rsidR="00AC2744">
        <w:rPr>
          <w:rFonts w:asciiTheme="minorHAnsi" w:hAnsiTheme="minorHAnsi" w:cstheme="minorHAnsi"/>
          <w:sz w:val="22"/>
          <w:szCs w:val="22"/>
        </w:rPr>
        <w:t>8</w:t>
      </w:r>
      <w:r>
        <w:rPr>
          <w:rFonts w:asciiTheme="minorHAnsi" w:hAnsiTheme="minorHAnsi" w:cstheme="minorHAnsi"/>
          <w:sz w:val="22"/>
          <w:szCs w:val="22"/>
        </w:rPr>
        <w:t xml:space="preserve">%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AC2744">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2E61969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AC2744">
        <w:rPr>
          <w:rFonts w:asciiTheme="minorHAnsi" w:hAnsiTheme="minorHAnsi" w:cstheme="minorHAnsi"/>
          <w:sz w:val="22"/>
          <w:szCs w:val="22"/>
        </w:rPr>
        <w:t>10</w:t>
      </w:r>
      <w:r>
        <w:rPr>
          <w:rFonts w:asciiTheme="minorHAnsi" w:hAnsiTheme="minorHAnsi" w:cstheme="minorHAnsi"/>
          <w:sz w:val="22"/>
          <w:szCs w:val="22"/>
        </w:rPr>
        <w:t xml:space="preserve"> de </w:t>
      </w:r>
      <w:r w:rsidR="00AC2744">
        <w:rPr>
          <w:rFonts w:asciiTheme="minorHAnsi" w:hAnsiTheme="minorHAnsi" w:cstheme="minorHAnsi"/>
          <w:sz w:val="22"/>
          <w:szCs w:val="22"/>
        </w:rPr>
        <w:t>abril</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2B4760C4"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F6EF0">
        <w:rPr>
          <w:rFonts w:asciiTheme="minorHAnsi" w:hAnsiTheme="minorHAnsi" w:cstheme="minorHAnsi"/>
          <w:sz w:val="22"/>
          <w:szCs w:val="22"/>
        </w:rPr>
        <w:t>5</w:t>
      </w:r>
      <w:r w:rsidR="001F2602">
        <w:rPr>
          <w:rFonts w:asciiTheme="minorHAnsi" w:hAnsiTheme="minorHAnsi" w:cstheme="minorHAnsi"/>
          <w:sz w:val="22"/>
          <w:szCs w:val="22"/>
        </w:rPr>
        <w:t>,</w:t>
      </w:r>
      <w:r w:rsidR="009F6EF0">
        <w:rPr>
          <w:rFonts w:asciiTheme="minorHAnsi" w:hAnsiTheme="minorHAnsi" w:cstheme="minorHAnsi"/>
          <w:sz w:val="22"/>
          <w:szCs w:val="22"/>
        </w:rPr>
        <w:t>5</w:t>
      </w:r>
      <w:r w:rsidR="00AC2744">
        <w:rPr>
          <w:rFonts w:asciiTheme="minorHAnsi" w:hAnsiTheme="minorHAnsi" w:cstheme="minorHAnsi"/>
          <w:sz w:val="22"/>
          <w:szCs w:val="22"/>
        </w:rPr>
        <w:t>4</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7C463158" w14:textId="77777777" w:rsidR="00E812D9" w:rsidRPr="006E3A77" w:rsidRDefault="00E812D9" w:rsidP="00E812D9">
      <w:pPr>
        <w:pStyle w:val="Prrafodelista"/>
        <w:ind w:left="426" w:hanging="426"/>
        <w:jc w:val="center"/>
        <w:rPr>
          <w:rFonts w:asciiTheme="minorHAnsi" w:hAnsiTheme="minorHAnsi" w:cstheme="minorHAnsi"/>
          <w:sz w:val="22"/>
          <w:szCs w:val="22"/>
          <w:lang w:val="es-MX"/>
        </w:rPr>
      </w:pPr>
    </w:p>
    <w:p w14:paraId="2BDFF827" w14:textId="79283A95"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F6EF0">
        <w:rPr>
          <w:rFonts w:asciiTheme="minorHAnsi" w:hAnsiTheme="minorHAnsi" w:cstheme="minorHAnsi"/>
          <w:sz w:val="22"/>
          <w:szCs w:val="22"/>
          <w:lang w:val="en-US"/>
        </w:rPr>
        <w:t>5</w:t>
      </w:r>
      <w:r>
        <w:rPr>
          <w:rFonts w:asciiTheme="minorHAnsi" w:hAnsiTheme="minorHAnsi" w:cstheme="minorHAnsi"/>
          <w:sz w:val="22"/>
          <w:szCs w:val="22"/>
          <w:lang w:val="en-US"/>
        </w:rPr>
        <w:t>,</w:t>
      </w:r>
      <w:r w:rsidR="009F6EF0">
        <w:rPr>
          <w:rFonts w:asciiTheme="minorHAnsi" w:hAnsiTheme="minorHAnsi" w:cstheme="minorHAnsi"/>
          <w:sz w:val="22"/>
          <w:szCs w:val="22"/>
          <w:lang w:val="en-US"/>
        </w:rPr>
        <w:t>5</w:t>
      </w:r>
      <w:r w:rsidR="00AC2744">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9F6EF0">
        <w:rPr>
          <w:rFonts w:asciiTheme="minorHAnsi" w:hAnsiTheme="minorHAnsi" w:cstheme="minorHAnsi"/>
          <w:sz w:val="22"/>
          <w:szCs w:val="22"/>
          <w:lang w:val="en-US"/>
        </w:rPr>
        <w:t>9</w:t>
      </w:r>
      <w:r w:rsidR="00AC2744">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4B030856"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9F6EF0">
        <w:rPr>
          <w:rFonts w:asciiTheme="minorHAnsi" w:hAnsiTheme="minorHAnsi" w:cstheme="minorHAnsi"/>
          <w:sz w:val="22"/>
          <w:szCs w:val="22"/>
          <w:lang w:val="en-US"/>
        </w:rPr>
        <w:t>6</w:t>
      </w:r>
      <w:r w:rsidR="00AC2744">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0A0219C0"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6281289D"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513E2B">
        <w:rPr>
          <w:rFonts w:asciiTheme="minorHAnsi" w:hAnsiTheme="minorHAnsi" w:cstheme="minorHAnsi"/>
          <w:sz w:val="22"/>
          <w:szCs w:val="22"/>
        </w:rPr>
        <w:t>8</w:t>
      </w:r>
      <w:r w:rsidR="00AC2744">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6FFB3D85"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EE790A">
        <w:rPr>
          <w:rFonts w:asciiTheme="minorHAnsi" w:hAnsiTheme="minorHAnsi" w:cstheme="minorHAnsi"/>
          <w:sz w:val="22"/>
          <w:szCs w:val="22"/>
        </w:rPr>
        <w:t>9</w:t>
      </w:r>
      <w:r w:rsidR="00AC2744">
        <w:rPr>
          <w:rFonts w:asciiTheme="minorHAnsi" w:hAnsiTheme="minorHAnsi" w:cstheme="minorHAnsi"/>
          <w:sz w:val="22"/>
          <w:szCs w:val="22"/>
        </w:rPr>
        <w:t>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EE790A">
        <w:rPr>
          <w:rFonts w:asciiTheme="minorHAnsi" w:hAnsiTheme="minorHAnsi" w:cstheme="minorHAnsi"/>
          <w:sz w:val="22"/>
          <w:szCs w:val="22"/>
        </w:rPr>
        <w:t>7</w:t>
      </w:r>
      <w:r w:rsidR="00AC2744">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407973C1"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AC2744">
        <w:rPr>
          <w:rFonts w:asciiTheme="minorHAnsi" w:hAnsiTheme="minorHAnsi" w:cstheme="minorHAnsi"/>
          <w:sz w:val="22"/>
          <w:szCs w:val="22"/>
        </w:rPr>
        <w:t>9</w:t>
      </w:r>
      <w:r w:rsidR="00EE790A">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C2744">
        <w:rPr>
          <w:rFonts w:asciiTheme="minorHAnsi" w:hAnsiTheme="minorHAnsi" w:cstheme="minorHAnsi"/>
          <w:sz w:val="22"/>
          <w:szCs w:val="22"/>
        </w:rPr>
        <w:t>10</w:t>
      </w:r>
      <w:r w:rsidR="00513E2B">
        <w:rPr>
          <w:rFonts w:asciiTheme="minorHAnsi" w:hAnsiTheme="minorHAnsi" w:cstheme="minorHAnsi"/>
          <w:sz w:val="22"/>
          <w:szCs w:val="22"/>
        </w:rPr>
        <w:t>,</w:t>
      </w:r>
      <w:r w:rsidR="00AC2744">
        <w:rPr>
          <w:rFonts w:asciiTheme="minorHAnsi" w:hAnsiTheme="minorHAnsi" w:cstheme="minorHAnsi"/>
          <w:sz w:val="22"/>
          <w:szCs w:val="22"/>
        </w:rPr>
        <w:t>28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2D4CC59" w:rsidR="00E812D9" w:rsidRDefault="00E812D9" w:rsidP="00E812D9">
      <w:pPr>
        <w:ind w:left="426" w:hanging="426"/>
        <w:jc w:val="both"/>
        <w:rPr>
          <w:rFonts w:asciiTheme="minorHAnsi" w:hAnsiTheme="minorHAnsi" w:cstheme="minorHAnsi"/>
          <w:sz w:val="22"/>
          <w:szCs w:val="22"/>
          <w:u w:val="single"/>
        </w:rPr>
      </w:pPr>
    </w:p>
    <w:p w14:paraId="58B039E3" w14:textId="7BA9A535" w:rsidR="00B304E2" w:rsidRDefault="00B304E2" w:rsidP="00E812D9">
      <w:pPr>
        <w:ind w:left="426" w:hanging="426"/>
        <w:jc w:val="both"/>
        <w:rPr>
          <w:rFonts w:asciiTheme="minorHAnsi" w:hAnsiTheme="minorHAnsi" w:cstheme="minorHAnsi"/>
          <w:sz w:val="22"/>
          <w:szCs w:val="22"/>
          <w:u w:val="single"/>
        </w:rPr>
      </w:pPr>
    </w:p>
    <w:p w14:paraId="3633EA1A" w14:textId="00A8A710" w:rsidR="00B304E2" w:rsidRDefault="00B304E2" w:rsidP="00E812D9">
      <w:pPr>
        <w:ind w:left="426" w:hanging="426"/>
        <w:jc w:val="both"/>
        <w:rPr>
          <w:rFonts w:asciiTheme="minorHAnsi" w:hAnsiTheme="minorHAnsi" w:cstheme="minorHAnsi"/>
          <w:sz w:val="22"/>
          <w:szCs w:val="22"/>
          <w:u w:val="single"/>
        </w:rPr>
      </w:pPr>
    </w:p>
    <w:p w14:paraId="611DCC74" w14:textId="4F396E75" w:rsidR="00B304E2" w:rsidRDefault="00B304E2" w:rsidP="00E812D9">
      <w:pPr>
        <w:ind w:left="426" w:hanging="426"/>
        <w:jc w:val="both"/>
        <w:rPr>
          <w:rFonts w:asciiTheme="minorHAnsi" w:hAnsiTheme="minorHAnsi" w:cstheme="minorHAnsi"/>
          <w:sz w:val="22"/>
          <w:szCs w:val="22"/>
          <w:u w:val="single"/>
        </w:rPr>
      </w:pPr>
    </w:p>
    <w:p w14:paraId="694F6E85" w14:textId="77777777" w:rsidR="00B304E2" w:rsidRPr="006E3A77" w:rsidRDefault="00B304E2"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404EDBCD"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C86C52">
        <w:rPr>
          <w:rFonts w:asciiTheme="minorHAnsi" w:hAnsiTheme="minorHAnsi" w:cstheme="minorHAnsi"/>
          <w:sz w:val="22"/>
          <w:szCs w:val="22"/>
        </w:rPr>
        <w:t>8</w:t>
      </w:r>
      <w:r w:rsidR="00AC2744">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0C06555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w:t>
      </w:r>
      <w:r w:rsidR="00AC2744">
        <w:rPr>
          <w:rFonts w:asciiTheme="minorHAnsi" w:hAnsiTheme="minorHAnsi" w:cstheme="minorHAnsi"/>
          <w:sz w:val="22"/>
          <w:szCs w:val="22"/>
        </w:rPr>
        <w:t>10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4C0510B2" w14:textId="77777777" w:rsidR="00352B3A" w:rsidRDefault="00352B3A" w:rsidP="004F74EE">
      <w:pPr>
        <w:jc w:val="both"/>
        <w:rPr>
          <w:rFonts w:ascii="Arial" w:hAnsi="Arial" w:cs="Arial"/>
          <w:sz w:val="22"/>
          <w:szCs w:val="22"/>
          <w:u w:val="single"/>
          <w:lang w:eastAsia="en-US"/>
        </w:rPr>
      </w:pPr>
    </w:p>
    <w:p w14:paraId="31467A43" w14:textId="77777777" w:rsidR="00D149F2" w:rsidRDefault="00D149F2"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08FADBED" w:rsidR="00765078" w:rsidRDefault="00E6242B" w:rsidP="004F74EE">
      <w:pPr>
        <w:pBdr>
          <w:top w:val="single" w:sz="4" w:space="1" w:color="auto"/>
          <w:bottom w:val="single" w:sz="4" w:space="1" w:color="auto"/>
        </w:pBdr>
        <w:jc w:val="center"/>
        <w:rPr>
          <w:rFonts w:ascii="Calibri" w:hAnsi="Calibri" w:cs="Calibri"/>
          <w:sz w:val="22"/>
          <w:szCs w:val="22"/>
          <w:lang w:val="es-PE" w:eastAsia="en-US"/>
        </w:rPr>
      </w:pPr>
      <w:r w:rsidRPr="00E6242B">
        <w:rPr>
          <w:noProof/>
        </w:rPr>
        <w:drawing>
          <wp:inline distT="0" distB="0" distL="0" distR="0" wp14:anchorId="7D26E3CB" wp14:editId="669FC527">
            <wp:extent cx="8173085" cy="306832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5869" cy="306936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C63F4">
        <w:trPr>
          <w:trHeight w:val="4665"/>
        </w:trPr>
        <w:tc>
          <w:tcPr>
            <w:tcW w:w="5693" w:type="dxa"/>
            <w:tcBorders>
              <w:top w:val="single" w:sz="4" w:space="0" w:color="auto"/>
              <w:bottom w:val="single" w:sz="4" w:space="0" w:color="auto"/>
            </w:tcBorders>
            <w:shd w:val="clear" w:color="auto" w:fill="auto"/>
          </w:tcPr>
          <w:p w14:paraId="730DA91A" w14:textId="7FE33243" w:rsidR="00F85D23" w:rsidRDefault="001055BE" w:rsidP="00FB4E04">
            <w:pPr>
              <w:ind w:left="-618" w:right="-654"/>
              <w:jc w:val="center"/>
              <w:rPr>
                <w:rFonts w:asciiTheme="minorHAnsi" w:hAnsiTheme="minorHAnsi" w:cstheme="minorHAnsi"/>
              </w:rPr>
            </w:pPr>
            <w:r w:rsidRPr="001055BE">
              <w:rPr>
                <w:rFonts w:asciiTheme="minorHAnsi" w:hAnsiTheme="minorHAnsi" w:cstheme="minorHAnsi"/>
                <w:noProof/>
              </w:rPr>
              <w:drawing>
                <wp:inline distT="0" distB="0" distL="0" distR="0" wp14:anchorId="47136DBB" wp14:editId="762CB62E">
                  <wp:extent cx="3522345" cy="2798859"/>
                  <wp:effectExtent l="0" t="0" r="1905"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7375" cy="2802856"/>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4B7E14B4" w:rsidR="00EF3BE9" w:rsidRPr="00CE793E" w:rsidRDefault="001055BE"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B552CB9" wp14:editId="3A2BDC33">
                  <wp:extent cx="5489856" cy="257598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33964" cy="2596677"/>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7E0CACE7" w:rsidR="006C63F4" w:rsidRPr="00737F8F" w:rsidRDefault="001055B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1055BE">
        <w:drawing>
          <wp:inline distT="0" distB="0" distL="0" distR="0" wp14:anchorId="5E2A85A7" wp14:editId="4862B7DE">
            <wp:extent cx="5674995" cy="2234317"/>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3846" cy="223780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33E6C258" w:rsidR="005C4A97" w:rsidRDefault="007551B9" w:rsidP="00604758">
      <w:pPr>
        <w:spacing w:line="0" w:lineRule="atLeast"/>
        <w:ind w:right="-567"/>
        <w:jc w:val="both"/>
        <w:rPr>
          <w:rFonts w:asciiTheme="minorHAnsi" w:hAnsiTheme="minorHAnsi" w:cstheme="minorHAnsi"/>
          <w:i/>
          <w:sz w:val="18"/>
          <w:szCs w:val="18"/>
        </w:rPr>
      </w:pPr>
      <w:r w:rsidRPr="007551B9">
        <w:drawing>
          <wp:inline distT="0" distB="0" distL="0" distR="0" wp14:anchorId="7139707A" wp14:editId="1B275B88">
            <wp:extent cx="5849900" cy="2377440"/>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7985" cy="238072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3F479ED6" w:rsidR="00127A54" w:rsidRDefault="007551B9" w:rsidP="006220EA">
      <w:pPr>
        <w:rPr>
          <w:rFonts w:asciiTheme="minorHAnsi" w:hAnsiTheme="minorHAnsi" w:cstheme="minorHAnsi"/>
          <w:i/>
          <w:sz w:val="18"/>
          <w:szCs w:val="18"/>
        </w:rPr>
      </w:pPr>
      <w:r w:rsidRPr="007551B9">
        <w:drawing>
          <wp:inline distT="0" distB="0" distL="0" distR="0" wp14:anchorId="245E4309" wp14:editId="05FB59FE">
            <wp:extent cx="5850170" cy="7402664"/>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3925" cy="7407416"/>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0291E023" w:rsidR="005048C1" w:rsidRPr="00C2751F" w:rsidRDefault="007551B9" w:rsidP="005048C1">
      <w:pPr>
        <w:spacing w:line="0" w:lineRule="atLeast"/>
        <w:ind w:right="-567"/>
        <w:jc w:val="both"/>
        <w:rPr>
          <w:noProof/>
          <w:lang w:val="es-PE" w:eastAsia="es-PE"/>
        </w:rPr>
      </w:pPr>
      <w:r w:rsidRPr="007551B9">
        <w:drawing>
          <wp:inline distT="0" distB="0" distL="0" distR="0" wp14:anchorId="65DC28A9" wp14:editId="0B375ABA">
            <wp:extent cx="5850255" cy="624972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3833" cy="6253547"/>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4A311CDF" w14:textId="77777777" w:rsidR="007B4A68" w:rsidRDefault="007B4A68" w:rsidP="00214BFB">
      <w:pPr>
        <w:jc w:val="both"/>
        <w:rPr>
          <w:rFonts w:asciiTheme="minorHAnsi" w:hAnsiTheme="minorHAnsi" w:cstheme="minorHAnsi"/>
          <w:sz w:val="22"/>
          <w:szCs w:val="22"/>
        </w:rPr>
      </w:pPr>
    </w:p>
    <w:p w14:paraId="71EEFBED" w14:textId="652AA73B" w:rsidR="007B4A68" w:rsidRDefault="007B4A68" w:rsidP="007B4A68">
      <w:pPr>
        <w:jc w:val="center"/>
        <w:rPr>
          <w:rFonts w:asciiTheme="minorHAnsi" w:hAnsiTheme="minorHAnsi" w:cstheme="minorHAnsi"/>
          <w:sz w:val="22"/>
          <w:szCs w:val="22"/>
        </w:rPr>
      </w:pPr>
      <w:r>
        <w:rPr>
          <w:noProof/>
        </w:rPr>
        <w:drawing>
          <wp:inline distT="0" distB="0" distL="0" distR="0" wp14:anchorId="0A2D879B" wp14:editId="0FB7FC02">
            <wp:extent cx="4651423" cy="2483485"/>
            <wp:effectExtent l="19050" t="19050" r="15875" b="12065"/>
            <wp:docPr id="14" name="Picture 2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63930" cy="2490163"/>
                    </a:xfrm>
                    <a:prstGeom prst="rect">
                      <a:avLst/>
                    </a:prstGeom>
                    <a:noFill/>
                    <a:ln>
                      <a:solidFill>
                        <a:schemeClr val="accent1"/>
                      </a:solidFill>
                    </a:ln>
                  </pic:spPr>
                </pic:pic>
              </a:graphicData>
            </a:graphic>
          </wp:inline>
        </w:drawing>
      </w:r>
    </w:p>
    <w:p w14:paraId="305E8110" w14:textId="77777777" w:rsidR="007B4A68" w:rsidRDefault="007B4A68" w:rsidP="007B4A68">
      <w:pPr>
        <w:jc w:val="center"/>
        <w:rPr>
          <w:rFonts w:asciiTheme="minorHAnsi" w:hAnsiTheme="minorHAnsi" w:cstheme="minorHAnsi"/>
          <w:sz w:val="22"/>
          <w:szCs w:val="22"/>
        </w:rPr>
      </w:pPr>
    </w:p>
    <w:p w14:paraId="78439BD8" w14:textId="77777777" w:rsidR="007B4A68" w:rsidRDefault="007B4A68" w:rsidP="007B4A68">
      <w:pPr>
        <w:jc w:val="center"/>
        <w:rPr>
          <w:rFonts w:asciiTheme="minorHAnsi" w:hAnsiTheme="minorHAnsi" w:cstheme="minorHAnsi"/>
          <w:sz w:val="22"/>
          <w:szCs w:val="22"/>
        </w:rPr>
      </w:pPr>
    </w:p>
    <w:p w14:paraId="54BEAB46" w14:textId="77777777" w:rsidR="007B4A68" w:rsidRDefault="007B4A68" w:rsidP="007B4A68">
      <w:pPr>
        <w:jc w:val="center"/>
        <w:rPr>
          <w:rFonts w:asciiTheme="minorHAnsi" w:hAnsiTheme="minorHAnsi" w:cstheme="minorHAnsi"/>
          <w:sz w:val="22"/>
          <w:szCs w:val="22"/>
        </w:rPr>
      </w:pPr>
      <w:r>
        <w:rPr>
          <w:noProof/>
        </w:rPr>
        <w:drawing>
          <wp:inline distT="0" distB="0" distL="0" distR="0" wp14:anchorId="204BA322" wp14:editId="10BE10FE">
            <wp:extent cx="4651423" cy="2483485"/>
            <wp:effectExtent l="19050" t="19050" r="15875" b="12065"/>
            <wp:docPr id="15" name="Picture 2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4336" cy="2485040"/>
                    </a:xfrm>
                    <a:prstGeom prst="rect">
                      <a:avLst/>
                    </a:prstGeom>
                    <a:noFill/>
                    <a:ln>
                      <a:solidFill>
                        <a:schemeClr val="accent1"/>
                      </a:solidFill>
                    </a:ln>
                  </pic:spPr>
                </pic:pic>
              </a:graphicData>
            </a:graphic>
          </wp:inline>
        </w:drawing>
      </w:r>
    </w:p>
    <w:p w14:paraId="31BD755F" w14:textId="77777777" w:rsidR="007B4A68" w:rsidRDefault="007B4A68" w:rsidP="007B4A68">
      <w:pPr>
        <w:jc w:val="center"/>
        <w:rPr>
          <w:rFonts w:asciiTheme="minorHAnsi" w:hAnsiTheme="minorHAnsi" w:cstheme="minorHAnsi"/>
          <w:sz w:val="22"/>
          <w:szCs w:val="22"/>
        </w:rPr>
      </w:pPr>
    </w:p>
    <w:p w14:paraId="4C4C884A" w14:textId="77777777" w:rsidR="007B4A68" w:rsidRDefault="007B4A68" w:rsidP="007B4A68">
      <w:pPr>
        <w:ind w:left="993"/>
        <w:jc w:val="both"/>
        <w:rPr>
          <w:rFonts w:asciiTheme="minorHAnsi" w:hAnsiTheme="minorHAnsi" w:cstheme="minorHAnsi"/>
          <w:b/>
          <w:iCs/>
          <w:u w:val="single"/>
        </w:rPr>
      </w:pPr>
      <w:r>
        <w:rPr>
          <w:rFonts w:asciiTheme="minorHAnsi" w:hAnsiTheme="minorHAnsi" w:cstheme="minorHAnsi"/>
          <w:b/>
          <w:bCs/>
          <w:i/>
          <w:iCs/>
          <w:sz w:val="16"/>
          <w:szCs w:val="16"/>
        </w:rPr>
        <w:lastRenderedPageBreak/>
        <w:t xml:space="preserve"> </w:t>
      </w:r>
      <w:r>
        <w:rPr>
          <w:noProof/>
        </w:rPr>
        <w:drawing>
          <wp:inline distT="0" distB="0" distL="0" distR="0" wp14:anchorId="669E983E" wp14:editId="6D4376A9">
            <wp:extent cx="4622879" cy="2468245"/>
            <wp:effectExtent l="19050" t="19050" r="25400" b="27305"/>
            <wp:docPr id="27" name="Picture 2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25803" cy="2469806"/>
                    </a:xfrm>
                    <a:prstGeom prst="rect">
                      <a:avLst/>
                    </a:prstGeom>
                    <a:noFill/>
                    <a:ln>
                      <a:solidFill>
                        <a:schemeClr val="accent1"/>
                      </a:solidFill>
                    </a:ln>
                  </pic:spPr>
                </pic:pic>
              </a:graphicData>
            </a:graphic>
          </wp:inline>
        </w:drawing>
      </w:r>
    </w:p>
    <w:p w14:paraId="2F15635D" w14:textId="15735160" w:rsidR="007B4A68" w:rsidRDefault="007B4A68" w:rsidP="007B4A68">
      <w:pPr>
        <w:jc w:val="center"/>
        <w:rPr>
          <w:rFonts w:asciiTheme="minorHAnsi" w:hAnsiTheme="minorHAnsi" w:cstheme="minorHAnsi"/>
          <w:b/>
          <w:iCs/>
          <w:u w:val="single"/>
        </w:rPr>
      </w:pPr>
    </w:p>
    <w:p w14:paraId="040594D0" w14:textId="77777777" w:rsidR="007B4A68" w:rsidRDefault="007B4A68" w:rsidP="007B4A68">
      <w:pPr>
        <w:jc w:val="center"/>
        <w:rPr>
          <w:rFonts w:asciiTheme="minorHAnsi" w:hAnsiTheme="minorHAnsi" w:cstheme="minorHAnsi"/>
          <w:b/>
          <w:iCs/>
          <w:u w:val="single"/>
        </w:rPr>
      </w:pPr>
    </w:p>
    <w:p w14:paraId="6291B083" w14:textId="77777777" w:rsidR="007B4A68" w:rsidRPr="007B4A68" w:rsidRDefault="007B4A68" w:rsidP="007B4A68">
      <w:pPr>
        <w:ind w:left="993"/>
        <w:jc w:val="both"/>
        <w:rPr>
          <w:rFonts w:asciiTheme="minorHAnsi" w:hAnsiTheme="minorHAnsi" w:cstheme="minorHAnsi"/>
          <w:b/>
          <w:bCs/>
          <w:i/>
          <w:iCs/>
          <w:sz w:val="16"/>
          <w:szCs w:val="16"/>
        </w:rPr>
      </w:pPr>
      <w:r w:rsidRPr="007B4A68">
        <w:rPr>
          <w:rFonts w:asciiTheme="minorHAnsi" w:hAnsiTheme="minorHAnsi" w:cstheme="minorHAnsi"/>
          <w:b/>
          <w:bCs/>
          <w:i/>
          <w:iCs/>
          <w:sz w:val="16"/>
          <w:szCs w:val="16"/>
        </w:rPr>
        <w:drawing>
          <wp:inline distT="0" distB="0" distL="0" distR="0" wp14:anchorId="502C2010" wp14:editId="39D0AC6B">
            <wp:extent cx="4631025" cy="2492375"/>
            <wp:effectExtent l="19050" t="19050" r="17780" b="22225"/>
            <wp:docPr id="30" name="Picture 30"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1456" cy="2503371"/>
                    </a:xfrm>
                    <a:prstGeom prst="rect">
                      <a:avLst/>
                    </a:prstGeom>
                    <a:noFill/>
                    <a:ln>
                      <a:solidFill>
                        <a:schemeClr val="accent1"/>
                      </a:solidFill>
                    </a:ln>
                  </pic:spPr>
                </pic:pic>
              </a:graphicData>
            </a:graphic>
          </wp:inline>
        </w:drawing>
      </w:r>
    </w:p>
    <w:p w14:paraId="0ADC3CBB" w14:textId="77777777" w:rsidR="00AF5121" w:rsidRDefault="00AF5121" w:rsidP="00AF5121">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4B66A993" w:rsidR="00AF5121" w:rsidRDefault="00AF5121" w:rsidP="00AF5121">
      <w:pPr>
        <w:jc w:val="cente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7B4A68"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8944254"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AC2744">
            <w:rPr>
              <w:rFonts w:ascii="Calibri" w:hAnsi="Calibri" w:cs="Calibri"/>
              <w:b/>
              <w:sz w:val="26"/>
              <w:szCs w:val="26"/>
              <w:lang w:val="it-IT"/>
            </w:rPr>
            <w:t>5</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64CFEAD"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E0065F">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408A375"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AC2744">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631EF0F"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1055BE">
            <w:rPr>
              <w:rFonts w:ascii="Calibri" w:hAnsi="Calibri" w:cs="Calibri"/>
              <w:b/>
              <w:sz w:val="26"/>
              <w:szCs w:val="26"/>
              <w:lang w:val="it-IT"/>
            </w:rPr>
            <w:t>5</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16</Pages>
  <Words>3307</Words>
  <Characters>18190</Characters>
  <Application>Microsoft Office Word</Application>
  <DocSecurity>0</DocSecurity>
  <Lines>151</Lines>
  <Paragraphs>42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2023-03-30T19:33:00Z</cp:lastPrinted>
  <dcterms:created xsi:type="dcterms:W3CDTF">2023-04-11T21:18:00Z</dcterms:created>
  <dcterms:modified xsi:type="dcterms:W3CDTF">2023-04-11T22:26:00Z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