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C3E973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3207E5">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A9D9D4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1056E">
        <w:rPr>
          <w:rFonts w:asciiTheme="minorHAnsi" w:hAnsiTheme="minorHAnsi" w:cstheme="minorHAnsi"/>
          <w:b/>
          <w:bCs/>
          <w:sz w:val="28"/>
          <w:szCs w:val="28"/>
        </w:rPr>
        <w:t>0</w:t>
      </w:r>
      <w:r w:rsidR="003207E5">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C823A9">
        <w:rPr>
          <w:rFonts w:asciiTheme="minorHAnsi" w:hAnsiTheme="minorHAnsi" w:cstheme="minorHAnsi"/>
          <w:b/>
          <w:bCs/>
          <w:sz w:val="28"/>
          <w:szCs w:val="28"/>
        </w:rPr>
        <w:t>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B59287C" w:rsidR="00E53D92" w:rsidRPr="002B3648" w:rsidRDefault="00DE747D"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ABBE140" wp14:editId="41C90E5B">
            <wp:extent cx="5357836" cy="364713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6011" cy="3666311"/>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0656AC66"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87823">
        <w:rPr>
          <w:rFonts w:asciiTheme="minorHAnsi" w:hAnsiTheme="minorHAnsi" w:cstheme="minorHAnsi"/>
          <w:sz w:val="22"/>
          <w:szCs w:val="22"/>
        </w:rPr>
        <w:t>82</w:t>
      </w:r>
      <w:r w:rsidR="00C55E1A">
        <w:rPr>
          <w:rFonts w:asciiTheme="minorHAnsi" w:hAnsiTheme="minorHAnsi" w:cstheme="minorHAnsi"/>
          <w:sz w:val="22"/>
          <w:szCs w:val="22"/>
        </w:rPr>
        <w:t>,</w:t>
      </w:r>
      <w:r w:rsidR="00587823">
        <w:rPr>
          <w:rFonts w:asciiTheme="minorHAnsi" w:hAnsiTheme="minorHAnsi" w:cstheme="minorHAnsi"/>
          <w:sz w:val="22"/>
          <w:szCs w:val="22"/>
        </w:rPr>
        <w:t>39</w:t>
      </w:r>
      <w:r w:rsidRPr="00733288">
        <w:rPr>
          <w:rFonts w:asciiTheme="minorHAnsi" w:hAnsiTheme="minorHAnsi" w:cstheme="minorHAnsi"/>
          <w:sz w:val="22"/>
          <w:szCs w:val="22"/>
        </w:rPr>
        <w:t xml:space="preserve"> US$/Bl, las gasolinas registraron un precio superior a </w:t>
      </w:r>
      <w:r w:rsidR="00587823">
        <w:rPr>
          <w:rFonts w:asciiTheme="minorHAnsi" w:hAnsiTheme="minorHAnsi" w:cstheme="minorHAnsi"/>
          <w:sz w:val="22"/>
          <w:szCs w:val="22"/>
        </w:rPr>
        <w:t>9</w:t>
      </w:r>
      <w:r w:rsidR="00B15CCB">
        <w:rPr>
          <w:rFonts w:asciiTheme="minorHAnsi" w:hAnsiTheme="minorHAnsi" w:cstheme="minorHAnsi"/>
          <w:sz w:val="22"/>
          <w:szCs w:val="22"/>
        </w:rPr>
        <w:t>0</w:t>
      </w:r>
      <w:r w:rsidRPr="00733288">
        <w:rPr>
          <w:rFonts w:asciiTheme="minorHAnsi" w:hAnsiTheme="minorHAnsi" w:cstheme="minorHAnsi"/>
          <w:sz w:val="22"/>
          <w:szCs w:val="22"/>
        </w:rPr>
        <w:t xml:space="preserve"> US$/Bl y los destilados medios registraron niveles por encima de los 1</w:t>
      </w:r>
      <w:r w:rsidR="00587823">
        <w:rPr>
          <w:rFonts w:asciiTheme="minorHAnsi" w:hAnsiTheme="minorHAnsi" w:cstheme="minorHAnsi"/>
          <w:sz w:val="22"/>
          <w:szCs w:val="22"/>
        </w:rPr>
        <w:t>2</w:t>
      </w:r>
      <w:r w:rsidR="00B15CCB">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B15CCB">
        <w:rPr>
          <w:rFonts w:asciiTheme="minorHAnsi" w:hAnsiTheme="minorHAnsi" w:cstheme="minorHAnsi"/>
          <w:sz w:val="22"/>
          <w:szCs w:val="22"/>
        </w:rPr>
        <w:t>2</w:t>
      </w:r>
      <w:r w:rsidR="00587823">
        <w:rPr>
          <w:rFonts w:asciiTheme="minorHAnsi" w:hAnsiTheme="minorHAnsi" w:cstheme="minorHAnsi"/>
          <w:sz w:val="22"/>
          <w:szCs w:val="22"/>
        </w:rPr>
        <w:t>9</w:t>
      </w:r>
      <w:r>
        <w:rPr>
          <w:rFonts w:asciiTheme="minorHAnsi" w:hAnsiTheme="minorHAnsi" w:cstheme="minorHAnsi"/>
          <w:sz w:val="22"/>
          <w:szCs w:val="22"/>
        </w:rPr>
        <w:t>,</w:t>
      </w:r>
      <w:r w:rsidR="00587823">
        <w:rPr>
          <w:rFonts w:asciiTheme="minorHAnsi" w:hAnsiTheme="minorHAnsi" w:cstheme="minorHAnsi"/>
          <w:sz w:val="22"/>
          <w:szCs w:val="22"/>
        </w:rPr>
        <w:t>7</w:t>
      </w:r>
      <w:r w:rsidR="0066791E">
        <w:rPr>
          <w:rFonts w:asciiTheme="minorHAnsi" w:hAnsiTheme="minorHAnsi" w:cstheme="minorHAnsi"/>
          <w:sz w:val="22"/>
          <w:szCs w:val="22"/>
        </w:rPr>
        <w:t>4</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677A628F" w14:textId="14E3E865"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3207E5">
        <w:rPr>
          <w:rFonts w:asciiTheme="minorHAnsi" w:hAnsiTheme="minorHAnsi" w:cstheme="minorHAnsi"/>
          <w:sz w:val="22"/>
          <w:szCs w:val="22"/>
        </w:rPr>
        <w:t>25</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66791E">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587823">
        <w:rPr>
          <w:rFonts w:asciiTheme="minorHAnsi" w:hAnsiTheme="minorHAnsi" w:cstheme="minorHAnsi"/>
          <w:sz w:val="22"/>
          <w:szCs w:val="22"/>
        </w:rPr>
        <w:t>06</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733288" w:rsidRPr="00431A8E">
        <w:rPr>
          <w:rFonts w:asciiTheme="minorHAnsi" w:hAnsiTheme="minorHAnsi" w:cstheme="minorHAnsi"/>
          <w:sz w:val="22"/>
          <w:szCs w:val="22"/>
        </w:rPr>
        <w:t>0.202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13455B1A" w14:textId="77777777" w:rsidR="00587823" w:rsidRPr="00A67E46" w:rsidRDefault="00587823" w:rsidP="00587823">
      <w:pPr>
        <w:pStyle w:val="Prrafodelista"/>
        <w:numPr>
          <w:ilvl w:val="0"/>
          <w:numId w:val="13"/>
        </w:numPr>
        <w:ind w:left="426"/>
        <w:contextualSpacing/>
        <w:jc w:val="both"/>
        <w:rPr>
          <w:rFonts w:asciiTheme="minorHAnsi" w:hAnsiTheme="minorHAnsi" w:cstheme="minorHAnsi"/>
          <w:b/>
          <w:sz w:val="22"/>
          <w:szCs w:val="22"/>
        </w:rPr>
      </w:pPr>
      <w:r w:rsidRPr="00A67E46">
        <w:rPr>
          <w:rFonts w:asciiTheme="minorHAnsi" w:hAnsiTheme="minorHAnsi" w:cstheme="minorHAnsi"/>
          <w:b/>
          <w:sz w:val="22"/>
          <w:szCs w:val="22"/>
        </w:rPr>
        <w:t>La caída de los inventarios de crudo, propano y destilados; así como el aumento de las existencias de gasolinas al 29 de setiembre del 2023</w:t>
      </w:r>
    </w:p>
    <w:p w14:paraId="66C4C0DF" w14:textId="77777777" w:rsidR="00587823" w:rsidRPr="00A67E46" w:rsidRDefault="00587823" w:rsidP="00587823">
      <w:pPr>
        <w:pStyle w:val="Prrafodelista"/>
        <w:ind w:left="426"/>
        <w:jc w:val="both"/>
        <w:rPr>
          <w:rFonts w:asciiTheme="minorHAnsi" w:hAnsiTheme="minorHAnsi" w:cstheme="minorHAnsi"/>
          <w:sz w:val="22"/>
          <w:szCs w:val="22"/>
          <w:highlight w:val="yellow"/>
        </w:rPr>
      </w:pPr>
    </w:p>
    <w:p w14:paraId="25280F58"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Los inventarios de petróleo de Estados Unidos se redujeron en 2,2 millones de barriles, ubicándose en -5% por debajo de la media de los últimos 5 años, lo que representa 414,1 millones de barriles.</w:t>
      </w:r>
    </w:p>
    <w:p w14:paraId="0CE15EC4" w14:textId="77777777" w:rsidR="00587823" w:rsidRPr="00A67E46" w:rsidRDefault="00587823" w:rsidP="00587823">
      <w:pPr>
        <w:pStyle w:val="Prrafodelista"/>
        <w:ind w:left="426"/>
        <w:jc w:val="both"/>
        <w:rPr>
          <w:rFonts w:asciiTheme="minorHAnsi" w:hAnsiTheme="minorHAnsi" w:cstheme="minorHAnsi"/>
          <w:sz w:val="22"/>
          <w:szCs w:val="22"/>
        </w:rPr>
      </w:pPr>
    </w:p>
    <w:p w14:paraId="3CFD36BB"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Por su parte, las existencias de gasolina subieron 6,5 millones de barriles, reportando un total de 227,0 millones de barriles; mientras los inventarios de destilados, que incluyen al diésel y al combustible para calefacción, disminuyeron 1,3 millones de barriles, con un total de 118,8 millones de barriles. Finalmente, las existencias de propano descendieron en 0,03 millones de barriles, ubicándose en los 101,41 millones de barriles.</w:t>
      </w:r>
    </w:p>
    <w:p w14:paraId="5929803E" w14:textId="77777777" w:rsidR="00587823" w:rsidRPr="00A67E46" w:rsidRDefault="00587823" w:rsidP="00587823">
      <w:pPr>
        <w:pStyle w:val="Prrafodelista"/>
        <w:ind w:left="426"/>
        <w:jc w:val="both"/>
        <w:rPr>
          <w:rFonts w:asciiTheme="minorHAnsi" w:hAnsiTheme="minorHAnsi" w:cstheme="minorHAnsi"/>
          <w:sz w:val="22"/>
          <w:szCs w:val="22"/>
        </w:rPr>
      </w:pPr>
    </w:p>
    <w:p w14:paraId="2829C256" w14:textId="77777777" w:rsidR="00587823"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El contexto de escasez de suministros en Estados Unidos proporcionó un relativo soporte a los precios, con el almacenamiento en Cushing, Oklahoma (el punto de entrega de los futuros del crudo WTI), en su nivel más bajo desde julio de 2022.</w:t>
      </w:r>
    </w:p>
    <w:p w14:paraId="651121BA" w14:textId="77777777" w:rsidR="00587823" w:rsidRDefault="00587823" w:rsidP="00587823">
      <w:pPr>
        <w:rPr>
          <w:rFonts w:asciiTheme="minorHAnsi" w:hAnsiTheme="minorHAnsi" w:cstheme="minorHAnsi"/>
          <w:sz w:val="22"/>
          <w:szCs w:val="22"/>
        </w:rPr>
      </w:pPr>
      <w:r>
        <w:rPr>
          <w:rFonts w:asciiTheme="minorHAnsi" w:hAnsiTheme="minorHAnsi" w:cstheme="minorHAnsi"/>
          <w:sz w:val="22"/>
          <w:szCs w:val="22"/>
        </w:rPr>
        <w:br w:type="page"/>
      </w:r>
    </w:p>
    <w:p w14:paraId="234A6A86" w14:textId="77777777" w:rsidR="00587823" w:rsidRPr="00A67E46" w:rsidRDefault="00587823" w:rsidP="00587823">
      <w:pPr>
        <w:pStyle w:val="Prrafodelista"/>
        <w:numPr>
          <w:ilvl w:val="0"/>
          <w:numId w:val="13"/>
        </w:numPr>
        <w:ind w:left="360"/>
        <w:contextualSpacing/>
        <w:jc w:val="both"/>
        <w:rPr>
          <w:rFonts w:asciiTheme="minorHAnsi" w:hAnsiTheme="minorHAnsi" w:cstheme="minorHAnsi"/>
          <w:b/>
          <w:bCs/>
          <w:sz w:val="22"/>
          <w:szCs w:val="22"/>
        </w:rPr>
      </w:pPr>
      <w:r w:rsidRPr="00A67E46">
        <w:rPr>
          <w:rFonts w:asciiTheme="minorHAnsi" w:hAnsiTheme="minorHAnsi" w:cstheme="minorHAnsi"/>
          <w:b/>
          <w:bCs/>
          <w:sz w:val="22"/>
          <w:szCs w:val="22"/>
        </w:rPr>
        <w:lastRenderedPageBreak/>
        <w:t>Las desalentadoras perspectivas macroeconómicas y el debilitamiento de la demanda de petróleo crudo y combustibles a nivel global</w:t>
      </w:r>
    </w:p>
    <w:p w14:paraId="78E56D38" w14:textId="77777777" w:rsidR="00587823" w:rsidRPr="00A67E46" w:rsidRDefault="00587823" w:rsidP="00587823">
      <w:pPr>
        <w:pStyle w:val="Prrafodelista"/>
        <w:ind w:left="426"/>
        <w:jc w:val="both"/>
        <w:rPr>
          <w:rFonts w:asciiTheme="minorHAnsi" w:hAnsiTheme="minorHAnsi" w:cstheme="minorHAnsi"/>
          <w:sz w:val="22"/>
          <w:szCs w:val="22"/>
        </w:rPr>
      </w:pPr>
    </w:p>
    <w:p w14:paraId="149BF5AE"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La economía de la Zona Euro se contrajo el trimestre pasado, según un sondeo que mostró que la demanda cayó en setiembre 2023 al ritmo más rápido en casi 3 años, debido a que los consumidores frenaron el gasto ante el aumento del costo de los préstamos y de los precios.</w:t>
      </w:r>
    </w:p>
    <w:p w14:paraId="3E2CE343"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br/>
        <w:t>Asimismo, los últimos datos mostraron un fuerte descenso de la demanda de gasolina en Estados Unidos. La gasolina motor, un indicador de la demanda, descendió la semana pasada a unos 8 millones de bpd, su nivel más bajo desde principios de este año 2023, según informó la Administración de Información de Energía.</w:t>
      </w:r>
    </w:p>
    <w:p w14:paraId="5B174D04" w14:textId="77777777" w:rsidR="00587823" w:rsidRPr="00A67E46" w:rsidRDefault="00587823" w:rsidP="00587823">
      <w:pPr>
        <w:pStyle w:val="Prrafodelista"/>
        <w:ind w:left="426"/>
        <w:jc w:val="both"/>
        <w:rPr>
          <w:rFonts w:asciiTheme="minorHAnsi" w:hAnsiTheme="minorHAnsi" w:cstheme="minorHAnsi"/>
          <w:sz w:val="22"/>
          <w:szCs w:val="22"/>
        </w:rPr>
      </w:pPr>
    </w:p>
    <w:p w14:paraId="27F27DD4" w14:textId="77777777" w:rsidR="00587823" w:rsidRPr="00A67E46" w:rsidRDefault="00587823" w:rsidP="00587823">
      <w:pPr>
        <w:pStyle w:val="Prrafodelista"/>
        <w:numPr>
          <w:ilvl w:val="0"/>
          <w:numId w:val="13"/>
        </w:numPr>
        <w:ind w:left="426" w:hanging="567"/>
        <w:contextualSpacing/>
        <w:jc w:val="both"/>
        <w:rPr>
          <w:rFonts w:asciiTheme="minorHAnsi" w:hAnsiTheme="minorHAnsi" w:cstheme="minorHAnsi"/>
          <w:b/>
          <w:bCs/>
          <w:sz w:val="22"/>
          <w:szCs w:val="22"/>
        </w:rPr>
      </w:pPr>
      <w:r w:rsidRPr="00A67E46">
        <w:rPr>
          <w:rFonts w:asciiTheme="minorHAnsi" w:hAnsiTheme="minorHAnsi" w:cstheme="minorHAnsi"/>
          <w:b/>
          <w:bCs/>
          <w:sz w:val="22"/>
          <w:szCs w:val="22"/>
        </w:rPr>
        <w:t>El levantamiento parcial de la prohibición de exportaciones de combustibles desde Rusia</w:t>
      </w:r>
    </w:p>
    <w:p w14:paraId="1CD1ECA8"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br/>
        <w:t>Rusia anunció el levantamiento de su prohibición de exportar diésel para los suministros que llegan a los puertos por oleoducto, con la condición de que las empresas vendan al menos el 50% de su producción de gasóleo al mercado nacional.</w:t>
      </w:r>
    </w:p>
    <w:p w14:paraId="3C70BD2D"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br/>
        <w:t>Alrededor de las tres cuartas partes de los 35 millones de toneladas de gasóleo exportado por Rusia se entregaron por gasoducto en 2022. Rusia también señaló que no hay fecha límite para levantar su prohibición de exportar combustible para luchar contra los altos precios locales de la gasolina y el gasóleo.</w:t>
      </w:r>
    </w:p>
    <w:p w14:paraId="4C164083" w14:textId="77777777" w:rsidR="00587823" w:rsidRPr="00A67E46" w:rsidRDefault="00587823" w:rsidP="00587823">
      <w:pPr>
        <w:pStyle w:val="Prrafodelista"/>
        <w:ind w:left="426"/>
        <w:jc w:val="both"/>
        <w:rPr>
          <w:rFonts w:asciiTheme="minorHAnsi" w:hAnsiTheme="minorHAnsi" w:cstheme="minorHAnsi"/>
          <w:sz w:val="22"/>
          <w:szCs w:val="22"/>
        </w:rPr>
      </w:pPr>
    </w:p>
    <w:p w14:paraId="0CB5C147" w14:textId="77777777" w:rsidR="00587823" w:rsidRPr="00A67E46" w:rsidRDefault="00587823" w:rsidP="00587823">
      <w:pPr>
        <w:pStyle w:val="Prrafodelista"/>
        <w:numPr>
          <w:ilvl w:val="0"/>
          <w:numId w:val="13"/>
        </w:numPr>
        <w:ind w:left="426" w:hanging="567"/>
        <w:contextualSpacing/>
        <w:jc w:val="both"/>
        <w:rPr>
          <w:rFonts w:asciiTheme="minorHAnsi" w:hAnsiTheme="minorHAnsi" w:cstheme="minorHAnsi"/>
          <w:sz w:val="22"/>
          <w:szCs w:val="22"/>
        </w:rPr>
      </w:pPr>
      <w:r w:rsidRPr="00A67E46">
        <w:rPr>
          <w:rFonts w:asciiTheme="minorHAnsi" w:hAnsiTheme="minorHAnsi" w:cstheme="minorHAnsi"/>
          <w:b/>
          <w:sz w:val="22"/>
          <w:szCs w:val="22"/>
        </w:rPr>
        <w:t>El panorama incierto sobre las medidas de los Bancos Centrales con relación a las tasas de interés y las preocupaciones por la inflación</w:t>
      </w:r>
    </w:p>
    <w:p w14:paraId="33C4728C" w14:textId="77777777" w:rsidR="00587823" w:rsidRPr="00A67E46" w:rsidRDefault="00587823" w:rsidP="00587823">
      <w:pPr>
        <w:ind w:left="567"/>
        <w:rPr>
          <w:rFonts w:asciiTheme="minorHAnsi" w:hAnsiTheme="minorHAnsi" w:cstheme="minorHAnsi"/>
          <w:sz w:val="22"/>
          <w:szCs w:val="22"/>
        </w:rPr>
      </w:pPr>
    </w:p>
    <w:p w14:paraId="126B2FB7" w14:textId="77777777" w:rsidR="00587823" w:rsidRPr="00A67E46" w:rsidRDefault="00587823" w:rsidP="00587823">
      <w:pPr>
        <w:ind w:left="426"/>
        <w:jc w:val="both"/>
        <w:rPr>
          <w:rFonts w:asciiTheme="minorHAnsi" w:hAnsiTheme="minorHAnsi" w:cstheme="minorHAnsi"/>
          <w:sz w:val="22"/>
          <w:szCs w:val="22"/>
        </w:rPr>
      </w:pPr>
      <w:r w:rsidRPr="00A67E46">
        <w:rPr>
          <w:rFonts w:asciiTheme="minorHAnsi" w:hAnsiTheme="minorHAnsi" w:cstheme="minorHAnsi"/>
          <w:sz w:val="22"/>
          <w:szCs w:val="22"/>
        </w:rPr>
        <w:t>La Reserva Federal dejará las tasas de interés sin cambios, pero endureció su postura, proyectando un alza de un cuarto de punto porcentual hasta el 5,50% – 5,75% a finales de año.</w:t>
      </w:r>
      <w:r w:rsidRPr="00A67E46">
        <w:rPr>
          <w:rFonts w:asciiTheme="minorHAnsi" w:hAnsiTheme="minorHAnsi" w:cstheme="minorHAnsi"/>
          <w:sz w:val="22"/>
          <w:szCs w:val="22"/>
        </w:rPr>
        <w:br/>
      </w:r>
    </w:p>
    <w:p w14:paraId="35124491" w14:textId="77777777" w:rsidR="00587823" w:rsidRPr="00A67E46" w:rsidRDefault="00587823" w:rsidP="00587823">
      <w:pPr>
        <w:ind w:left="426"/>
        <w:jc w:val="both"/>
        <w:rPr>
          <w:rFonts w:asciiTheme="minorHAnsi" w:hAnsiTheme="minorHAnsi" w:cstheme="minorHAnsi"/>
          <w:sz w:val="22"/>
          <w:szCs w:val="22"/>
        </w:rPr>
      </w:pPr>
      <w:r w:rsidRPr="00A67E46">
        <w:rPr>
          <w:rFonts w:asciiTheme="minorHAnsi" w:hAnsiTheme="minorHAnsi" w:cstheme="minorHAnsi"/>
          <w:sz w:val="22"/>
          <w:szCs w:val="22"/>
        </w:rPr>
        <w:t>Los movimientos de los Bancos Centrales en otros lugares también indicaron una posible presión sobre los precios del crudo. Así, el Banco de Inglaterra, al igual que la FED, mantuvo las tasas, no obstante, manifestó que no da por sentada la reciente desaceleración de la inflación, mientras el Banco Central noruego elevó su tasa de referencia y anunció de forma inesperada que es probable que vuelva a subirla en diciembre.</w:t>
      </w:r>
    </w:p>
    <w:p w14:paraId="18DD3449" w14:textId="77777777" w:rsidR="00587823" w:rsidRPr="00A67E46" w:rsidRDefault="00587823" w:rsidP="00587823">
      <w:pPr>
        <w:ind w:left="426"/>
        <w:jc w:val="both"/>
        <w:rPr>
          <w:rFonts w:asciiTheme="minorHAnsi" w:hAnsiTheme="minorHAnsi" w:cstheme="minorHAnsi"/>
          <w:color w:val="333333"/>
          <w:sz w:val="22"/>
          <w:szCs w:val="22"/>
          <w:shd w:val="clear" w:color="auto" w:fill="FFFFFF"/>
        </w:rPr>
      </w:pPr>
    </w:p>
    <w:p w14:paraId="792BA48A" w14:textId="3DD8BB30" w:rsidR="00587823" w:rsidRPr="00A67E46" w:rsidRDefault="00587823" w:rsidP="00587823">
      <w:pPr>
        <w:ind w:left="426"/>
        <w:jc w:val="both"/>
        <w:rPr>
          <w:rFonts w:asciiTheme="minorHAnsi" w:hAnsiTheme="minorHAnsi" w:cstheme="minorHAnsi"/>
          <w:sz w:val="22"/>
          <w:szCs w:val="22"/>
        </w:rPr>
      </w:pPr>
      <w:r w:rsidRPr="00A67E46">
        <w:rPr>
          <w:rFonts w:asciiTheme="minorHAnsi" w:hAnsiTheme="minorHAnsi" w:cstheme="minorHAnsi"/>
          <w:sz w:val="22"/>
          <w:szCs w:val="22"/>
        </w:rPr>
        <w:t>Cabe recalcar que en la reunión anual de banqueros centrales de Jackson Hole (Wyoming), realizada los días 24,</w:t>
      </w:r>
      <w:r w:rsidR="00126317">
        <w:rPr>
          <w:rFonts w:asciiTheme="minorHAnsi" w:hAnsiTheme="minorHAnsi" w:cstheme="minorHAnsi"/>
          <w:sz w:val="22"/>
          <w:szCs w:val="22"/>
        </w:rPr>
        <w:t xml:space="preserve"> </w:t>
      </w:r>
      <w:r w:rsidRPr="00A67E46">
        <w:rPr>
          <w:rFonts w:asciiTheme="minorHAnsi" w:hAnsiTheme="minorHAnsi" w:cstheme="minorHAnsi"/>
          <w:sz w:val="22"/>
          <w:szCs w:val="22"/>
        </w:rPr>
        <w:t xml:space="preserve">25 y 26 de agosto, el presidente de la FED Jerome Powell, reiteró la posibilidad de nuevos incrementos de las tasas de interés antes de fin de año, a fin de contener la inflación mediante una política restrictiva. </w:t>
      </w:r>
    </w:p>
    <w:p w14:paraId="1A54420A" w14:textId="77777777" w:rsidR="00587823" w:rsidRPr="00A67E46" w:rsidRDefault="00587823" w:rsidP="00587823">
      <w:pPr>
        <w:ind w:left="426"/>
        <w:jc w:val="both"/>
        <w:rPr>
          <w:rFonts w:asciiTheme="minorHAnsi" w:hAnsiTheme="minorHAnsi" w:cstheme="minorHAnsi"/>
          <w:sz w:val="22"/>
          <w:szCs w:val="22"/>
        </w:rPr>
      </w:pPr>
    </w:p>
    <w:p w14:paraId="2D762F82" w14:textId="77777777" w:rsidR="00587823" w:rsidRPr="00A67E46" w:rsidRDefault="00587823" w:rsidP="00587823">
      <w:pPr>
        <w:pStyle w:val="Prrafodelista"/>
        <w:numPr>
          <w:ilvl w:val="0"/>
          <w:numId w:val="13"/>
        </w:numPr>
        <w:ind w:left="426"/>
        <w:contextualSpacing/>
        <w:jc w:val="both"/>
        <w:rPr>
          <w:rFonts w:asciiTheme="minorHAnsi" w:hAnsiTheme="minorHAnsi" w:cstheme="minorHAnsi"/>
          <w:b/>
          <w:bCs/>
          <w:sz w:val="22"/>
          <w:szCs w:val="22"/>
        </w:rPr>
      </w:pPr>
      <w:r w:rsidRPr="00A67E46">
        <w:rPr>
          <w:rFonts w:asciiTheme="minorHAnsi" w:hAnsiTheme="minorHAnsi" w:cstheme="minorHAnsi"/>
          <w:b/>
          <w:bCs/>
          <w:sz w:val="22"/>
          <w:szCs w:val="22"/>
        </w:rPr>
        <w:t>Las preocupaciones por el déficit de oferta de petróleo debido a la confirmación de los recortes de producción de la OPEP y la débil producción de esquisto de Estados Unidos </w:t>
      </w:r>
    </w:p>
    <w:p w14:paraId="2A0958B5" w14:textId="77777777" w:rsidR="00587823" w:rsidRPr="00A67E46" w:rsidRDefault="00587823" w:rsidP="00587823">
      <w:pPr>
        <w:jc w:val="both"/>
        <w:rPr>
          <w:rFonts w:asciiTheme="minorHAnsi" w:hAnsiTheme="minorHAnsi" w:cstheme="minorHAnsi"/>
          <w:b/>
          <w:bCs/>
          <w:sz w:val="22"/>
          <w:szCs w:val="22"/>
        </w:rPr>
      </w:pPr>
    </w:p>
    <w:p w14:paraId="439CE05C" w14:textId="1F8F594A" w:rsidR="00587823" w:rsidRPr="00A67E46" w:rsidRDefault="00587823" w:rsidP="00587823">
      <w:pPr>
        <w:ind w:left="426"/>
        <w:jc w:val="both"/>
        <w:rPr>
          <w:rFonts w:asciiTheme="minorHAnsi" w:hAnsiTheme="minorHAnsi" w:cstheme="minorHAnsi"/>
          <w:sz w:val="22"/>
          <w:szCs w:val="22"/>
        </w:rPr>
      </w:pPr>
      <w:r w:rsidRPr="00A67E46">
        <w:rPr>
          <w:rFonts w:asciiTheme="minorHAnsi" w:hAnsiTheme="minorHAnsi" w:cstheme="minorHAnsi"/>
          <w:sz w:val="22"/>
          <w:szCs w:val="22"/>
        </w:rPr>
        <w:t>Arabia Saudita manifestó que continuaría con un recorte voluntario de 1 millón de barriles por día (bpd) hasta fines de 2023, mientras que Rusia mantendrá un recorte voluntario a las exportaciones de 300</w:t>
      </w:r>
      <w:r w:rsidR="00126317">
        <w:rPr>
          <w:rFonts w:asciiTheme="minorHAnsi" w:hAnsiTheme="minorHAnsi" w:cstheme="minorHAnsi"/>
          <w:sz w:val="22"/>
          <w:szCs w:val="22"/>
        </w:rPr>
        <w:t xml:space="preserve"> mil</w:t>
      </w:r>
      <w:r w:rsidRPr="00A67E46">
        <w:rPr>
          <w:rFonts w:asciiTheme="minorHAnsi" w:hAnsiTheme="minorHAnsi" w:cstheme="minorHAnsi"/>
          <w:sz w:val="22"/>
          <w:szCs w:val="22"/>
        </w:rPr>
        <w:t xml:space="preserve"> bpd hasta finales de diciembre.</w:t>
      </w:r>
    </w:p>
    <w:p w14:paraId="745803A2" w14:textId="77777777" w:rsidR="00587823" w:rsidRPr="00A67E46" w:rsidRDefault="00587823" w:rsidP="00587823">
      <w:pPr>
        <w:pStyle w:val="Prrafodelista"/>
        <w:ind w:left="426"/>
        <w:jc w:val="both"/>
        <w:rPr>
          <w:rFonts w:asciiTheme="minorHAnsi" w:hAnsiTheme="minorHAnsi" w:cstheme="minorHAnsi"/>
          <w:sz w:val="22"/>
          <w:szCs w:val="22"/>
        </w:rPr>
      </w:pPr>
    </w:p>
    <w:p w14:paraId="6F90525D" w14:textId="77777777" w:rsidR="00587823" w:rsidRPr="00A67E46" w:rsidRDefault="00587823" w:rsidP="00587823">
      <w:pPr>
        <w:ind w:left="426"/>
        <w:jc w:val="both"/>
        <w:rPr>
          <w:rFonts w:asciiTheme="minorHAnsi" w:hAnsiTheme="minorHAnsi" w:cstheme="minorHAnsi"/>
          <w:sz w:val="22"/>
          <w:szCs w:val="22"/>
        </w:rPr>
      </w:pPr>
      <w:r w:rsidRPr="00A67E46">
        <w:rPr>
          <w:rFonts w:asciiTheme="minorHAnsi" w:hAnsiTheme="minorHAnsi" w:cstheme="minorHAnsi"/>
          <w:sz w:val="22"/>
          <w:szCs w:val="22"/>
        </w:rPr>
        <w:lastRenderedPageBreak/>
        <w:t>Según la Agencia Internacional de la Energía (AIE), la extensión de los recortes de la producción petrolera de parte de Arabia Saudita y Rusia provocará un déficit en el mercado hasta el cuarto trimestre.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0EB4A503" w14:textId="77777777" w:rsidR="00587823" w:rsidRPr="00A67E46" w:rsidRDefault="00587823" w:rsidP="00587823">
      <w:pPr>
        <w:pStyle w:val="Prrafodelista"/>
        <w:ind w:left="426"/>
        <w:jc w:val="both"/>
        <w:rPr>
          <w:rFonts w:asciiTheme="minorHAnsi" w:hAnsiTheme="minorHAnsi" w:cstheme="minorHAnsi"/>
          <w:sz w:val="22"/>
          <w:szCs w:val="22"/>
        </w:rPr>
      </w:pPr>
    </w:p>
    <w:p w14:paraId="432B14DE" w14:textId="77777777"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Por su parte, la OPEP publicó previsiones actualizadas de una sólida demanda en 2023 y 2024. También apuntó a un déficit de suministro en el año 2023 si se mantienen los recortes de producción.</w:t>
      </w:r>
    </w:p>
    <w:p w14:paraId="66CC6C00" w14:textId="77777777" w:rsidR="00587823" w:rsidRPr="00A67E46" w:rsidRDefault="00587823" w:rsidP="00587823">
      <w:pPr>
        <w:pStyle w:val="Prrafodelista"/>
        <w:ind w:left="426"/>
        <w:jc w:val="both"/>
        <w:rPr>
          <w:rFonts w:asciiTheme="minorHAnsi" w:hAnsiTheme="minorHAnsi" w:cstheme="minorHAnsi"/>
          <w:sz w:val="22"/>
          <w:szCs w:val="22"/>
        </w:rPr>
      </w:pPr>
    </w:p>
    <w:p w14:paraId="4B5836A8" w14:textId="0235AD79" w:rsidR="00587823" w:rsidRPr="00A67E46" w:rsidRDefault="00587823" w:rsidP="00587823">
      <w:pPr>
        <w:pStyle w:val="Prrafodelista"/>
        <w:ind w:left="426"/>
        <w:jc w:val="both"/>
        <w:rPr>
          <w:rFonts w:asciiTheme="minorHAnsi" w:hAnsiTheme="minorHAnsi" w:cstheme="minorHAnsi"/>
          <w:sz w:val="22"/>
          <w:szCs w:val="22"/>
        </w:rPr>
      </w:pPr>
      <w:r w:rsidRPr="00A67E46">
        <w:rPr>
          <w:rFonts w:asciiTheme="minorHAnsi" w:hAnsiTheme="minorHAnsi" w:cstheme="minorHAnsi"/>
          <w:sz w:val="22"/>
          <w:szCs w:val="22"/>
        </w:rPr>
        <w:t>Por otro lado, la producción de petróleo de Estados Unidos en las principales regiones productoras de esquisto caerá a 9,3 millones de barriles por día (bpd) en octubre, el nivel más bajo desde mayo de 2023, según la Administración de Información de Energía de Estados Unidos (EIA). De este modo, se habrá registrado una caída durante 3 meses consecutivos.</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w:t>
      </w:r>
      <w:r w:rsidRPr="000E5AC7">
        <w:rPr>
          <w:rFonts w:asciiTheme="minorHAnsi" w:hAnsiTheme="minorHAnsi" w:cstheme="minorHAnsi"/>
          <w:sz w:val="22"/>
          <w:szCs w:val="22"/>
        </w:rPr>
        <w:lastRenderedPageBreak/>
        <w:t>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en la ruta 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63EA5C8D">
            <wp:extent cx="5179326" cy="2862367"/>
            <wp:effectExtent l="0" t="0" r="254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42561" cy="2897314"/>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0183D37C" w14:textId="77777777" w:rsidR="00126317" w:rsidRDefault="00126317" w:rsidP="00126317">
      <w:pPr>
        <w:pStyle w:val="Prrafodelista"/>
        <w:rPr>
          <w:rFonts w:asciiTheme="minorHAnsi" w:hAnsiTheme="minorHAnsi" w:cstheme="minorHAnsi"/>
          <w:color w:val="191919"/>
          <w:sz w:val="22"/>
          <w:szCs w:val="22"/>
        </w:rPr>
      </w:pP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lastRenderedPageBreak/>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Decreto Supremo N°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Petróleo Industrial N°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Decreto Supremo N°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7AE724FE"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de la Gerencia de Regulación Tarifaria Osinergmin N°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5F388B">
        <w:rPr>
          <w:rFonts w:asciiTheme="minorHAnsi" w:hAnsiTheme="minorHAnsi" w:cstheme="minorHAnsi"/>
          <w:sz w:val="22"/>
          <w:szCs w:val="22"/>
        </w:rPr>
        <w:t>74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444B10">
        <w:rPr>
          <w:rFonts w:asciiTheme="minorHAnsi" w:hAnsiTheme="minorHAnsi" w:cstheme="minorHAnsi"/>
          <w:sz w:val="22"/>
          <w:szCs w:val="22"/>
        </w:rPr>
        <w:t>1</w:t>
      </w:r>
      <w:r w:rsidR="008B54A5">
        <w:rPr>
          <w:rFonts w:asciiTheme="minorHAnsi" w:hAnsiTheme="minorHAnsi" w:cstheme="minorHAnsi"/>
          <w:sz w:val="22"/>
          <w:szCs w:val="22"/>
        </w:rPr>
        <w:t>0</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444B10">
        <w:rPr>
          <w:rFonts w:asciiTheme="minorHAnsi" w:hAnsiTheme="minorHAnsi" w:cstheme="minorHAnsi"/>
          <w:sz w:val="22"/>
          <w:szCs w:val="22"/>
        </w:rPr>
        <w:t>16</w:t>
      </w:r>
      <w:r w:rsidRPr="00294829">
        <w:rPr>
          <w:rFonts w:asciiTheme="minorHAnsi" w:hAnsiTheme="minorHAnsi" w:cstheme="minorHAnsi"/>
          <w:sz w:val="22"/>
          <w:szCs w:val="22"/>
        </w:rPr>
        <w:t xml:space="preserve"> de </w:t>
      </w:r>
      <w:r w:rsidR="008B54A5">
        <w:rPr>
          <w:rFonts w:asciiTheme="minorHAnsi" w:hAnsiTheme="minorHAnsi" w:cstheme="minorHAnsi"/>
          <w:sz w:val="22"/>
          <w:szCs w:val="22"/>
        </w:rPr>
        <w:t>octu</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7106D348"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444B10">
        <w:rPr>
          <w:rFonts w:asciiTheme="minorHAnsi" w:hAnsiTheme="minorHAnsi" w:cstheme="minorHAnsi"/>
          <w:sz w:val="22"/>
          <w:szCs w:val="22"/>
        </w:rPr>
        <w:t>06</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Pr="00A5242E">
        <w:rPr>
          <w:rFonts w:asciiTheme="minorHAnsi" w:hAnsiTheme="minorHAnsi" w:cstheme="minorHAnsi"/>
          <w:sz w:val="22"/>
          <w:szCs w:val="22"/>
        </w:rPr>
        <w:t>0.2023,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 xml:space="preserve">as Gasolinas Premium (0,10 S/Gln), Gasolina Regular (-0,14 S/Gln), Gasolina de 84 octanos (-0,17 S/Gln), Gasohol Premium (-0,09 S/Gln), Gasohol Regular (-0,13 S/Gln) y Gasohol de 84 octanos (-0,16 S/Gln), </w:t>
      </w:r>
      <w:r w:rsidR="00844B89">
        <w:rPr>
          <w:rFonts w:asciiTheme="minorHAnsi" w:hAnsiTheme="minorHAnsi" w:cstheme="minorHAnsi"/>
          <w:sz w:val="22"/>
          <w:szCs w:val="22"/>
        </w:rPr>
        <w:t>Diésel B5</w:t>
      </w:r>
      <w:r w:rsidR="008B54A5">
        <w:rPr>
          <w:rFonts w:asciiTheme="minorHAnsi" w:hAnsiTheme="minorHAnsi" w:cstheme="minorHAnsi"/>
          <w:sz w:val="22"/>
          <w:szCs w:val="22"/>
        </w:rPr>
        <w:t xml:space="preserve"> </w:t>
      </w:r>
      <w:r w:rsidR="00844B89">
        <w:rPr>
          <w:rFonts w:asciiTheme="minorHAnsi" w:hAnsiTheme="minorHAnsi" w:cstheme="minorHAnsi"/>
          <w:sz w:val="22"/>
          <w:szCs w:val="22"/>
        </w:rPr>
        <w:t>(+0,</w:t>
      </w:r>
      <w:r w:rsidR="006144B0">
        <w:rPr>
          <w:rFonts w:asciiTheme="minorHAnsi" w:hAnsiTheme="minorHAnsi" w:cstheme="minorHAnsi"/>
          <w:sz w:val="22"/>
          <w:szCs w:val="22"/>
        </w:rPr>
        <w:t>10</w:t>
      </w:r>
      <w:r w:rsidR="00844B89">
        <w:rPr>
          <w:rFonts w:asciiTheme="minorHAnsi" w:hAnsiTheme="minorHAnsi" w:cstheme="minorHAnsi"/>
          <w:sz w:val="22"/>
          <w:szCs w:val="22"/>
        </w:rPr>
        <w:t xml:space="preserve"> S/Gln)</w:t>
      </w:r>
      <w:r w:rsidR="008B54A5">
        <w:rPr>
          <w:rFonts w:asciiTheme="minorHAnsi" w:hAnsiTheme="minorHAnsi" w:cstheme="minorHAnsi"/>
          <w:sz w:val="22"/>
          <w:szCs w:val="22"/>
        </w:rPr>
        <w:t xml:space="preserve"> y </w:t>
      </w:r>
      <w:r w:rsidR="006144B0">
        <w:rPr>
          <w:rFonts w:asciiTheme="minorHAnsi" w:hAnsiTheme="minorHAnsi" w:cstheme="minorHAnsi"/>
          <w:sz w:val="22"/>
          <w:szCs w:val="22"/>
        </w:rPr>
        <w:t>Residual 6 (+0.08 S/Gln) y Residual 500 (+0.08 S/Gln)</w:t>
      </w:r>
      <w:r w:rsidR="008B54A5">
        <w:rPr>
          <w:rFonts w:asciiTheme="minorHAnsi" w:hAnsiTheme="minorHAnsi" w:cstheme="minorHAnsi"/>
          <w:sz w:val="22"/>
          <w:szCs w:val="22"/>
        </w:rPr>
        <w:t xml:space="preserve">. El día 30.09.2023 publicó una lista de precios en la que registró variación en el precio del GLP </w:t>
      </w:r>
      <w:r w:rsidR="00844B89">
        <w:rPr>
          <w:rFonts w:asciiTheme="minorHAnsi" w:hAnsiTheme="minorHAnsi" w:cstheme="minorHAnsi"/>
          <w:sz w:val="22"/>
          <w:szCs w:val="22"/>
        </w:rPr>
        <w:t>(+0,</w:t>
      </w:r>
      <w:r w:rsidR="00015FEB">
        <w:rPr>
          <w:rFonts w:asciiTheme="minorHAnsi" w:hAnsiTheme="minorHAnsi" w:cstheme="minorHAnsi"/>
          <w:sz w:val="22"/>
          <w:szCs w:val="22"/>
        </w:rPr>
        <w:t>1</w:t>
      </w:r>
      <w:r w:rsidR="008B54A5">
        <w:rPr>
          <w:rFonts w:asciiTheme="minorHAnsi" w:hAnsiTheme="minorHAnsi" w:cstheme="minorHAnsi"/>
          <w:sz w:val="22"/>
          <w:szCs w:val="22"/>
        </w:rPr>
        <w:t>5</w:t>
      </w:r>
      <w:r w:rsidR="00844B89">
        <w:rPr>
          <w:rFonts w:asciiTheme="minorHAnsi" w:hAnsiTheme="minorHAnsi" w:cstheme="minorHAnsi"/>
          <w:sz w:val="22"/>
          <w:szCs w:val="22"/>
        </w:rPr>
        <w:t xml:space="preserve"> S/</w:t>
      </w:r>
      <w:r w:rsidR="008B54A5">
        <w:rPr>
          <w:rFonts w:asciiTheme="minorHAnsi" w:hAnsiTheme="minorHAnsi" w:cstheme="minorHAnsi"/>
          <w:sz w:val="22"/>
          <w:szCs w:val="22"/>
        </w:rPr>
        <w:t>Kg</w:t>
      </w:r>
      <w:r w:rsidR="00844B89">
        <w:rPr>
          <w:rFonts w:asciiTheme="minorHAnsi" w:hAnsiTheme="minorHAnsi" w:cstheme="minorHAnsi"/>
          <w:sz w:val="22"/>
          <w:szCs w:val="22"/>
        </w:rPr>
        <w:t>).</w:t>
      </w:r>
    </w:p>
    <w:p w14:paraId="5F8AC98D" w14:textId="5F728D61" w:rsidR="00DF13D8" w:rsidRDefault="00DF13D8" w:rsidP="00AF5121">
      <w:pPr>
        <w:pStyle w:val="Prrafodelista"/>
        <w:rPr>
          <w:rFonts w:asciiTheme="minorHAnsi" w:hAnsiTheme="minorHAnsi" w:cstheme="minorHAnsi"/>
          <w:sz w:val="22"/>
          <w:szCs w:val="22"/>
        </w:rPr>
      </w:pPr>
    </w:p>
    <w:p w14:paraId="48A6BBEC" w14:textId="267517AB" w:rsidR="00506836" w:rsidRDefault="00506836" w:rsidP="00AF5121">
      <w:pPr>
        <w:pStyle w:val="Prrafodelista"/>
        <w:rPr>
          <w:rFonts w:asciiTheme="minorHAnsi" w:hAnsiTheme="minorHAnsi" w:cstheme="minorHAnsi"/>
          <w:sz w:val="22"/>
          <w:szCs w:val="22"/>
        </w:rPr>
      </w:pPr>
    </w:p>
    <w:p w14:paraId="7519CC57" w14:textId="77777777" w:rsidR="00791285" w:rsidRDefault="00791285"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lastRenderedPageBreak/>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05D326B"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3263ED8B" w14:textId="220F56CE" w:rsidR="004279F9" w:rsidRDefault="004279F9" w:rsidP="00313709">
      <w:pPr>
        <w:jc w:val="both"/>
        <w:rPr>
          <w:rFonts w:asciiTheme="minorHAnsi" w:hAnsiTheme="minorHAnsi" w:cstheme="minorHAnsi"/>
          <w:sz w:val="22"/>
          <w:szCs w:val="22"/>
        </w:rPr>
      </w:pPr>
    </w:p>
    <w:p w14:paraId="4181EFC8" w14:textId="77777777" w:rsidR="004279F9" w:rsidRDefault="004279F9" w:rsidP="00313709">
      <w:pPr>
        <w:jc w:val="both"/>
        <w:rPr>
          <w:rFonts w:asciiTheme="minorHAnsi" w:hAnsiTheme="minorHAnsi" w:cstheme="minorHAnsi"/>
          <w:sz w:val="22"/>
          <w:szCs w:val="22"/>
        </w:rPr>
      </w:pP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EC521B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6144B0">
        <w:rPr>
          <w:rFonts w:asciiTheme="minorHAnsi" w:hAnsiTheme="minorHAnsi" w:cstheme="minorHAnsi"/>
          <w:sz w:val="22"/>
          <w:szCs w:val="22"/>
        </w:rPr>
        <w:t>25</w:t>
      </w:r>
      <w:r w:rsidR="00336251" w:rsidRPr="00336251">
        <w:rPr>
          <w:rFonts w:asciiTheme="minorHAnsi" w:hAnsiTheme="minorHAnsi" w:cstheme="minorHAnsi"/>
          <w:sz w:val="22"/>
          <w:szCs w:val="22"/>
        </w:rPr>
        <w:t>/0</w:t>
      </w:r>
      <w:r w:rsidR="00844B89">
        <w:rPr>
          <w:rFonts w:asciiTheme="minorHAnsi" w:hAnsiTheme="minorHAnsi" w:cstheme="minorHAnsi"/>
          <w:sz w:val="22"/>
          <w:szCs w:val="22"/>
        </w:rPr>
        <w:t>9</w:t>
      </w:r>
      <w:r w:rsidR="00336251" w:rsidRPr="00336251">
        <w:rPr>
          <w:rFonts w:asciiTheme="minorHAnsi" w:hAnsiTheme="minorHAnsi" w:cstheme="minorHAnsi"/>
          <w:sz w:val="22"/>
          <w:szCs w:val="22"/>
        </w:rPr>
        <w:t xml:space="preserve">/2023 y el </w:t>
      </w:r>
      <w:r w:rsidR="006144B0">
        <w:rPr>
          <w:rFonts w:asciiTheme="minorHAnsi" w:hAnsiTheme="minorHAnsi" w:cstheme="minorHAnsi"/>
          <w:sz w:val="22"/>
          <w:szCs w:val="22"/>
        </w:rPr>
        <w:t>06</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336251" w:rsidRPr="00336251">
        <w:rPr>
          <w:rFonts w:asciiTheme="minorHAnsi" w:hAnsiTheme="minorHAnsi" w:cstheme="minorHAnsi"/>
          <w:sz w:val="22"/>
          <w:szCs w:val="22"/>
        </w:rPr>
        <w:t>0/2023</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58B22ECC"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A2AFE">
        <w:rPr>
          <w:rFonts w:ascii="Calibri" w:hAnsi="Calibri" w:cs="Arial"/>
          <w:b/>
          <w:bCs/>
          <w:i/>
          <w:sz w:val="22"/>
          <w:szCs w:val="22"/>
          <w:lang w:eastAsia="es-PE"/>
        </w:rPr>
        <w:t>0</w:t>
      </w:r>
      <w:r w:rsidR="006144B0">
        <w:rPr>
          <w:rFonts w:ascii="Calibri" w:hAnsi="Calibri" w:cs="Arial"/>
          <w:b/>
          <w:bCs/>
          <w:i/>
          <w:sz w:val="22"/>
          <w:szCs w:val="22"/>
          <w:lang w:eastAsia="es-PE"/>
        </w:rPr>
        <w:t>9</w:t>
      </w:r>
      <w:r>
        <w:rPr>
          <w:rFonts w:ascii="Calibri" w:hAnsi="Calibri" w:cs="Arial"/>
          <w:b/>
          <w:bCs/>
          <w:i/>
          <w:sz w:val="22"/>
          <w:szCs w:val="22"/>
          <w:lang w:eastAsia="es-PE"/>
        </w:rPr>
        <w:t>-</w:t>
      </w:r>
      <w:r w:rsidR="00FA2AFE">
        <w:rPr>
          <w:rFonts w:ascii="Calibri" w:hAnsi="Calibri" w:cs="Arial"/>
          <w:b/>
          <w:bCs/>
          <w:i/>
          <w:sz w:val="22"/>
          <w:szCs w:val="22"/>
          <w:lang w:eastAsia="es-PE"/>
        </w:rPr>
        <w:t>1</w:t>
      </w:r>
      <w:r>
        <w:rPr>
          <w:rFonts w:ascii="Calibri" w:hAnsi="Calibri" w:cs="Arial"/>
          <w:b/>
          <w:bCs/>
          <w:i/>
          <w:sz w:val="22"/>
          <w:szCs w:val="22"/>
          <w:lang w:eastAsia="es-PE"/>
        </w:rPr>
        <w:t>0-23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p>
    <w:p w14:paraId="100B6F80" w14:textId="212FA49D"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FA2AFE">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844B89">
        <w:rPr>
          <w:rFonts w:asciiTheme="minorHAnsi" w:hAnsiTheme="minorHAnsi" w:cstheme="minorHAnsi"/>
          <w:sz w:val="22"/>
          <w:szCs w:val="22"/>
        </w:rPr>
        <w:t>9</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126317">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1FA7E5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FA2AFE">
        <w:rPr>
          <w:rFonts w:asciiTheme="minorHAnsi" w:hAnsiTheme="minorHAnsi" w:cstheme="minorHAnsi"/>
          <w:sz w:val="22"/>
          <w:szCs w:val="22"/>
        </w:rPr>
        <w:t>0</w:t>
      </w:r>
      <w:r w:rsidR="00126317">
        <w:rPr>
          <w:rFonts w:asciiTheme="minorHAnsi" w:hAnsiTheme="minorHAnsi" w:cstheme="minorHAnsi"/>
          <w:sz w:val="22"/>
          <w:szCs w:val="22"/>
        </w:rPr>
        <w:t>9</w:t>
      </w:r>
      <w:r>
        <w:rPr>
          <w:rFonts w:asciiTheme="minorHAnsi" w:hAnsiTheme="minorHAnsi" w:cstheme="minorHAnsi"/>
          <w:sz w:val="22"/>
          <w:szCs w:val="22"/>
        </w:rPr>
        <w:t xml:space="preserve"> de </w:t>
      </w:r>
      <w:r w:rsidR="00FA2AFE">
        <w:rPr>
          <w:rFonts w:asciiTheme="minorHAnsi" w:hAnsiTheme="minorHAnsi" w:cstheme="minorHAnsi"/>
          <w:sz w:val="22"/>
          <w:szCs w:val="22"/>
        </w:rPr>
        <w:t>octu</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6265BE33"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10</w:t>
      </w:r>
      <w:r w:rsidR="001F2602">
        <w:rPr>
          <w:rFonts w:asciiTheme="minorHAnsi" w:hAnsiTheme="minorHAnsi" w:cstheme="minorHAnsi"/>
          <w:sz w:val="22"/>
          <w:szCs w:val="22"/>
        </w:rPr>
        <w:t>,</w:t>
      </w:r>
      <w:r w:rsidR="00126317">
        <w:rPr>
          <w:rFonts w:asciiTheme="minorHAnsi" w:hAnsiTheme="minorHAnsi" w:cstheme="minorHAnsi"/>
          <w:sz w:val="22"/>
          <w:szCs w:val="22"/>
        </w:rPr>
        <w:t>2</w:t>
      </w:r>
      <w:r w:rsidR="00FA2AFE">
        <w:rPr>
          <w:rFonts w:asciiTheme="minorHAnsi" w:hAnsiTheme="minorHAnsi" w:cstheme="minorHAnsi"/>
          <w:sz w:val="22"/>
          <w:szCs w:val="22"/>
        </w:rPr>
        <w:t>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3CD83FB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10</w:t>
      </w:r>
      <w:r w:rsidR="000434BD">
        <w:rPr>
          <w:rFonts w:asciiTheme="minorHAnsi" w:hAnsiTheme="minorHAnsi" w:cstheme="minorHAnsi"/>
          <w:sz w:val="22"/>
          <w:szCs w:val="22"/>
          <w:lang w:val="en-US"/>
        </w:rPr>
        <w:t>,</w:t>
      </w:r>
      <w:r w:rsidR="00126317">
        <w:rPr>
          <w:rFonts w:asciiTheme="minorHAnsi" w:hAnsiTheme="minorHAnsi" w:cstheme="minorHAnsi"/>
          <w:sz w:val="22"/>
          <w:szCs w:val="22"/>
          <w:lang w:val="en-US"/>
        </w:rPr>
        <w:t>2</w:t>
      </w:r>
      <w:r w:rsidR="00FA2AFE">
        <w:rPr>
          <w:rFonts w:asciiTheme="minorHAnsi" w:hAnsiTheme="minorHAnsi" w:cstheme="minorHAnsi"/>
          <w:sz w:val="22"/>
          <w:szCs w:val="22"/>
          <w:lang w:val="en-US"/>
        </w:rPr>
        <w:t>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FA2AFE">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126317">
        <w:rPr>
          <w:rFonts w:asciiTheme="minorHAnsi" w:hAnsiTheme="minorHAnsi" w:cstheme="minorHAnsi"/>
          <w:sz w:val="22"/>
          <w:szCs w:val="22"/>
          <w:lang w:val="en-US"/>
        </w:rPr>
        <w:t>33</w:t>
      </w:r>
      <w:r w:rsidRPr="006E3A77">
        <w:rPr>
          <w:rFonts w:asciiTheme="minorHAnsi" w:hAnsiTheme="minorHAnsi" w:cstheme="minorHAnsi"/>
          <w:sz w:val="22"/>
          <w:szCs w:val="22"/>
          <w:lang w:val="en-US"/>
        </w:rPr>
        <w:t xml:space="preserve"> cent$/Galón</w:t>
      </w:r>
    </w:p>
    <w:p w14:paraId="639B9F61" w14:textId="5C08F429"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126317">
        <w:rPr>
          <w:rFonts w:asciiTheme="minorHAnsi" w:hAnsiTheme="minorHAnsi" w:cstheme="minorHAnsi"/>
          <w:sz w:val="22"/>
          <w:szCs w:val="22"/>
          <w:lang w:val="en-US"/>
        </w:rPr>
        <w:t>08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21C27D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FA2AFE">
        <w:rPr>
          <w:rFonts w:asciiTheme="minorHAnsi" w:hAnsiTheme="minorHAnsi" w:cstheme="minorHAnsi"/>
          <w:sz w:val="22"/>
          <w:szCs w:val="22"/>
        </w:rPr>
        <w:t>5</w:t>
      </w:r>
      <w:r w:rsidR="00336251">
        <w:rPr>
          <w:rFonts w:asciiTheme="minorHAnsi" w:hAnsiTheme="minorHAnsi" w:cstheme="minorHAnsi"/>
          <w:sz w:val="22"/>
          <w:szCs w:val="22"/>
        </w:rPr>
        <w:t>,</w:t>
      </w:r>
      <w:r w:rsidR="00126317">
        <w:rPr>
          <w:rFonts w:asciiTheme="minorHAnsi" w:hAnsiTheme="minorHAnsi" w:cstheme="minorHAnsi"/>
          <w:sz w:val="22"/>
          <w:szCs w:val="22"/>
        </w:rPr>
        <w:t>4</w:t>
      </w:r>
      <w:r w:rsidR="00FA2AFE">
        <w:rPr>
          <w:rFonts w:asciiTheme="minorHAnsi" w:hAnsiTheme="minorHAnsi" w:cstheme="minorHAnsi"/>
          <w:sz w:val="22"/>
          <w:szCs w:val="22"/>
        </w:rPr>
        <w:t>0</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2D92A7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126317">
        <w:rPr>
          <w:rFonts w:asciiTheme="minorHAnsi" w:hAnsiTheme="minorHAnsi" w:cstheme="minorHAnsi"/>
          <w:sz w:val="22"/>
          <w:szCs w:val="22"/>
        </w:rPr>
        <w:t>50</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FA2AFE">
        <w:rPr>
          <w:rFonts w:asciiTheme="minorHAnsi" w:hAnsiTheme="minorHAnsi" w:cstheme="minorHAnsi"/>
          <w:sz w:val="22"/>
          <w:szCs w:val="22"/>
        </w:rPr>
        <w:t>2</w:t>
      </w:r>
      <w:r w:rsidR="00126317">
        <w:rPr>
          <w:rFonts w:asciiTheme="minorHAnsi" w:hAnsiTheme="minorHAnsi" w:cstheme="minorHAnsi"/>
          <w:sz w:val="22"/>
          <w:szCs w:val="22"/>
        </w:rPr>
        <w:t>0</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A7F6137"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126317">
        <w:rPr>
          <w:rFonts w:asciiTheme="minorHAnsi" w:hAnsiTheme="minorHAnsi" w:cstheme="minorHAnsi"/>
          <w:sz w:val="22"/>
          <w:szCs w:val="22"/>
        </w:rPr>
        <w:t>34</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126317">
        <w:rPr>
          <w:rFonts w:asciiTheme="minorHAnsi" w:hAnsiTheme="minorHAnsi" w:cstheme="minorHAnsi"/>
          <w:sz w:val="22"/>
          <w:szCs w:val="22"/>
        </w:rPr>
        <w:t>2</w:t>
      </w:r>
      <w:r w:rsidR="00513E2B">
        <w:rPr>
          <w:rFonts w:asciiTheme="minorHAnsi" w:hAnsiTheme="minorHAnsi" w:cstheme="minorHAnsi"/>
          <w:sz w:val="22"/>
          <w:szCs w:val="22"/>
        </w:rPr>
        <w:t>,</w:t>
      </w:r>
      <w:r w:rsidR="00126317">
        <w:rPr>
          <w:rFonts w:asciiTheme="minorHAnsi" w:hAnsiTheme="minorHAnsi" w:cstheme="minorHAnsi"/>
          <w:sz w:val="22"/>
          <w:szCs w:val="22"/>
        </w:rPr>
        <w:t>58</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E7DCB03" w14:textId="77777777" w:rsidR="00126317" w:rsidRDefault="00126317"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C35A38A"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FA2AFE">
        <w:rPr>
          <w:rFonts w:asciiTheme="minorHAnsi" w:hAnsiTheme="minorHAnsi" w:cstheme="minorHAnsi"/>
          <w:sz w:val="22"/>
          <w:szCs w:val="22"/>
        </w:rPr>
        <w:t>5</w:t>
      </w:r>
      <w:r>
        <w:rPr>
          <w:rFonts w:asciiTheme="minorHAnsi" w:hAnsiTheme="minorHAnsi" w:cstheme="minorHAnsi"/>
          <w:sz w:val="22"/>
          <w:szCs w:val="22"/>
        </w:rPr>
        <w:t>,</w:t>
      </w:r>
      <w:r w:rsidR="00126317">
        <w:rPr>
          <w:rFonts w:asciiTheme="minorHAnsi" w:hAnsiTheme="minorHAnsi" w:cstheme="minorHAnsi"/>
          <w:sz w:val="22"/>
          <w:szCs w:val="22"/>
        </w:rPr>
        <w:t>4</w:t>
      </w:r>
      <w:r w:rsidR="00FA2AFE">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CB5E9F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126317">
        <w:rPr>
          <w:rFonts w:asciiTheme="minorHAnsi" w:hAnsiTheme="minorHAnsi" w:cstheme="minorHAnsi"/>
          <w:sz w:val="22"/>
          <w:szCs w:val="22"/>
        </w:rPr>
        <w:t>1</w:t>
      </w:r>
      <w:r w:rsidR="00B8117D">
        <w:rPr>
          <w:rFonts w:asciiTheme="minorHAnsi" w:hAnsiTheme="minorHAnsi" w:cstheme="minorHAnsi"/>
          <w:sz w:val="22"/>
          <w:szCs w:val="22"/>
        </w:rPr>
        <w:t>4</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583211FC"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 xml:space="preserve">y que para la presente semana ascienden a </w:t>
      </w:r>
      <w:r w:rsidR="009B6CDA">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9B6CDA">
        <w:rPr>
          <w:rFonts w:asciiTheme="minorHAnsi" w:hAnsiTheme="minorHAnsi" w:cstheme="minorHAnsi"/>
          <w:sz w:val="22"/>
          <w:szCs w:val="22"/>
          <w:lang w:eastAsia="en-US"/>
        </w:rPr>
        <w:t>91</w:t>
      </w:r>
      <w:r w:rsidR="002C3713" w:rsidRPr="006E3A77">
        <w:rPr>
          <w:rFonts w:asciiTheme="minorHAnsi" w:hAnsiTheme="minorHAnsi" w:cstheme="minorHAnsi"/>
          <w:sz w:val="22"/>
          <w:szCs w:val="22"/>
          <w:lang w:eastAsia="en-US"/>
        </w:rPr>
        <w:t xml:space="preserve"> US$/Bl</w:t>
      </w:r>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9B6CDA">
        <w:rPr>
          <w:rFonts w:asciiTheme="minorHAnsi" w:hAnsiTheme="minorHAnsi" w:cstheme="minorHAnsi"/>
          <w:sz w:val="22"/>
          <w:szCs w:val="22"/>
          <w:lang w:eastAsia="en-US"/>
        </w:rPr>
        <w:t>2</w:t>
      </w:r>
      <w:r w:rsidR="002C3713">
        <w:rPr>
          <w:rFonts w:asciiTheme="minorHAnsi" w:hAnsiTheme="minorHAnsi" w:cstheme="minorHAnsi"/>
          <w:sz w:val="22"/>
          <w:szCs w:val="22"/>
          <w:lang w:eastAsia="en-US"/>
        </w:rPr>
        <w:t>,</w:t>
      </w:r>
      <w:r w:rsidR="009B6CDA">
        <w:rPr>
          <w:rFonts w:asciiTheme="minorHAnsi" w:hAnsiTheme="minorHAnsi" w:cstheme="minorHAnsi"/>
          <w:sz w:val="22"/>
          <w:szCs w:val="22"/>
          <w:lang w:eastAsia="en-US"/>
        </w:rPr>
        <w:t>15</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B8117D">
        <w:rPr>
          <w:rFonts w:asciiTheme="minorHAnsi" w:hAnsiTheme="minorHAnsi" w:cstheme="minorHAnsi"/>
          <w:sz w:val="22"/>
          <w:szCs w:val="22"/>
          <w:lang w:eastAsia="en-US"/>
        </w:rPr>
        <w:t>7</w:t>
      </w:r>
      <w:r w:rsidR="009B6CDA">
        <w:rPr>
          <w:rFonts w:asciiTheme="minorHAnsi" w:hAnsiTheme="minorHAnsi" w:cstheme="minorHAnsi"/>
          <w:sz w:val="22"/>
          <w:szCs w:val="22"/>
          <w:lang w:eastAsia="en-US"/>
        </w:rPr>
        <w:t>9</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582E382" w:rsidR="00765078" w:rsidRDefault="009B6CDA" w:rsidP="004F74EE">
      <w:pPr>
        <w:pBdr>
          <w:top w:val="single" w:sz="4" w:space="1" w:color="auto"/>
          <w:bottom w:val="single" w:sz="4" w:space="1" w:color="auto"/>
        </w:pBdr>
        <w:jc w:val="center"/>
        <w:rPr>
          <w:rFonts w:ascii="Calibri" w:hAnsi="Calibri" w:cs="Calibri"/>
          <w:sz w:val="22"/>
          <w:szCs w:val="22"/>
          <w:lang w:val="es-PE" w:eastAsia="en-US"/>
        </w:rPr>
      </w:pPr>
      <w:r w:rsidRPr="009B6CDA">
        <w:drawing>
          <wp:inline distT="0" distB="0" distL="0" distR="0" wp14:anchorId="6D6575CD" wp14:editId="0905743A">
            <wp:extent cx="8173085" cy="29654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7EA269FF" w:rsidR="00F85D23" w:rsidRDefault="002224B6" w:rsidP="00957F6B">
            <w:pPr>
              <w:ind w:left="-618" w:right="-654"/>
              <w:jc w:val="center"/>
              <w:rPr>
                <w:rFonts w:asciiTheme="minorHAnsi" w:hAnsiTheme="minorHAnsi" w:cstheme="minorHAnsi"/>
              </w:rPr>
            </w:pPr>
            <w:r w:rsidRPr="002224B6">
              <w:rPr>
                <w:rFonts w:asciiTheme="minorHAnsi" w:hAnsiTheme="minorHAnsi" w:cstheme="minorHAnsi"/>
                <w:noProof/>
              </w:rPr>
              <w:drawing>
                <wp:inline distT="0" distB="0" distL="0" distR="0" wp14:anchorId="27D645B3" wp14:editId="0293E41A">
                  <wp:extent cx="3567430" cy="2435225"/>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7430" cy="2435225"/>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7580DDDF" w:rsidR="00EF3BE9" w:rsidRDefault="002224B6"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021ED50C" wp14:editId="7B3EE0BE">
                  <wp:extent cx="5280335" cy="2172914"/>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29594" cy="2193184"/>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0A2F461F" w:rsidR="006C63F4" w:rsidRPr="00737F8F" w:rsidRDefault="002224B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2224B6">
        <w:drawing>
          <wp:inline distT="0" distB="0" distL="0" distR="0" wp14:anchorId="2EF5F4E4" wp14:editId="41BDC8DD">
            <wp:extent cx="5643350" cy="208080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5525" cy="208898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6A5063C5" w:rsidR="005C4A97" w:rsidRDefault="007D0824" w:rsidP="00604758">
      <w:pPr>
        <w:spacing w:line="0" w:lineRule="atLeast"/>
        <w:ind w:right="-567"/>
        <w:jc w:val="both"/>
        <w:rPr>
          <w:noProof/>
        </w:rPr>
      </w:pPr>
      <w:r w:rsidRPr="007D0824">
        <w:drawing>
          <wp:inline distT="0" distB="0" distL="0" distR="0" wp14:anchorId="6014A74E" wp14:editId="594A072B">
            <wp:extent cx="5850255" cy="2169994"/>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5259" cy="217185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3C78DD81" w:rsidR="00127A54" w:rsidRDefault="007D0824" w:rsidP="006220EA">
      <w:pPr>
        <w:rPr>
          <w:rFonts w:asciiTheme="minorHAnsi" w:hAnsiTheme="minorHAnsi" w:cstheme="minorHAnsi"/>
          <w:i/>
          <w:sz w:val="18"/>
          <w:szCs w:val="18"/>
        </w:rPr>
      </w:pPr>
      <w:r w:rsidRPr="007D0824">
        <w:drawing>
          <wp:inline distT="0" distB="0" distL="0" distR="0" wp14:anchorId="5546CCC5" wp14:editId="26195F35">
            <wp:extent cx="5850255" cy="70612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0612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0DA708E2" w:rsidR="00550568" w:rsidRDefault="007D0824" w:rsidP="005048C1">
      <w:pPr>
        <w:rPr>
          <w:rFonts w:asciiTheme="minorHAnsi" w:hAnsiTheme="minorHAnsi" w:cstheme="minorHAnsi"/>
          <w:i/>
          <w:sz w:val="18"/>
          <w:szCs w:val="18"/>
        </w:rPr>
      </w:pPr>
      <w:r w:rsidRPr="007D0824">
        <w:drawing>
          <wp:inline distT="0" distB="0" distL="0" distR="0" wp14:anchorId="794A258E" wp14:editId="31D3BB9F">
            <wp:extent cx="5850255" cy="5695315"/>
            <wp:effectExtent l="0" t="0" r="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5695315"/>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16D187C1" w14:textId="787FFA27" w:rsidR="0038391E" w:rsidRDefault="0038391E" w:rsidP="0038391E">
      <w:pPr>
        <w:jc w:val="center"/>
        <w:rPr>
          <w:rFonts w:asciiTheme="minorHAnsi" w:hAnsiTheme="minorHAnsi" w:cstheme="minorHAnsi"/>
          <w:sz w:val="22"/>
          <w:szCs w:val="22"/>
        </w:rPr>
      </w:pPr>
      <w:r>
        <w:rPr>
          <w:noProof/>
        </w:rPr>
        <w:drawing>
          <wp:inline distT="0" distB="0" distL="0" distR="0" wp14:anchorId="5DFE7D3A" wp14:editId="3756F29F">
            <wp:extent cx="5587845" cy="2983458"/>
            <wp:effectExtent l="19050" t="19050" r="13335" b="26670"/>
            <wp:docPr id="1926043831"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3978" cy="2997411"/>
                    </a:xfrm>
                    <a:prstGeom prst="rect">
                      <a:avLst/>
                    </a:prstGeom>
                    <a:noFill/>
                    <a:ln>
                      <a:solidFill>
                        <a:schemeClr val="accent1"/>
                      </a:solidFill>
                    </a:ln>
                  </pic:spPr>
                </pic:pic>
              </a:graphicData>
            </a:graphic>
          </wp:inline>
        </w:drawing>
      </w:r>
    </w:p>
    <w:p w14:paraId="60ACA92B" w14:textId="77777777" w:rsidR="0038391E" w:rsidRDefault="0038391E" w:rsidP="0038391E">
      <w:pPr>
        <w:jc w:val="center"/>
        <w:rPr>
          <w:rFonts w:asciiTheme="minorHAnsi" w:hAnsiTheme="minorHAnsi" w:cstheme="minorHAnsi"/>
          <w:sz w:val="22"/>
          <w:szCs w:val="22"/>
        </w:rPr>
      </w:pPr>
    </w:p>
    <w:p w14:paraId="7F51C0D7" w14:textId="77777777" w:rsidR="0038391E" w:rsidRDefault="0038391E" w:rsidP="0038391E">
      <w:pPr>
        <w:jc w:val="center"/>
        <w:rPr>
          <w:rFonts w:asciiTheme="minorHAnsi" w:hAnsiTheme="minorHAnsi" w:cstheme="minorHAnsi"/>
          <w:sz w:val="22"/>
          <w:szCs w:val="22"/>
        </w:rPr>
      </w:pPr>
    </w:p>
    <w:p w14:paraId="7E5FEE1D" w14:textId="77777777" w:rsidR="0038391E" w:rsidRDefault="0038391E" w:rsidP="0038391E">
      <w:pPr>
        <w:jc w:val="center"/>
        <w:rPr>
          <w:rFonts w:asciiTheme="minorHAnsi" w:hAnsiTheme="minorHAnsi" w:cstheme="minorHAnsi"/>
          <w:sz w:val="22"/>
          <w:szCs w:val="22"/>
        </w:rPr>
      </w:pPr>
      <w:r>
        <w:rPr>
          <w:noProof/>
        </w:rPr>
        <w:drawing>
          <wp:inline distT="0" distB="0" distL="0" distR="0" wp14:anchorId="1B29EEAF" wp14:editId="40F1AF1F">
            <wp:extent cx="5549502" cy="2962986"/>
            <wp:effectExtent l="19050" t="19050" r="13335" b="27940"/>
            <wp:docPr id="714289013"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9319" cy="2984245"/>
                    </a:xfrm>
                    <a:prstGeom prst="rect">
                      <a:avLst/>
                    </a:prstGeom>
                    <a:noFill/>
                    <a:ln>
                      <a:solidFill>
                        <a:schemeClr val="accent1"/>
                      </a:solidFill>
                    </a:ln>
                  </pic:spPr>
                </pic:pic>
              </a:graphicData>
            </a:graphic>
          </wp:inline>
        </w:drawing>
      </w:r>
    </w:p>
    <w:p w14:paraId="413ED209" w14:textId="77777777" w:rsidR="0038391E" w:rsidRDefault="0038391E" w:rsidP="0038391E">
      <w:pPr>
        <w:jc w:val="center"/>
        <w:rPr>
          <w:rFonts w:asciiTheme="minorHAnsi" w:hAnsiTheme="minorHAnsi" w:cstheme="minorHAnsi"/>
          <w:sz w:val="22"/>
          <w:szCs w:val="22"/>
        </w:rPr>
      </w:pPr>
    </w:p>
    <w:p w14:paraId="220C74B8" w14:textId="77777777" w:rsidR="0038391E" w:rsidRDefault="0038391E" w:rsidP="0038391E">
      <w:pPr>
        <w:jc w:val="center"/>
        <w:rPr>
          <w:rFonts w:asciiTheme="minorHAnsi" w:hAnsiTheme="minorHAnsi" w:cstheme="minorHAnsi"/>
          <w:b/>
          <w:iCs/>
          <w:u w:val="single"/>
        </w:rPr>
      </w:pPr>
    </w:p>
    <w:p w14:paraId="52E67B54" w14:textId="77777777" w:rsidR="0038391E" w:rsidRDefault="0038391E" w:rsidP="0038391E">
      <w:pPr>
        <w:jc w:val="center"/>
        <w:rPr>
          <w:rFonts w:asciiTheme="minorHAnsi" w:hAnsiTheme="minorHAnsi" w:cstheme="minorHAnsi"/>
          <w:b/>
          <w:iCs/>
          <w:u w:val="single"/>
        </w:rPr>
      </w:pPr>
      <w:r>
        <w:rPr>
          <w:noProof/>
        </w:rPr>
        <w:lastRenderedPageBreak/>
        <w:drawing>
          <wp:inline distT="0" distB="0" distL="0" distR="0" wp14:anchorId="1B8C89AE" wp14:editId="1DBCE14C">
            <wp:extent cx="5268323" cy="2812861"/>
            <wp:effectExtent l="19050" t="19050" r="27940" b="26035"/>
            <wp:docPr id="1747797296"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7097" cy="2833563"/>
                    </a:xfrm>
                    <a:prstGeom prst="rect">
                      <a:avLst/>
                    </a:prstGeom>
                    <a:noFill/>
                    <a:ln>
                      <a:solidFill>
                        <a:schemeClr val="accent1"/>
                      </a:solidFill>
                    </a:ln>
                  </pic:spPr>
                </pic:pic>
              </a:graphicData>
            </a:graphic>
          </wp:inline>
        </w:drawing>
      </w:r>
    </w:p>
    <w:p w14:paraId="6F16201A" w14:textId="721BF341" w:rsidR="0038391E" w:rsidRDefault="0038391E" w:rsidP="0038391E">
      <w:pPr>
        <w:jc w:val="center"/>
        <w:rPr>
          <w:rFonts w:asciiTheme="minorHAnsi" w:hAnsiTheme="minorHAnsi" w:cstheme="minorHAnsi"/>
          <w:b/>
          <w:iCs/>
          <w:u w:val="single"/>
        </w:rPr>
      </w:pPr>
    </w:p>
    <w:p w14:paraId="354FEBDE" w14:textId="77777777" w:rsidR="0038391E" w:rsidRDefault="0038391E" w:rsidP="0038391E">
      <w:pPr>
        <w:jc w:val="center"/>
        <w:rPr>
          <w:rFonts w:asciiTheme="minorHAnsi" w:hAnsiTheme="minorHAnsi" w:cstheme="minorHAnsi"/>
          <w:b/>
          <w:iCs/>
          <w:u w:val="single"/>
        </w:rPr>
      </w:pPr>
    </w:p>
    <w:p w14:paraId="3EDA7670" w14:textId="77777777" w:rsidR="0038391E" w:rsidRDefault="0038391E" w:rsidP="0038391E">
      <w:pPr>
        <w:jc w:val="center"/>
        <w:rPr>
          <w:rFonts w:asciiTheme="minorHAnsi" w:hAnsiTheme="minorHAnsi" w:cstheme="minorHAnsi"/>
          <w:b/>
          <w:iCs/>
          <w:u w:val="single"/>
        </w:rPr>
      </w:pPr>
      <w:r>
        <w:rPr>
          <w:noProof/>
        </w:rPr>
        <w:drawing>
          <wp:inline distT="0" distB="0" distL="0" distR="0" wp14:anchorId="54AD3EA2" wp14:editId="3C227BE6">
            <wp:extent cx="5319445" cy="2840156"/>
            <wp:effectExtent l="19050" t="19050" r="14605" b="17780"/>
            <wp:docPr id="11327794"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42793" cy="2852622"/>
                    </a:xfrm>
                    <a:prstGeom prst="rect">
                      <a:avLst/>
                    </a:prstGeom>
                    <a:noFill/>
                    <a:ln>
                      <a:solidFill>
                        <a:schemeClr val="accent1"/>
                      </a:solidFill>
                    </a:ln>
                  </pic:spPr>
                </pic:pic>
              </a:graphicData>
            </a:graphic>
          </wp:inline>
        </w:drawing>
      </w:r>
    </w:p>
    <w:p w14:paraId="7AE9C28C" w14:textId="77777777" w:rsidR="00F1465A" w:rsidRDefault="00F1465A" w:rsidP="00F1465A">
      <w:pPr>
        <w:jc w:val="center"/>
        <w:rPr>
          <w:rFonts w:asciiTheme="minorHAnsi" w:hAnsiTheme="minorHAnsi" w:cstheme="minorHAnsi"/>
          <w:sz w:val="22"/>
          <w:szCs w:val="22"/>
        </w:rPr>
      </w:pPr>
    </w:p>
    <w:p w14:paraId="74D9682C" w14:textId="15A72B25" w:rsidR="00F1465A" w:rsidRDefault="00F1465A" w:rsidP="00F1465A">
      <w:pPr>
        <w:jc w:val="center"/>
        <w:rPr>
          <w:rFonts w:asciiTheme="minorHAnsi" w:hAnsiTheme="minorHAnsi" w:cstheme="minorHAnsi"/>
          <w:sz w:val="22"/>
          <w:szCs w:val="22"/>
        </w:rPr>
      </w:pPr>
    </w:p>
    <w:p w14:paraId="537E4ECD" w14:textId="77777777" w:rsidR="00F1465A" w:rsidRDefault="00F1465A" w:rsidP="00F1465A">
      <w:pPr>
        <w:jc w:val="center"/>
        <w:rPr>
          <w:rFonts w:asciiTheme="minorHAnsi" w:hAnsiTheme="minorHAnsi" w:cstheme="minorHAnsi"/>
          <w:sz w:val="22"/>
          <w:szCs w:val="22"/>
        </w:rPr>
      </w:pPr>
    </w:p>
    <w:p w14:paraId="2FA20130" w14:textId="77777777" w:rsidR="00F1465A" w:rsidRDefault="00F1465A" w:rsidP="00F1465A">
      <w:pPr>
        <w:jc w:val="center"/>
        <w:rPr>
          <w:rFonts w:asciiTheme="minorHAnsi" w:hAnsiTheme="minorHAnsi" w:cstheme="minorHAnsi"/>
          <w:b/>
          <w:iCs/>
          <w:u w:val="single"/>
        </w:rPr>
      </w:pPr>
    </w:p>
    <w:p w14:paraId="75146BCC" w14:textId="492ED96C" w:rsidR="00F1465A" w:rsidRDefault="00F1465A" w:rsidP="00F1465A">
      <w:pPr>
        <w:jc w:val="center"/>
        <w:rPr>
          <w:rFonts w:asciiTheme="minorHAnsi" w:hAnsiTheme="minorHAnsi" w:cstheme="minorHAnsi"/>
          <w:b/>
          <w:iCs/>
          <w:u w:val="single"/>
        </w:rPr>
      </w:pPr>
    </w:p>
    <w:p w14:paraId="2B785763" w14:textId="38E5AEC4" w:rsidR="00F1465A" w:rsidRDefault="00F1465A" w:rsidP="00F1465A">
      <w:pPr>
        <w:jc w:val="center"/>
        <w:rPr>
          <w:rFonts w:asciiTheme="minorHAnsi" w:hAnsiTheme="minorHAnsi" w:cstheme="minorHAnsi"/>
          <w:b/>
          <w:iCs/>
          <w:u w:val="single"/>
        </w:rPr>
      </w:pPr>
    </w:p>
    <w:p w14:paraId="5E6E7110" w14:textId="4DF4672D" w:rsidR="00F1465A" w:rsidRDefault="00F1465A" w:rsidP="00F1465A">
      <w:pPr>
        <w:jc w:val="center"/>
        <w:rPr>
          <w:rFonts w:asciiTheme="minorHAnsi" w:hAnsiTheme="minorHAnsi" w:cstheme="minorHAnsi"/>
          <w:b/>
          <w:iCs/>
          <w:u w:val="single"/>
        </w:rPr>
      </w:pPr>
    </w:p>
    <w:p w14:paraId="3427068F" w14:textId="77777777" w:rsidR="00F1465A" w:rsidRDefault="00F1465A" w:rsidP="00F1465A">
      <w:pPr>
        <w:jc w:val="center"/>
        <w:rPr>
          <w:rFonts w:asciiTheme="minorHAnsi" w:hAnsiTheme="minorHAnsi" w:cstheme="minorHAnsi"/>
          <w:b/>
          <w:iCs/>
          <w:u w:val="single"/>
        </w:rPr>
      </w:pPr>
    </w:p>
    <w:p w14:paraId="42BD488E" w14:textId="2557D9CE" w:rsidR="00F1465A" w:rsidRDefault="00F1465A" w:rsidP="00F1465A">
      <w:pPr>
        <w:jc w:val="center"/>
        <w:rPr>
          <w:rFonts w:asciiTheme="minorHAnsi" w:hAnsiTheme="minorHAnsi" w:cstheme="minorHAnsi"/>
          <w:b/>
          <w:iCs/>
          <w:u w:val="single"/>
        </w:rPr>
      </w:pPr>
    </w:p>
    <w:p w14:paraId="72955663" w14:textId="77777777" w:rsidR="00F1465A" w:rsidRDefault="00F1465A" w:rsidP="00F1465A">
      <w:pPr>
        <w:rPr>
          <w:rFonts w:asciiTheme="minorHAnsi" w:hAnsiTheme="minorHAnsi" w:cstheme="minorHAnsi"/>
          <w:b/>
          <w:iCs/>
          <w:u w:val="single"/>
        </w:rPr>
      </w:pPr>
    </w:p>
    <w:p w14:paraId="33B767D2" w14:textId="4AC22DD9" w:rsidR="006E6DFA" w:rsidRDefault="006E6DFA" w:rsidP="006E6DFA">
      <w:pPr>
        <w:jc w:val="center"/>
        <w:rPr>
          <w:rFonts w:asciiTheme="minorHAnsi" w:hAnsiTheme="minorHAnsi" w:cstheme="minorHAnsi"/>
          <w:b/>
          <w:iCs/>
          <w:u w:val="single"/>
        </w:rPr>
      </w:pPr>
    </w:p>
    <w:p w14:paraId="1665C05E" w14:textId="58918427" w:rsidR="00F1465A" w:rsidRDefault="00F1465A" w:rsidP="006E6DFA">
      <w:pPr>
        <w:jc w:val="center"/>
        <w:rPr>
          <w:rFonts w:asciiTheme="minorHAnsi" w:hAnsiTheme="minorHAnsi" w:cstheme="minorHAnsi"/>
          <w:b/>
          <w:iCs/>
          <w:u w:val="single"/>
        </w:rPr>
      </w:pPr>
    </w:p>
    <w:p w14:paraId="6187BA3C" w14:textId="2F00897B" w:rsidR="00F1465A" w:rsidRDefault="00F1465A" w:rsidP="006E6DF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957F6B"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4DC522B"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3207E5">
            <w:rPr>
              <w:rFonts w:ascii="Calibri" w:hAnsi="Calibri" w:cs="Calibri"/>
              <w:b/>
              <w:sz w:val="26"/>
              <w:szCs w:val="26"/>
              <w:lang w:val="it-IT"/>
            </w:rPr>
            <w:t>1</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D73C597"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3207E5">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5BA5F490"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F07D15">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CA6C6E0"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2224B6">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0752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7522"/>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18</Pages>
  <Words>4149</Words>
  <Characters>22825</Characters>
  <Application>Microsoft Office Word</Application>
  <DocSecurity>0</DocSecurity>
  <Lines>190</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2023-09-13T15:54:00Z</cp:lastPrinted>
  <dcterms:created xsi:type="dcterms:W3CDTF">2023-10-11T14:20:00Z</dcterms:created>
  <dcterms:modified xsi:type="dcterms:W3CDTF">2023-10-11T20:13:00Z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