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10DDB19"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C12712">
        <w:rPr>
          <w:rFonts w:ascii="Poppins" w:hAnsi="Poppins" w:cs="Poppins"/>
          <w:sz w:val="24"/>
          <w:szCs w:val="22"/>
          <w:u w:val="single"/>
          <w:lang w:val="it-IT"/>
        </w:rPr>
        <w:t>7</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D70B6C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241F82">
        <w:rPr>
          <w:rFonts w:ascii="Poppins" w:hAnsi="Poppins" w:cs="Poppins"/>
          <w:b/>
          <w:bCs/>
          <w:sz w:val="22"/>
          <w:szCs w:val="22"/>
        </w:rPr>
        <w:t>0</w:t>
      </w:r>
      <w:r w:rsidR="00C12712">
        <w:rPr>
          <w:rFonts w:ascii="Poppins" w:hAnsi="Poppins" w:cs="Poppins"/>
          <w:b/>
          <w:bCs/>
          <w:sz w:val="22"/>
          <w:szCs w:val="22"/>
        </w:rPr>
        <w:t>9</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241F82">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2513E8D1" w:rsidR="00AB06BA" w:rsidRPr="001C2FD3" w:rsidRDefault="00EF58AA"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3980C38" wp14:editId="52798310">
            <wp:extent cx="5428633" cy="3544171"/>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1805" cy="355929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677E9DF3"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77956">
        <w:rPr>
          <w:rFonts w:ascii="Poppins" w:hAnsi="Poppins" w:cs="Poppins"/>
          <w:sz w:val="18"/>
          <w:szCs w:val="18"/>
        </w:rPr>
        <w:t>6</w:t>
      </w:r>
      <w:r w:rsidR="00393A9C" w:rsidRPr="0096213B">
        <w:rPr>
          <w:rFonts w:ascii="Poppins" w:hAnsi="Poppins" w:cs="Poppins"/>
          <w:sz w:val="18"/>
          <w:szCs w:val="18"/>
        </w:rPr>
        <w:t>7</w:t>
      </w:r>
      <w:r w:rsidR="00073C34" w:rsidRPr="0096213B">
        <w:rPr>
          <w:rFonts w:ascii="Poppins" w:hAnsi="Poppins" w:cs="Poppins"/>
          <w:sz w:val="18"/>
          <w:szCs w:val="18"/>
        </w:rPr>
        <w:t>,</w:t>
      </w:r>
      <w:r w:rsidR="00077956">
        <w:rPr>
          <w:rFonts w:ascii="Poppins" w:hAnsi="Poppins" w:cs="Poppins"/>
          <w:sz w:val="18"/>
          <w:szCs w:val="18"/>
        </w:rPr>
        <w:t>17</w:t>
      </w:r>
      <w:r w:rsidRPr="0096213B">
        <w:rPr>
          <w:rFonts w:ascii="Poppins" w:hAnsi="Poppins" w:cs="Poppins"/>
          <w:sz w:val="18"/>
          <w:szCs w:val="18"/>
        </w:rPr>
        <w:t xml:space="preserve"> US$/Bl, las gasolinas registraron un precio superior a </w:t>
      </w:r>
      <w:r w:rsidR="00077956">
        <w:rPr>
          <w:rFonts w:ascii="Poppins" w:hAnsi="Poppins" w:cs="Poppins"/>
          <w:sz w:val="18"/>
          <w:szCs w:val="18"/>
        </w:rPr>
        <w:t>7</w:t>
      </w:r>
      <w:r w:rsidR="00BD1BAD">
        <w:rPr>
          <w:rFonts w:ascii="Poppins" w:hAnsi="Poppins" w:cs="Poppins"/>
          <w:sz w:val="18"/>
          <w:szCs w:val="18"/>
        </w:rPr>
        <w:t>5</w:t>
      </w:r>
      <w:r w:rsidRPr="0096213B">
        <w:rPr>
          <w:rFonts w:ascii="Poppins" w:hAnsi="Poppins" w:cs="Poppins"/>
          <w:sz w:val="18"/>
          <w:szCs w:val="18"/>
        </w:rPr>
        <w:t xml:space="preserve"> US$/Bl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077956">
        <w:rPr>
          <w:rFonts w:ascii="Poppins" w:hAnsi="Poppins" w:cs="Poppins"/>
          <w:sz w:val="18"/>
          <w:szCs w:val="18"/>
        </w:rPr>
        <w:t>8</w:t>
      </w:r>
      <w:r w:rsidR="00863CFF">
        <w:rPr>
          <w:rFonts w:ascii="Poppins" w:hAnsi="Poppins" w:cs="Poppins"/>
          <w:sz w:val="18"/>
          <w:szCs w:val="18"/>
        </w:rPr>
        <w:t>0</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077956">
        <w:rPr>
          <w:rFonts w:ascii="Poppins" w:hAnsi="Poppins" w:cs="Poppins"/>
          <w:sz w:val="18"/>
          <w:szCs w:val="18"/>
        </w:rPr>
        <w:t>1</w:t>
      </w:r>
      <w:r w:rsidR="00941CD2" w:rsidRPr="0096213B">
        <w:rPr>
          <w:rFonts w:ascii="Poppins" w:hAnsi="Poppins" w:cs="Poppins"/>
          <w:sz w:val="18"/>
          <w:szCs w:val="18"/>
        </w:rPr>
        <w:t>,</w:t>
      </w:r>
      <w:r w:rsidR="00077956">
        <w:rPr>
          <w:rFonts w:ascii="Poppins" w:hAnsi="Poppins" w:cs="Poppins"/>
          <w:sz w:val="18"/>
          <w:szCs w:val="18"/>
        </w:rPr>
        <w:t>05</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55F75529"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077956">
        <w:rPr>
          <w:rFonts w:ascii="Poppins" w:hAnsi="Poppins" w:cs="Poppins"/>
          <w:bCs/>
          <w:sz w:val="18"/>
          <w:szCs w:val="18"/>
        </w:rPr>
        <w:t>23</w:t>
      </w:r>
      <w:r w:rsidRPr="0096213B">
        <w:rPr>
          <w:rFonts w:ascii="Poppins" w:hAnsi="Poppins" w:cs="Poppins"/>
          <w:bCs/>
          <w:sz w:val="18"/>
          <w:szCs w:val="18"/>
        </w:rPr>
        <w:t>.</w:t>
      </w:r>
      <w:r w:rsidR="00941CD2" w:rsidRPr="0096213B">
        <w:rPr>
          <w:rFonts w:ascii="Poppins" w:hAnsi="Poppins" w:cs="Poppins"/>
          <w:bCs/>
          <w:sz w:val="18"/>
          <w:szCs w:val="18"/>
        </w:rPr>
        <w:t>0</w:t>
      </w:r>
      <w:r w:rsidR="00D87FA1">
        <w:rPr>
          <w:rFonts w:ascii="Poppins" w:hAnsi="Poppins" w:cs="Poppins"/>
          <w:bCs/>
          <w:sz w:val="18"/>
          <w:szCs w:val="18"/>
        </w:rPr>
        <w:t>8</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241F82">
        <w:rPr>
          <w:rFonts w:ascii="Poppins" w:hAnsi="Poppins" w:cs="Poppins"/>
          <w:bCs/>
          <w:sz w:val="18"/>
          <w:szCs w:val="18"/>
        </w:rPr>
        <w:t>0</w:t>
      </w:r>
      <w:r w:rsidR="00077956">
        <w:rPr>
          <w:rFonts w:ascii="Poppins" w:hAnsi="Poppins" w:cs="Poppins"/>
          <w:bCs/>
          <w:sz w:val="18"/>
          <w:szCs w:val="18"/>
        </w:rPr>
        <w:t>6</w:t>
      </w:r>
      <w:r w:rsidRPr="0096213B">
        <w:rPr>
          <w:rFonts w:ascii="Poppins" w:hAnsi="Poppins" w:cs="Poppins"/>
          <w:bCs/>
          <w:sz w:val="18"/>
          <w:szCs w:val="18"/>
        </w:rPr>
        <w:t>.</w:t>
      </w:r>
      <w:r w:rsidR="0003140D" w:rsidRPr="0096213B">
        <w:rPr>
          <w:rFonts w:ascii="Poppins" w:hAnsi="Poppins" w:cs="Poppins"/>
          <w:bCs/>
          <w:sz w:val="18"/>
          <w:szCs w:val="18"/>
        </w:rPr>
        <w:t>0</w:t>
      </w:r>
      <w:r w:rsidR="00077956">
        <w:rPr>
          <w:rFonts w:ascii="Poppins" w:hAnsi="Poppins" w:cs="Poppins"/>
          <w:bCs/>
          <w:sz w:val="18"/>
          <w:szCs w:val="18"/>
        </w:rPr>
        <w:t>9</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14C4E546"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sz w:val="22"/>
          <w:szCs w:val="22"/>
        </w:rPr>
      </w:pPr>
      <w:r w:rsidRPr="005F7900">
        <w:rPr>
          <w:rFonts w:asciiTheme="minorHAnsi" w:hAnsiTheme="minorHAnsi" w:cstheme="minorHAnsi"/>
          <w:b/>
          <w:sz w:val="22"/>
          <w:szCs w:val="22"/>
        </w:rPr>
        <w:t>La disminución de los inventarios de crudo y diésel; así como el aumento de las existencias de propano y gasolinas al 30 de agosto del 2024</w:t>
      </w:r>
    </w:p>
    <w:p w14:paraId="609C61FB" w14:textId="77777777" w:rsidR="00077956" w:rsidRPr="005F7900" w:rsidRDefault="00077956" w:rsidP="00077956">
      <w:pPr>
        <w:jc w:val="both"/>
        <w:rPr>
          <w:rFonts w:asciiTheme="minorHAnsi" w:hAnsiTheme="minorHAnsi" w:cstheme="minorHAnsi"/>
          <w:sz w:val="22"/>
          <w:szCs w:val="22"/>
        </w:rPr>
      </w:pPr>
    </w:p>
    <w:p w14:paraId="6A67B2D2"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Los inventarios de petróleo de Estados Unidos se redujeron en 6,9 millones de barriles, ubicándose en -5% por debajo de la media de los últimos 5 años en esta época del año, lo que representa 418,3 millones de barriles.</w:t>
      </w:r>
    </w:p>
    <w:p w14:paraId="27441DEC" w14:textId="77777777" w:rsidR="00077956" w:rsidRPr="005F7900" w:rsidRDefault="00077956" w:rsidP="00077956">
      <w:pPr>
        <w:pStyle w:val="Prrafodelista"/>
        <w:ind w:left="426"/>
        <w:jc w:val="both"/>
        <w:rPr>
          <w:rFonts w:asciiTheme="minorHAnsi" w:hAnsiTheme="minorHAnsi" w:cstheme="minorHAnsi"/>
          <w:sz w:val="22"/>
          <w:szCs w:val="22"/>
        </w:rPr>
      </w:pPr>
    </w:p>
    <w:p w14:paraId="7B3CB555"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Por su parte, las existencias de gasolina se incrementaron en 0,8 millones de barriles, reportando un total de 219,2 millones de barriles; mientras los inventarios de destilados, que incluyen al diésel y al combustible para calefacción cayeron 0,4 millones de barriles, a un total de 122,7 millones de barriles. Finalmente, las existencias de propano se elevaron 2,6 millones de barriles, ubicándose en los 95,69 millones de barriles.</w:t>
      </w:r>
    </w:p>
    <w:p w14:paraId="63056C79" w14:textId="77777777" w:rsidR="00077956" w:rsidRPr="005F7900" w:rsidRDefault="00077956" w:rsidP="00077956">
      <w:pPr>
        <w:pStyle w:val="Prrafodelista"/>
        <w:ind w:left="426"/>
        <w:jc w:val="both"/>
        <w:rPr>
          <w:rFonts w:asciiTheme="minorHAnsi" w:hAnsiTheme="minorHAnsi" w:cstheme="minorHAnsi"/>
          <w:sz w:val="22"/>
          <w:szCs w:val="22"/>
        </w:rPr>
      </w:pPr>
    </w:p>
    <w:p w14:paraId="621F3BB1" w14:textId="77777777" w:rsidR="00077956"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La utilización de las refinerías subió en 36 mil barriles por día, hacía un total de 16,9 millones de barriles por día.</w:t>
      </w:r>
    </w:p>
    <w:p w14:paraId="6341D80E" w14:textId="77777777" w:rsidR="00077956" w:rsidRDefault="00077956" w:rsidP="00077956">
      <w:pPr>
        <w:pStyle w:val="Prrafodelista"/>
        <w:ind w:left="426"/>
        <w:jc w:val="both"/>
        <w:rPr>
          <w:rFonts w:asciiTheme="minorHAnsi" w:hAnsiTheme="minorHAnsi" w:cstheme="minorHAnsi"/>
          <w:sz w:val="22"/>
          <w:szCs w:val="22"/>
        </w:rPr>
      </w:pPr>
    </w:p>
    <w:p w14:paraId="700A7A5C" w14:textId="77777777" w:rsidR="00077956" w:rsidRPr="005F7900" w:rsidRDefault="00077956" w:rsidP="00077956">
      <w:pPr>
        <w:pStyle w:val="Prrafodelista"/>
        <w:ind w:left="426"/>
        <w:jc w:val="both"/>
        <w:rPr>
          <w:rFonts w:asciiTheme="minorHAnsi" w:hAnsiTheme="minorHAnsi" w:cstheme="minorHAnsi"/>
          <w:sz w:val="22"/>
          <w:szCs w:val="22"/>
        </w:rPr>
      </w:pPr>
    </w:p>
    <w:p w14:paraId="5D04FD20" w14:textId="77777777" w:rsidR="00077956" w:rsidRPr="005F7900" w:rsidRDefault="00077956" w:rsidP="00077956">
      <w:pPr>
        <w:pStyle w:val="Prrafodelista"/>
        <w:ind w:left="426"/>
        <w:jc w:val="both"/>
        <w:rPr>
          <w:rFonts w:asciiTheme="minorHAnsi" w:hAnsiTheme="minorHAnsi" w:cstheme="minorHAnsi"/>
          <w:sz w:val="22"/>
          <w:szCs w:val="22"/>
        </w:rPr>
      </w:pPr>
    </w:p>
    <w:p w14:paraId="236FAF6F"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b/>
          <w:sz w:val="22"/>
          <w:szCs w:val="22"/>
        </w:rPr>
      </w:pPr>
      <w:r w:rsidRPr="005F7900">
        <w:rPr>
          <w:rFonts w:asciiTheme="minorHAnsi" w:hAnsiTheme="minorHAnsi" w:cstheme="minorHAnsi"/>
          <w:b/>
          <w:sz w:val="22"/>
          <w:szCs w:val="22"/>
        </w:rPr>
        <w:t>El anuncio de la OPEP de prorrogar sus recortes voluntarios de producción dos meses más, hasta finales de noviembre 2024</w:t>
      </w:r>
    </w:p>
    <w:p w14:paraId="0EAA0401" w14:textId="77777777" w:rsidR="00077956" w:rsidRPr="005F7900" w:rsidRDefault="00077956" w:rsidP="00077956">
      <w:pPr>
        <w:pStyle w:val="Prrafodelista"/>
        <w:ind w:left="426"/>
        <w:jc w:val="both"/>
        <w:rPr>
          <w:rFonts w:asciiTheme="minorHAnsi" w:hAnsiTheme="minorHAnsi" w:cstheme="minorHAnsi"/>
          <w:b/>
          <w:sz w:val="22"/>
          <w:szCs w:val="22"/>
        </w:rPr>
      </w:pPr>
    </w:p>
    <w:p w14:paraId="2B684333"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La OPEP postergó por dos meses, del 1 de octubre al 1 de diciembre 2024, la puesta en marcha de su plan para realizar paulatinamente las reducciones voluntarias de su producción de crudo. Esta decisión ha generado incertidumbre en el mercado, respecto a la posición de la Organización de defender el nivel del precio del crudo de 70 US$/Bl. El mercado del petróleo está pendiente de las especulaciones ante la subida de la producción por parte de la OPEP a partir de octubre 2024.</w:t>
      </w:r>
    </w:p>
    <w:p w14:paraId="59E6D524" w14:textId="77777777" w:rsidR="00077956" w:rsidRPr="005F7900" w:rsidRDefault="00077956" w:rsidP="00077956">
      <w:pPr>
        <w:pStyle w:val="Prrafodelista"/>
        <w:ind w:left="426"/>
        <w:jc w:val="both"/>
        <w:rPr>
          <w:rFonts w:asciiTheme="minorHAnsi" w:hAnsiTheme="minorHAnsi" w:cstheme="minorHAnsi"/>
          <w:sz w:val="22"/>
          <w:szCs w:val="22"/>
        </w:rPr>
      </w:pPr>
    </w:p>
    <w:p w14:paraId="078BA936" w14:textId="5761EE8A"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Asimismo, desde octubre 2024, 8 miembros de la OPEP aumentarán la producción de petróleo en 180</w:t>
      </w:r>
      <w:r>
        <w:rPr>
          <w:rFonts w:asciiTheme="minorHAnsi" w:hAnsiTheme="minorHAnsi" w:cstheme="minorHAnsi"/>
          <w:sz w:val="22"/>
          <w:szCs w:val="22"/>
        </w:rPr>
        <w:t xml:space="preserve"> mil</w:t>
      </w:r>
      <w:r w:rsidRPr="005F7900">
        <w:rPr>
          <w:rFonts w:asciiTheme="minorHAnsi" w:hAnsiTheme="minorHAnsi" w:cstheme="minorHAnsi"/>
          <w:sz w:val="22"/>
          <w:szCs w:val="22"/>
        </w:rPr>
        <w:t xml:space="preserve"> barriles por día (bpd) para desarticular su cobertura más reciente de reducciones de la oferta de 2,2 millones de bpd.</w:t>
      </w:r>
    </w:p>
    <w:p w14:paraId="13E73C02" w14:textId="77777777" w:rsidR="00077956" w:rsidRPr="005F7900" w:rsidRDefault="00077956" w:rsidP="00077956">
      <w:pPr>
        <w:jc w:val="both"/>
        <w:rPr>
          <w:rFonts w:asciiTheme="minorHAnsi" w:hAnsiTheme="minorHAnsi" w:cstheme="minorHAnsi"/>
          <w:sz w:val="22"/>
          <w:szCs w:val="22"/>
        </w:rPr>
      </w:pPr>
    </w:p>
    <w:p w14:paraId="28F5E5D4"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b/>
          <w:sz w:val="22"/>
          <w:szCs w:val="22"/>
        </w:rPr>
      </w:pPr>
      <w:r w:rsidRPr="005F7900">
        <w:rPr>
          <w:rFonts w:asciiTheme="minorHAnsi" w:hAnsiTheme="minorHAnsi" w:cstheme="minorHAnsi"/>
          <w:b/>
          <w:sz w:val="22"/>
          <w:szCs w:val="22"/>
        </w:rPr>
        <w:t xml:space="preserve">La caída de las exportaciones en Libia y la perspectiva de una menor producción de crudo iraquí en setiembre </w:t>
      </w:r>
    </w:p>
    <w:p w14:paraId="7C7ECC54" w14:textId="77777777" w:rsidR="00077956" w:rsidRPr="005F7900" w:rsidRDefault="00077956" w:rsidP="00077956">
      <w:pPr>
        <w:pStyle w:val="Prrafodelista"/>
        <w:ind w:left="426"/>
        <w:jc w:val="both"/>
        <w:rPr>
          <w:rFonts w:asciiTheme="minorHAnsi" w:hAnsiTheme="minorHAnsi" w:cstheme="minorHAnsi"/>
          <w:b/>
          <w:sz w:val="22"/>
          <w:szCs w:val="22"/>
        </w:rPr>
      </w:pPr>
    </w:p>
    <w:p w14:paraId="2771BC50" w14:textId="63010C10"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La Corporación Nacional del Petróleo de Libia (NOC) señaló que los cierres de yacimientos causaron una pérdida cercana al 63% de la producción total de petróleo del país. Más de un 50% de la producción de crudo de Libia, unos 700</w:t>
      </w:r>
      <w:r>
        <w:rPr>
          <w:rFonts w:asciiTheme="minorHAnsi" w:hAnsiTheme="minorHAnsi" w:cstheme="minorHAnsi"/>
          <w:sz w:val="22"/>
          <w:szCs w:val="22"/>
        </w:rPr>
        <w:t xml:space="preserve"> mil</w:t>
      </w:r>
      <w:r w:rsidRPr="005F7900">
        <w:rPr>
          <w:rFonts w:asciiTheme="minorHAnsi" w:hAnsiTheme="minorHAnsi" w:cstheme="minorHAnsi"/>
          <w:sz w:val="22"/>
          <w:szCs w:val="22"/>
        </w:rPr>
        <w:t xml:space="preserve"> barriles diarios (bpd), quedó fuera de línea la última semana de agosto y las exportaciones se paralizaron en varios puertos a raíz de un enfrentamiento entre facciones políticas rivales.</w:t>
      </w:r>
    </w:p>
    <w:p w14:paraId="5151FE09" w14:textId="77777777" w:rsidR="00077956" w:rsidRPr="005F7900" w:rsidRDefault="00077956" w:rsidP="00077956">
      <w:pPr>
        <w:pStyle w:val="Prrafodelista"/>
        <w:ind w:left="426"/>
        <w:jc w:val="both"/>
        <w:rPr>
          <w:rFonts w:asciiTheme="minorHAnsi" w:hAnsiTheme="minorHAnsi" w:cstheme="minorHAnsi"/>
          <w:sz w:val="22"/>
          <w:szCs w:val="22"/>
        </w:rPr>
      </w:pPr>
    </w:p>
    <w:p w14:paraId="518B8938"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b/>
          <w:sz w:val="22"/>
          <w:szCs w:val="22"/>
        </w:rPr>
      </w:pPr>
      <w:r w:rsidRPr="005F7900">
        <w:rPr>
          <w:rFonts w:asciiTheme="minorHAnsi" w:hAnsiTheme="minorHAnsi" w:cstheme="minorHAnsi"/>
          <w:b/>
          <w:sz w:val="22"/>
          <w:szCs w:val="22"/>
        </w:rPr>
        <w:t>Las expectativas ante una posible recesión en EE.UU., la débil demanda de combustibles en China y el incremento del riesgo de una lenta recuperación económica mundial</w:t>
      </w:r>
    </w:p>
    <w:p w14:paraId="711BFD09" w14:textId="77777777" w:rsidR="00077956" w:rsidRPr="005F7900" w:rsidRDefault="00077956" w:rsidP="00077956">
      <w:pPr>
        <w:jc w:val="both"/>
        <w:rPr>
          <w:rFonts w:asciiTheme="minorHAnsi" w:hAnsiTheme="minorHAnsi" w:cstheme="minorHAnsi"/>
          <w:sz w:val="22"/>
          <w:szCs w:val="22"/>
        </w:rPr>
      </w:pPr>
    </w:p>
    <w:p w14:paraId="59C73E59"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En el mes de agosto, el Gobierno de Estados Unidos acortó su previsión de puestos de empleo establecidos por las empresas en doce meses hasta marzo. Esta medida impulsó el miedo de los agentes del mercado por una probable recesión en Estados Unidos, que perjudicaría la demanda del principal consumidor de petróleo del mundo.</w:t>
      </w:r>
    </w:p>
    <w:p w14:paraId="4BAFD4BE" w14:textId="77777777" w:rsidR="00077956" w:rsidRPr="005F7900" w:rsidRDefault="00077956" w:rsidP="00077956">
      <w:pPr>
        <w:pStyle w:val="Prrafodelista"/>
        <w:ind w:left="426"/>
        <w:jc w:val="both"/>
        <w:rPr>
          <w:rFonts w:asciiTheme="minorHAnsi" w:hAnsiTheme="minorHAnsi" w:cstheme="minorHAnsi"/>
          <w:sz w:val="22"/>
          <w:szCs w:val="22"/>
        </w:rPr>
      </w:pPr>
    </w:p>
    <w:p w14:paraId="338152E4"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Al respecto, el presidente de la Reserva Federal de Estados Unidos, Jerome Powell, señaló que los riesgos al alza para la inflación han disminuido, mientras que los riesgos bajistas para el empleo han aumentado, razón por la cual habría llegado el momento de ajustar la política monetaria.</w:t>
      </w:r>
    </w:p>
    <w:p w14:paraId="0355D4D1" w14:textId="77777777" w:rsidR="00077956" w:rsidRPr="005F7900" w:rsidRDefault="00077956" w:rsidP="00077956">
      <w:pPr>
        <w:pStyle w:val="Prrafodelista"/>
        <w:ind w:left="426"/>
        <w:jc w:val="both"/>
        <w:rPr>
          <w:rFonts w:asciiTheme="minorHAnsi" w:hAnsiTheme="minorHAnsi" w:cstheme="minorHAnsi"/>
          <w:sz w:val="22"/>
          <w:szCs w:val="22"/>
        </w:rPr>
      </w:pPr>
    </w:p>
    <w:p w14:paraId="0ED1FD31"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Por otro lado, los datos económicos de China, principal importador de petróleo, y una encuesta que mostraba una actividad manufacturera más débil en Asia, Europa y Estados Unidos aumentaron el riesgo de una lenta recuperación económica mundial que reduciría el consumo.</w:t>
      </w:r>
    </w:p>
    <w:p w14:paraId="28EAFB2C" w14:textId="77777777" w:rsidR="00077956" w:rsidRPr="005F7900" w:rsidRDefault="00077956" w:rsidP="00077956">
      <w:pPr>
        <w:pStyle w:val="Prrafodelista"/>
        <w:ind w:left="426"/>
        <w:jc w:val="both"/>
        <w:rPr>
          <w:rFonts w:asciiTheme="minorHAnsi" w:hAnsiTheme="minorHAnsi" w:cstheme="minorHAnsi"/>
          <w:sz w:val="22"/>
          <w:szCs w:val="22"/>
        </w:rPr>
      </w:pPr>
    </w:p>
    <w:p w14:paraId="59B28D91"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Las importaciones de petróleo de China y el funcionamiento de las refinerías este año continúan registrando una tendencia descendente en comparación con el año 2023 debido a una menor demanda de combustibles. En julio 2024, los precios de las viviendas nuevas en China se desplomaron al ritmo más veloz en 9 años, la producción industrial cayó y el desempleo subió. Asimismo, en el segundo trimestre del 2024, China creció un 4,7%, el ritmo de crecimiento más lento desde el primer trimestre de 2023.</w:t>
      </w:r>
    </w:p>
    <w:p w14:paraId="31EDD190" w14:textId="77777777" w:rsidR="00077956" w:rsidRPr="005F7900" w:rsidRDefault="00077956" w:rsidP="00077956">
      <w:pPr>
        <w:jc w:val="both"/>
        <w:rPr>
          <w:rFonts w:asciiTheme="minorHAnsi" w:hAnsiTheme="minorHAnsi" w:cstheme="minorHAnsi"/>
          <w:b/>
          <w:sz w:val="22"/>
          <w:szCs w:val="22"/>
        </w:rPr>
      </w:pPr>
    </w:p>
    <w:p w14:paraId="0B8D4BA5"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b/>
          <w:sz w:val="22"/>
          <w:szCs w:val="22"/>
        </w:rPr>
      </w:pPr>
      <w:r w:rsidRPr="005F7900">
        <w:rPr>
          <w:rFonts w:asciiTheme="minorHAnsi" w:hAnsiTheme="minorHAnsi" w:cstheme="minorHAnsi"/>
          <w:b/>
          <w:sz w:val="22"/>
          <w:szCs w:val="22"/>
        </w:rPr>
        <w:t>Las previsiones de la AIE y la OPEP de la demanda de petróleo y combustibles para el 2024</w:t>
      </w:r>
    </w:p>
    <w:p w14:paraId="469BB39C" w14:textId="77777777" w:rsidR="00077956" w:rsidRPr="005F7900" w:rsidRDefault="00077956" w:rsidP="00077956">
      <w:pPr>
        <w:pStyle w:val="Prrafodelista"/>
        <w:ind w:left="426"/>
        <w:jc w:val="both"/>
        <w:rPr>
          <w:rFonts w:asciiTheme="minorHAnsi" w:hAnsiTheme="minorHAnsi" w:cstheme="minorHAnsi"/>
          <w:b/>
          <w:sz w:val="22"/>
          <w:szCs w:val="22"/>
        </w:rPr>
      </w:pPr>
    </w:p>
    <w:p w14:paraId="5E464A20" w14:textId="77777777" w:rsidR="00077956" w:rsidRPr="005F7900" w:rsidRDefault="00077956" w:rsidP="00077956">
      <w:pPr>
        <w:ind w:left="426"/>
        <w:jc w:val="both"/>
        <w:rPr>
          <w:rFonts w:asciiTheme="minorHAnsi" w:hAnsiTheme="minorHAnsi" w:cstheme="minorHAnsi"/>
          <w:sz w:val="22"/>
          <w:szCs w:val="22"/>
        </w:rPr>
      </w:pPr>
      <w:r w:rsidRPr="005F7900">
        <w:rPr>
          <w:rFonts w:asciiTheme="minorHAnsi" w:hAnsiTheme="minorHAnsi" w:cstheme="minorHAnsi"/>
          <w:sz w:val="22"/>
          <w:szCs w:val="22"/>
        </w:rPr>
        <w:t xml:space="preserve">La Agencia Internacional de la Energía (AIE) mantuvo sin variaciones su previsión de crecimiento de la demanda mundial de petróleo para 2024, pronosticando que se ralentizará menos de 1 millón de barriles diarios (bpd) en 2024. También señaló que el fin del rebote económico en China después de la pandemia del COVID estaba limitando la demanda mundial de petróleo, pero que las economías avanzadas, especialmente Estados Unidos, donde se consume un tercio de la gasolina mundial, compensaban esa pérdida. </w:t>
      </w:r>
    </w:p>
    <w:p w14:paraId="4996A164" w14:textId="77777777" w:rsidR="00077956" w:rsidRPr="005F7900" w:rsidRDefault="00077956" w:rsidP="00077956">
      <w:pPr>
        <w:ind w:left="426"/>
        <w:jc w:val="both"/>
        <w:rPr>
          <w:rFonts w:asciiTheme="minorHAnsi" w:hAnsiTheme="minorHAnsi" w:cstheme="minorHAnsi"/>
          <w:sz w:val="22"/>
          <w:szCs w:val="22"/>
        </w:rPr>
      </w:pPr>
    </w:p>
    <w:p w14:paraId="32BA4528" w14:textId="77777777" w:rsidR="00077956" w:rsidRPr="005F7900" w:rsidRDefault="00077956" w:rsidP="00077956">
      <w:pPr>
        <w:ind w:left="426"/>
        <w:jc w:val="both"/>
        <w:rPr>
          <w:rFonts w:asciiTheme="minorHAnsi" w:hAnsiTheme="minorHAnsi" w:cstheme="minorHAnsi"/>
          <w:sz w:val="22"/>
          <w:szCs w:val="22"/>
        </w:rPr>
      </w:pPr>
      <w:r w:rsidRPr="005F7900">
        <w:rPr>
          <w:rFonts w:asciiTheme="minorHAnsi" w:hAnsiTheme="minorHAnsi" w:cstheme="minorHAnsi"/>
          <w:sz w:val="22"/>
          <w:szCs w:val="22"/>
        </w:rPr>
        <w:t>Por su parte, la OPEP, en su último Informe Mensual, recortó su previsión de crecimiento de la demanda mundial de petróleo en 2024, reportando un aumento de 2,11 millones de barriles por día (bpd) en 2024 (desde el 2,25 estimado el mes pasado), hasta un promedio de 104,3 millones de barriles diarios, debido a las cifras más frágiles de lo esperado en el primer semestre del 2024 y a las expectativas para la demanda China.</w:t>
      </w:r>
    </w:p>
    <w:p w14:paraId="2EFBE27A" w14:textId="77777777" w:rsidR="00077956" w:rsidRPr="005F7900" w:rsidRDefault="00077956" w:rsidP="00077956">
      <w:pPr>
        <w:ind w:left="426"/>
        <w:jc w:val="both"/>
        <w:rPr>
          <w:rFonts w:asciiTheme="minorHAnsi" w:hAnsiTheme="minorHAnsi" w:cstheme="minorHAnsi"/>
          <w:sz w:val="22"/>
          <w:szCs w:val="22"/>
        </w:rPr>
      </w:pPr>
    </w:p>
    <w:p w14:paraId="102C3F16"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b/>
          <w:sz w:val="22"/>
          <w:szCs w:val="22"/>
        </w:rPr>
      </w:pPr>
      <w:r w:rsidRPr="005F7900">
        <w:rPr>
          <w:rFonts w:asciiTheme="minorHAnsi" w:hAnsiTheme="minorHAnsi" w:cstheme="minorHAnsi"/>
          <w:b/>
          <w:sz w:val="22"/>
          <w:szCs w:val="22"/>
        </w:rPr>
        <w:t xml:space="preserve">El miedo de los agentes del mercado a una interrupción del suministro mundial, debido al creciente riesgo geopolítico por el aumento de la crisis en el Medio Oriente  </w:t>
      </w:r>
    </w:p>
    <w:p w14:paraId="0C7CDD87" w14:textId="77777777" w:rsidR="00077956" w:rsidRPr="005F7900" w:rsidRDefault="00077956" w:rsidP="00077956">
      <w:pPr>
        <w:pStyle w:val="Prrafodelista"/>
        <w:ind w:left="426"/>
        <w:jc w:val="both"/>
        <w:rPr>
          <w:rFonts w:asciiTheme="minorHAnsi" w:hAnsiTheme="minorHAnsi" w:cstheme="minorHAnsi"/>
          <w:b/>
          <w:bCs/>
          <w:sz w:val="22"/>
          <w:szCs w:val="22"/>
        </w:rPr>
      </w:pPr>
    </w:p>
    <w:p w14:paraId="2D4B2FCD"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Después de que Israel llevara a cabo sus primeras acciones en su ofensiva contra Ráfah,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3875A84F" w14:textId="77777777" w:rsidR="00077956" w:rsidRPr="005F7900" w:rsidRDefault="00077956" w:rsidP="00077956">
      <w:pPr>
        <w:pStyle w:val="Prrafodelista"/>
        <w:ind w:left="426"/>
        <w:jc w:val="both"/>
        <w:rPr>
          <w:rFonts w:asciiTheme="minorHAnsi" w:hAnsiTheme="minorHAnsi" w:cstheme="minorHAnsi"/>
          <w:sz w:val="22"/>
          <w:szCs w:val="22"/>
        </w:rPr>
      </w:pPr>
    </w:p>
    <w:p w14:paraId="14C6BA90"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Según el departamento de Asuntos Estratégicos de la Universidad Israelí de Bar-Ilan, la intervención de fuerzas estadounidenses en la región en las últimas semanas está sirviendo para disuadir a Irán de lanzar su respuesta a la muerte de Haniyeh (líder asesinado por los israelitas el 31 de julio, dirigente del Movimiento de Resistencia Islámica que ejerció como primer ministro del décimo Gobierno de Palestina). Jonathan Rynhold, director del departamento de Estudios Políticos de Bar-Ilan, aseguró en un mensaje que el principal objetivo de Washington es evitar un enfrentamiento directo entre Israel e Irán.</w:t>
      </w:r>
    </w:p>
    <w:p w14:paraId="26EFF451" w14:textId="77777777" w:rsidR="00077956" w:rsidRPr="005F7900" w:rsidRDefault="00077956" w:rsidP="00077956">
      <w:pPr>
        <w:pStyle w:val="Prrafodelista"/>
        <w:ind w:left="426"/>
        <w:jc w:val="both"/>
        <w:rPr>
          <w:rFonts w:asciiTheme="minorHAnsi" w:hAnsiTheme="minorHAnsi" w:cstheme="minorHAnsi"/>
          <w:sz w:val="22"/>
          <w:szCs w:val="22"/>
        </w:rPr>
      </w:pPr>
    </w:p>
    <w:p w14:paraId="5E7C7E46"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A la fecha, la guerra de Israel contra Hamás ha ocasionado la pérdida de más de 40 mil vidas en la Franja de Gaza, en su mayoría mujeres y niños. Los hutíes de Yemen, alineados con Irán; continúan realizando ataques en el Mar Rojo, a buques vinculados comercialmente a Estados Unidos, Gran Bretaña e Israel desde noviembre 2023.</w:t>
      </w:r>
    </w:p>
    <w:p w14:paraId="69051BC5" w14:textId="77777777" w:rsidR="00077956" w:rsidRPr="005F7900" w:rsidRDefault="00077956" w:rsidP="00077956">
      <w:pPr>
        <w:pStyle w:val="Prrafodelista"/>
        <w:ind w:left="426"/>
        <w:jc w:val="both"/>
        <w:rPr>
          <w:rFonts w:asciiTheme="minorHAnsi" w:hAnsiTheme="minorHAnsi" w:cstheme="minorHAnsi"/>
          <w:sz w:val="22"/>
          <w:szCs w:val="22"/>
        </w:rPr>
      </w:pPr>
    </w:p>
    <w:p w14:paraId="04073454" w14:textId="77777777" w:rsidR="00077956" w:rsidRPr="005F7900" w:rsidRDefault="00077956" w:rsidP="00077956">
      <w:pPr>
        <w:pStyle w:val="Prrafodelista"/>
        <w:numPr>
          <w:ilvl w:val="0"/>
          <w:numId w:val="30"/>
        </w:numPr>
        <w:ind w:left="426"/>
        <w:contextualSpacing/>
        <w:jc w:val="both"/>
        <w:rPr>
          <w:rFonts w:asciiTheme="minorHAnsi" w:hAnsiTheme="minorHAnsi" w:cstheme="minorHAnsi"/>
          <w:b/>
          <w:sz w:val="22"/>
          <w:szCs w:val="22"/>
        </w:rPr>
      </w:pPr>
      <w:r w:rsidRPr="005F7900">
        <w:rPr>
          <w:rFonts w:asciiTheme="minorHAnsi" w:hAnsiTheme="minorHAnsi" w:cstheme="minorHAnsi"/>
          <w:b/>
          <w:sz w:val="22"/>
          <w:szCs w:val="22"/>
        </w:rPr>
        <w:t>La decisión de la FED de mantener las tasas de interés en Estados Unidos dejando abierta la posibilidad de reducirlas próximamente</w:t>
      </w:r>
    </w:p>
    <w:p w14:paraId="236F333D" w14:textId="77777777" w:rsidR="00077956" w:rsidRPr="005F7900" w:rsidRDefault="00077956" w:rsidP="00077956">
      <w:pPr>
        <w:pStyle w:val="Prrafodelista"/>
        <w:ind w:left="426"/>
        <w:jc w:val="both"/>
        <w:rPr>
          <w:rFonts w:asciiTheme="minorHAnsi" w:hAnsiTheme="minorHAnsi" w:cstheme="minorHAnsi"/>
          <w:b/>
          <w:sz w:val="22"/>
          <w:szCs w:val="22"/>
        </w:rPr>
      </w:pPr>
    </w:p>
    <w:p w14:paraId="7C0D71E4"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En su última reunión del 31 de julio, la FED decidió mantener los tipos de interés sin cambios, señalando que, en los últimos meses, se han producido algunos avances hacia el objetivo de inflación del 2%. Asimismo, estará al tanto de información como el IPC anual, los informes de empleo de julio y agosto, así como del índice de precios PCE de este mes.</w:t>
      </w:r>
    </w:p>
    <w:p w14:paraId="2AD723A7" w14:textId="77777777" w:rsidR="00077956" w:rsidRPr="005F7900" w:rsidRDefault="00077956" w:rsidP="00077956">
      <w:pPr>
        <w:pStyle w:val="Prrafodelista"/>
        <w:ind w:left="426"/>
        <w:jc w:val="both"/>
        <w:rPr>
          <w:rFonts w:asciiTheme="minorHAnsi" w:hAnsiTheme="minorHAnsi" w:cstheme="minorHAnsi"/>
          <w:sz w:val="22"/>
          <w:szCs w:val="22"/>
        </w:rPr>
      </w:pPr>
    </w:p>
    <w:p w14:paraId="1A7F7FD5" w14:textId="77777777" w:rsidR="00077956" w:rsidRPr="005F7900" w:rsidRDefault="00077956" w:rsidP="00077956">
      <w:pPr>
        <w:pStyle w:val="Prrafodelista"/>
        <w:ind w:left="426"/>
        <w:jc w:val="both"/>
        <w:rPr>
          <w:rFonts w:asciiTheme="minorHAnsi" w:hAnsiTheme="minorHAnsi" w:cstheme="minorHAnsi"/>
          <w:sz w:val="22"/>
          <w:szCs w:val="22"/>
        </w:rPr>
      </w:pPr>
      <w:r w:rsidRPr="005F7900">
        <w:rPr>
          <w:rFonts w:asciiTheme="minorHAnsi" w:hAnsiTheme="minorHAnsi" w:cstheme="minorHAnsi"/>
          <w:sz w:val="22"/>
          <w:szCs w:val="22"/>
        </w:rPr>
        <w:t xml:space="preserve">Cabe recalcar que en el mes de Junio la FED aplazó hasta diciembre 2024 aproximadamente, el recorte de los tipos de interés, habiendo anunciado semanas antes que esperaría más </w:t>
      </w:r>
      <w:r w:rsidRPr="005F7900">
        <w:rPr>
          <w:rFonts w:asciiTheme="minorHAnsi" w:hAnsiTheme="minorHAnsi" w:cstheme="minorHAnsi"/>
          <w:sz w:val="22"/>
          <w:szCs w:val="22"/>
        </w:rPr>
        <w:lastRenderedPageBreak/>
        <w:t>datos de disminución de la inflación antes de considerar recortes en los tipos de interés y que incluso éstos podrían subir si los riesgos de la inflación se materializaran.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w:t>
      </w:r>
      <w:r w:rsidRPr="0096213B">
        <w:rPr>
          <w:rFonts w:ascii="Poppins" w:eastAsiaTheme="minorHAnsi" w:hAnsi="Poppins" w:cs="Poppins"/>
          <w:color w:val="191919"/>
          <w:kern w:val="2"/>
          <w:sz w:val="18"/>
          <w:szCs w:val="18"/>
          <w:lang w:eastAsia="en-US"/>
          <w14:ligatures w14:val="standardContextual"/>
        </w:rPr>
        <w:lastRenderedPageBreak/>
        <w:t>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Mediante Resolución N°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fijó la Banda de Precios y el Margen Comercial para el Petróleo Industrial N°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Mediante Resolución N°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446B2FA4"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 Resolución de la Gerencia de Regulación Tarifaria Osinergmin N°</w:t>
      </w:r>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077956">
        <w:rPr>
          <w:rFonts w:ascii="Poppins" w:hAnsi="Poppins" w:cs="Poppins"/>
          <w:sz w:val="18"/>
          <w:szCs w:val="18"/>
        </w:rPr>
        <w:t>10 de septiembre</w:t>
      </w:r>
      <w:r w:rsidRPr="0096213B">
        <w:rPr>
          <w:rFonts w:ascii="Poppins" w:hAnsi="Poppins" w:cs="Poppins"/>
          <w:sz w:val="18"/>
          <w:szCs w:val="18"/>
        </w:rPr>
        <w:t xml:space="preserve"> al </w:t>
      </w:r>
      <w:r w:rsidR="00077956">
        <w:rPr>
          <w:rFonts w:ascii="Poppins" w:hAnsi="Poppins" w:cs="Poppins"/>
          <w:sz w:val="18"/>
          <w:szCs w:val="18"/>
        </w:rPr>
        <w:t>lunes</w:t>
      </w:r>
      <w:r w:rsidRPr="0096213B">
        <w:rPr>
          <w:rFonts w:ascii="Poppins" w:hAnsi="Poppins" w:cs="Poppins"/>
          <w:sz w:val="18"/>
          <w:szCs w:val="18"/>
        </w:rPr>
        <w:t xml:space="preserve"> </w:t>
      </w:r>
      <w:r w:rsidR="00077956">
        <w:rPr>
          <w:rFonts w:ascii="Poppins" w:hAnsi="Poppins" w:cs="Poppins"/>
          <w:sz w:val="18"/>
          <w:szCs w:val="18"/>
        </w:rPr>
        <w:t>16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077956">
        <w:rPr>
          <w:rFonts w:ascii="Poppins" w:hAnsi="Poppins" w:cs="Poppins"/>
          <w:sz w:val="18"/>
          <w:szCs w:val="18"/>
        </w:rPr>
        <w:t>septiembre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452A5B47"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077956">
        <w:rPr>
          <w:rFonts w:ascii="Poppins" w:hAnsi="Poppins" w:cs="Poppins"/>
          <w:sz w:val="18"/>
          <w:szCs w:val="18"/>
        </w:rPr>
        <w:t>06</w:t>
      </w:r>
      <w:r w:rsidR="00C7098F" w:rsidRPr="0096213B">
        <w:rPr>
          <w:rFonts w:ascii="Poppins" w:hAnsi="Poppins" w:cs="Poppins"/>
          <w:sz w:val="18"/>
          <w:szCs w:val="18"/>
        </w:rPr>
        <w:t>.0</w:t>
      </w:r>
      <w:r w:rsidR="00077956">
        <w:rPr>
          <w:rFonts w:ascii="Poppins" w:hAnsi="Poppins" w:cs="Poppins"/>
          <w:sz w:val="18"/>
          <w:szCs w:val="18"/>
        </w:rPr>
        <w:t>9</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077956">
        <w:rPr>
          <w:rFonts w:ascii="Poppins" w:hAnsi="Poppins" w:cs="Poppins"/>
          <w:sz w:val="18"/>
          <w:szCs w:val="18"/>
        </w:rPr>
        <w:t>44</w:t>
      </w:r>
      <w:r w:rsidR="00A057BA" w:rsidRPr="0096213B">
        <w:rPr>
          <w:rFonts w:ascii="Poppins" w:hAnsi="Poppins" w:cs="Poppins"/>
          <w:sz w:val="18"/>
          <w:szCs w:val="18"/>
        </w:rPr>
        <w:t xml:space="preserve"> S/Gln),</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077956">
        <w:rPr>
          <w:rFonts w:ascii="Poppins" w:hAnsi="Poppins" w:cs="Poppins"/>
          <w:sz w:val="18"/>
          <w:szCs w:val="18"/>
        </w:rPr>
        <w:t>38</w:t>
      </w:r>
      <w:r w:rsidR="00A057BA" w:rsidRPr="0096213B">
        <w:rPr>
          <w:rFonts w:ascii="Poppins" w:hAnsi="Poppins" w:cs="Poppins"/>
          <w:sz w:val="18"/>
          <w:szCs w:val="18"/>
        </w:rPr>
        <w:t xml:space="preserve"> S/Gln),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E804F9">
        <w:rPr>
          <w:rFonts w:ascii="Poppins" w:hAnsi="Poppins" w:cs="Poppins"/>
          <w:sz w:val="18"/>
          <w:szCs w:val="18"/>
        </w:rPr>
        <w:t>44</w:t>
      </w:r>
      <w:r w:rsidR="00A057BA" w:rsidRPr="0096213B">
        <w:rPr>
          <w:rFonts w:ascii="Poppins" w:hAnsi="Poppins" w:cs="Poppins"/>
          <w:sz w:val="18"/>
          <w:szCs w:val="18"/>
        </w:rPr>
        <w:t xml:space="preserve"> S/Gln),</w:t>
      </w:r>
      <w:r w:rsidR="00EE54A8" w:rsidRPr="0096213B">
        <w:rPr>
          <w:rFonts w:ascii="Poppins" w:hAnsi="Poppins" w:cs="Poppins"/>
          <w:sz w:val="18"/>
          <w:szCs w:val="18"/>
        </w:rPr>
        <w:t xml:space="preserve"> Gasohol Regular (-0,</w:t>
      </w:r>
      <w:r w:rsidR="00E804F9">
        <w:rPr>
          <w:rFonts w:ascii="Poppins" w:hAnsi="Poppins" w:cs="Poppins"/>
          <w:sz w:val="18"/>
          <w:szCs w:val="18"/>
        </w:rPr>
        <w:t>38</w:t>
      </w:r>
      <w:r w:rsidR="00EE54A8" w:rsidRPr="0096213B">
        <w:rPr>
          <w:rFonts w:ascii="Poppins" w:hAnsi="Poppins" w:cs="Poppins"/>
          <w:sz w:val="18"/>
          <w:szCs w:val="18"/>
        </w:rPr>
        <w:t xml:space="preserve"> S/Gln),</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E804F9">
        <w:rPr>
          <w:rFonts w:ascii="Poppins" w:hAnsi="Poppins" w:cs="Poppins"/>
          <w:sz w:val="18"/>
          <w:szCs w:val="18"/>
        </w:rPr>
        <w:t>36</w:t>
      </w:r>
      <w:r w:rsidR="00557C48" w:rsidRPr="0096213B">
        <w:rPr>
          <w:rFonts w:ascii="Poppins" w:hAnsi="Poppins" w:cs="Poppins"/>
          <w:sz w:val="18"/>
          <w:szCs w:val="18"/>
        </w:rPr>
        <w:t xml:space="preserve"> S/Gln)</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9A57AA">
        <w:rPr>
          <w:rFonts w:ascii="Poppins" w:hAnsi="Poppins" w:cs="Poppins"/>
          <w:sz w:val="18"/>
          <w:szCs w:val="18"/>
        </w:rPr>
        <w:t>0</w:t>
      </w:r>
      <w:r w:rsidR="00E804F9">
        <w:rPr>
          <w:rFonts w:ascii="Poppins" w:hAnsi="Poppins" w:cs="Poppins"/>
          <w:sz w:val="18"/>
          <w:szCs w:val="18"/>
        </w:rPr>
        <w:t>9</w:t>
      </w:r>
      <w:r w:rsidR="00EE54A8" w:rsidRPr="0096213B">
        <w:rPr>
          <w:rFonts w:ascii="Poppins" w:hAnsi="Poppins" w:cs="Poppins"/>
          <w:sz w:val="18"/>
          <w:szCs w:val="18"/>
        </w:rPr>
        <w:t xml:space="preserve"> S/Gln)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9A57AA">
        <w:rPr>
          <w:rFonts w:ascii="Poppins" w:hAnsi="Poppins" w:cs="Poppins"/>
          <w:sz w:val="18"/>
          <w:szCs w:val="18"/>
        </w:rPr>
        <w:t>0</w:t>
      </w:r>
      <w:r w:rsidR="00E804F9">
        <w:rPr>
          <w:rFonts w:ascii="Poppins" w:hAnsi="Poppins" w:cs="Poppins"/>
          <w:sz w:val="18"/>
          <w:szCs w:val="18"/>
        </w:rPr>
        <w:t>9</w:t>
      </w:r>
      <w:r w:rsidR="00246F93" w:rsidRPr="0096213B">
        <w:rPr>
          <w:rFonts w:ascii="Poppins" w:hAnsi="Poppins" w:cs="Poppins"/>
          <w:sz w:val="18"/>
          <w:szCs w:val="18"/>
        </w:rPr>
        <w:t xml:space="preserve"> S/Gln)</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023AC7AF" w:rsidR="00E804F9" w:rsidRDefault="00E804F9" w:rsidP="00B02F62">
      <w:pPr>
        <w:rPr>
          <w:rFonts w:ascii="Poppins" w:hAnsi="Poppins" w:cs="Poppins"/>
          <w:sz w:val="18"/>
          <w:szCs w:val="18"/>
        </w:rPr>
      </w:pPr>
    </w:p>
    <w:p w14:paraId="240B35F4" w14:textId="5D21A004" w:rsidR="00E804F9" w:rsidRDefault="00E804F9" w:rsidP="00B02F62">
      <w:pPr>
        <w:rPr>
          <w:rFonts w:ascii="Poppins" w:hAnsi="Poppins" w:cs="Poppins"/>
          <w:sz w:val="18"/>
          <w:szCs w:val="18"/>
        </w:rPr>
      </w:pPr>
    </w:p>
    <w:p w14:paraId="6E04AA25" w14:textId="44002E79" w:rsidR="00E804F9" w:rsidRDefault="00E804F9" w:rsidP="00B02F62">
      <w:pPr>
        <w:rPr>
          <w:rFonts w:ascii="Poppins" w:hAnsi="Poppins" w:cs="Poppins"/>
          <w:sz w:val="18"/>
          <w:szCs w:val="18"/>
        </w:rPr>
      </w:pPr>
    </w:p>
    <w:p w14:paraId="5603BA7D" w14:textId="681621C7" w:rsidR="00E804F9" w:rsidRDefault="00E804F9" w:rsidP="00B02F62">
      <w:pPr>
        <w:rPr>
          <w:rFonts w:ascii="Poppins" w:hAnsi="Poppins" w:cs="Poppins"/>
          <w:sz w:val="18"/>
          <w:szCs w:val="18"/>
        </w:rPr>
      </w:pPr>
    </w:p>
    <w:p w14:paraId="341ABD5D" w14:textId="00DF6C1C" w:rsidR="00E804F9" w:rsidRDefault="00E804F9" w:rsidP="00B02F62">
      <w:pPr>
        <w:rPr>
          <w:rFonts w:ascii="Poppins" w:hAnsi="Poppins" w:cs="Poppins"/>
          <w:sz w:val="18"/>
          <w:szCs w:val="18"/>
        </w:rPr>
      </w:pPr>
    </w:p>
    <w:p w14:paraId="1643210D" w14:textId="2857B004" w:rsidR="00E804F9" w:rsidRDefault="00E804F9" w:rsidP="00B02F62">
      <w:pPr>
        <w:rPr>
          <w:rFonts w:ascii="Poppins" w:hAnsi="Poppins" w:cs="Poppins"/>
          <w:sz w:val="18"/>
          <w:szCs w:val="18"/>
        </w:rPr>
      </w:pPr>
    </w:p>
    <w:p w14:paraId="47084296" w14:textId="77777777" w:rsidR="00E804F9" w:rsidRPr="0096213B" w:rsidRDefault="00E804F9" w:rsidP="00B02F62">
      <w:pPr>
        <w:rPr>
          <w:rFonts w:ascii="Poppins" w:hAnsi="Poppins" w:cs="Poppins"/>
          <w:sz w:val="18"/>
          <w:szCs w:val="18"/>
        </w:rPr>
      </w:pPr>
    </w:p>
    <w:p w14:paraId="0A8F5591" w14:textId="212BF676" w:rsidR="00B02F62" w:rsidRDefault="00B02F62" w:rsidP="00B02F62">
      <w:pPr>
        <w:rPr>
          <w:rFonts w:ascii="Poppins" w:hAnsi="Poppins" w:cs="Poppins"/>
          <w:sz w:val="18"/>
          <w:szCs w:val="18"/>
        </w:rPr>
      </w:pPr>
    </w:p>
    <w:p w14:paraId="03BB926F" w14:textId="77777777" w:rsidR="00863CFF" w:rsidRPr="0096213B" w:rsidRDefault="00863CFF"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3A07F86"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804F9">
        <w:rPr>
          <w:rFonts w:ascii="Poppins" w:hAnsi="Poppins" w:cs="Poppins"/>
          <w:sz w:val="18"/>
          <w:szCs w:val="18"/>
        </w:rPr>
        <w:t>23</w:t>
      </w:r>
      <w:r w:rsidR="00336251" w:rsidRPr="0096213B">
        <w:rPr>
          <w:rFonts w:ascii="Poppins" w:hAnsi="Poppins" w:cs="Poppins"/>
          <w:sz w:val="18"/>
          <w:szCs w:val="18"/>
        </w:rPr>
        <w:t>/</w:t>
      </w:r>
      <w:r w:rsidR="001457B2" w:rsidRPr="0096213B">
        <w:rPr>
          <w:rFonts w:ascii="Poppins" w:hAnsi="Poppins" w:cs="Poppins"/>
          <w:sz w:val="18"/>
          <w:szCs w:val="18"/>
        </w:rPr>
        <w:t>0</w:t>
      </w:r>
      <w:r w:rsidR="00426575">
        <w:rPr>
          <w:rFonts w:ascii="Poppins" w:hAnsi="Poppins" w:cs="Poppins"/>
          <w:sz w:val="18"/>
          <w:szCs w:val="18"/>
        </w:rPr>
        <w:t>8</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E804F9">
        <w:rPr>
          <w:rFonts w:ascii="Poppins" w:hAnsi="Poppins" w:cs="Poppins"/>
          <w:sz w:val="18"/>
          <w:szCs w:val="18"/>
        </w:rPr>
        <w:t>06</w:t>
      </w:r>
      <w:r w:rsidR="00336251" w:rsidRPr="0096213B">
        <w:rPr>
          <w:rFonts w:ascii="Poppins" w:hAnsi="Poppins" w:cs="Poppins"/>
          <w:sz w:val="18"/>
          <w:szCs w:val="18"/>
        </w:rPr>
        <w:t>/</w:t>
      </w:r>
      <w:r w:rsidR="0003140D" w:rsidRPr="0096213B">
        <w:rPr>
          <w:rFonts w:ascii="Poppins" w:hAnsi="Poppins" w:cs="Poppins"/>
          <w:sz w:val="18"/>
          <w:szCs w:val="18"/>
        </w:rPr>
        <w:t>0</w:t>
      </w:r>
      <w:r w:rsidR="00E804F9">
        <w:rPr>
          <w:rFonts w:ascii="Poppins" w:hAnsi="Poppins" w:cs="Poppins"/>
          <w:sz w:val="18"/>
          <w:szCs w:val="18"/>
        </w:rPr>
        <w:t>9</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A4F4E0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41F82">
        <w:rPr>
          <w:rFonts w:ascii="Poppins" w:hAnsi="Poppins" w:cs="Poppins"/>
          <w:b/>
          <w:bCs/>
          <w:i/>
          <w:sz w:val="18"/>
          <w:szCs w:val="18"/>
          <w:lang w:eastAsia="es-PE"/>
        </w:rPr>
        <w:t>0</w:t>
      </w:r>
      <w:r w:rsidR="008E6C19">
        <w:rPr>
          <w:rFonts w:ascii="Poppins" w:hAnsi="Poppins" w:cs="Poppins"/>
          <w:b/>
          <w:bCs/>
          <w:i/>
          <w:sz w:val="18"/>
          <w:szCs w:val="18"/>
          <w:lang w:eastAsia="es-PE"/>
        </w:rPr>
        <w:t>9</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241F82">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6DA87F04" w:rsidR="00A75228" w:rsidRPr="0096213B" w:rsidRDefault="00E804F9" w:rsidP="00336251">
      <w:pPr>
        <w:pBdr>
          <w:top w:val="single" w:sz="4" w:space="1" w:color="auto"/>
          <w:bottom w:val="single" w:sz="4" w:space="1" w:color="auto"/>
        </w:pBdr>
        <w:jc w:val="center"/>
        <w:rPr>
          <w:rFonts w:ascii="Poppins" w:hAnsi="Poppins" w:cs="Poppins"/>
          <w:bCs/>
        </w:rPr>
      </w:pPr>
      <w:r w:rsidRPr="00177C04">
        <w:rPr>
          <w:noProof/>
        </w:rPr>
        <w:drawing>
          <wp:inline distT="0" distB="0" distL="0" distR="0" wp14:anchorId="741DABCB" wp14:editId="797B6F14">
            <wp:extent cx="5490845" cy="2909570"/>
            <wp:effectExtent l="0" t="0" r="0" b="5080"/>
            <wp:docPr id="8436432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643286" name=""/>
                    <pic:cNvPicPr/>
                  </pic:nvPicPr>
                  <pic:blipFill>
                    <a:blip r:embed="rId17"/>
                    <a:stretch>
                      <a:fillRect/>
                    </a:stretch>
                  </pic:blipFill>
                  <pic:spPr>
                    <a:xfrm>
                      <a:off x="0" y="0"/>
                      <a:ext cx="5490845" cy="290957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B293BE5"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E804F9">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E804F9">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9A57AA">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3F202007"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E14EFA">
        <w:rPr>
          <w:rFonts w:ascii="Poppins" w:hAnsi="Poppins" w:cs="Poppins"/>
          <w:sz w:val="18"/>
          <w:szCs w:val="18"/>
        </w:rPr>
        <w:t>0</w:t>
      </w:r>
      <w:r w:rsidR="00E804F9">
        <w:rPr>
          <w:rFonts w:ascii="Poppins" w:hAnsi="Poppins" w:cs="Poppins"/>
          <w:sz w:val="18"/>
          <w:szCs w:val="18"/>
        </w:rPr>
        <w:t>9</w:t>
      </w:r>
      <w:r w:rsidRPr="0096213B">
        <w:rPr>
          <w:rFonts w:ascii="Poppins" w:hAnsi="Poppins" w:cs="Poppins"/>
          <w:sz w:val="18"/>
          <w:szCs w:val="18"/>
        </w:rPr>
        <w:t xml:space="preserve"> de </w:t>
      </w:r>
      <w:r w:rsidR="00E14EFA">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54B5361A"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 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6FF894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w:t>
      </w:r>
      <w:r w:rsidR="009A57AA">
        <w:rPr>
          <w:rFonts w:ascii="Poppins" w:hAnsi="Poppins" w:cs="Poppins"/>
          <w:sz w:val="18"/>
          <w:szCs w:val="18"/>
        </w:rPr>
        <w:t>5</w:t>
      </w:r>
      <w:r w:rsidR="00A33C99" w:rsidRPr="0096213B">
        <w:rPr>
          <w:rFonts w:ascii="Poppins" w:hAnsi="Poppins" w:cs="Poppins"/>
          <w:sz w:val="18"/>
          <w:szCs w:val="18"/>
        </w:rPr>
        <w:t>,</w:t>
      </w:r>
      <w:r w:rsidR="008E6C19">
        <w:rPr>
          <w:rFonts w:ascii="Poppins" w:hAnsi="Poppins" w:cs="Poppins"/>
          <w:sz w:val="18"/>
          <w:szCs w:val="18"/>
        </w:rPr>
        <w:t>88</w:t>
      </w:r>
      <w:r w:rsidR="00A33C99" w:rsidRPr="0096213B">
        <w:rPr>
          <w:rFonts w:ascii="Poppins" w:hAnsi="Poppins" w:cs="Poppins"/>
          <w:sz w:val="18"/>
          <w:szCs w:val="18"/>
        </w:rPr>
        <w:t xml:space="preserve"> cent$/galón equivalente a </w:t>
      </w:r>
      <w:r w:rsidR="009A57AA">
        <w:rPr>
          <w:rFonts w:ascii="Poppins" w:hAnsi="Poppins" w:cs="Poppins"/>
          <w:sz w:val="18"/>
          <w:szCs w:val="18"/>
        </w:rPr>
        <w:t>6</w:t>
      </w:r>
      <w:r w:rsidR="00A33C99" w:rsidRPr="0096213B">
        <w:rPr>
          <w:rFonts w:ascii="Poppins" w:hAnsi="Poppins" w:cs="Poppins"/>
          <w:sz w:val="18"/>
          <w:szCs w:val="18"/>
        </w:rPr>
        <w:t>,</w:t>
      </w:r>
      <w:r w:rsidR="008E6C19">
        <w:rPr>
          <w:rFonts w:ascii="Poppins" w:hAnsi="Poppins" w:cs="Poppins"/>
          <w:sz w:val="18"/>
          <w:szCs w:val="18"/>
        </w:rPr>
        <w:t>6</w:t>
      </w:r>
      <w:r w:rsidR="00E14EFA">
        <w:rPr>
          <w:rFonts w:ascii="Poppins" w:hAnsi="Poppins" w:cs="Poppins"/>
          <w:sz w:val="18"/>
          <w:szCs w:val="18"/>
        </w:rPr>
        <w:t>7</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18C17A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8E6C19">
        <w:rPr>
          <w:rFonts w:ascii="Poppins" w:hAnsi="Poppins" w:cs="Poppins"/>
          <w:sz w:val="18"/>
          <w:szCs w:val="18"/>
        </w:rPr>
        <w:t>73</w:t>
      </w:r>
      <w:r w:rsidRPr="0096213B">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043C9C8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8E6C19">
        <w:rPr>
          <w:rFonts w:ascii="Poppins" w:hAnsi="Poppins" w:cs="Poppins"/>
          <w:sz w:val="18"/>
          <w:szCs w:val="18"/>
        </w:rPr>
        <w:t>33</w:t>
      </w:r>
      <w:r w:rsidRPr="0096213B">
        <w:rPr>
          <w:rFonts w:ascii="Poppins" w:hAnsi="Poppins" w:cs="Poppins"/>
          <w:sz w:val="18"/>
          <w:szCs w:val="18"/>
        </w:rPr>
        <w:t xml:space="preserve"> US$/Bl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8E6C19">
        <w:rPr>
          <w:rFonts w:ascii="Poppins" w:hAnsi="Poppins" w:cs="Poppins"/>
          <w:sz w:val="18"/>
          <w:szCs w:val="18"/>
        </w:rPr>
        <w:t>28</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0BE2423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8E6C19">
        <w:rPr>
          <w:rFonts w:ascii="Poppins" w:hAnsi="Poppins" w:cs="Poppins"/>
          <w:sz w:val="18"/>
          <w:szCs w:val="18"/>
        </w:rPr>
        <w:t>11</w:t>
      </w:r>
      <w:r w:rsidRPr="0096213B">
        <w:rPr>
          <w:rFonts w:ascii="Poppins" w:hAnsi="Poppins" w:cs="Poppins"/>
          <w:sz w:val="18"/>
          <w:szCs w:val="18"/>
        </w:rPr>
        <w:t xml:space="preserve"> US$/Bl para la Gasolina Regular y un ajuste de -</w:t>
      </w:r>
      <w:r w:rsidR="008E6C19">
        <w:rPr>
          <w:rFonts w:ascii="Poppins" w:hAnsi="Poppins" w:cs="Poppins"/>
          <w:sz w:val="18"/>
          <w:szCs w:val="18"/>
        </w:rPr>
        <w:t>5</w:t>
      </w:r>
      <w:r w:rsidR="00A33C99" w:rsidRPr="0096213B">
        <w:rPr>
          <w:rFonts w:ascii="Poppins" w:hAnsi="Poppins" w:cs="Poppins"/>
          <w:sz w:val="18"/>
          <w:szCs w:val="18"/>
        </w:rPr>
        <w:t>,</w:t>
      </w:r>
      <w:r w:rsidR="008E6C19">
        <w:rPr>
          <w:rFonts w:ascii="Poppins" w:hAnsi="Poppins" w:cs="Poppins"/>
          <w:sz w:val="18"/>
          <w:szCs w:val="18"/>
        </w:rPr>
        <w:t>98</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92E5929"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8E6C19">
        <w:rPr>
          <w:rFonts w:ascii="Poppins" w:hAnsi="Poppins" w:cs="Poppins"/>
          <w:sz w:val="18"/>
          <w:szCs w:val="18"/>
        </w:rPr>
        <w:t>73</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2A32B96"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de </w:t>
      </w:r>
      <w:r w:rsidRPr="00347839">
        <w:rPr>
          <w:rFonts w:ascii="Poppins" w:hAnsi="Poppins" w:cs="Poppins"/>
          <w:bCs/>
          <w:sz w:val="18"/>
          <w:szCs w:val="18"/>
        </w:rPr>
        <w:t>-</w:t>
      </w:r>
      <w:r w:rsidR="00515BE2" w:rsidRPr="00347839">
        <w:rPr>
          <w:rFonts w:ascii="Poppins" w:hAnsi="Poppins" w:cs="Poppins"/>
          <w:bCs/>
          <w:sz w:val="18"/>
          <w:szCs w:val="18"/>
        </w:rPr>
        <w:t>2</w:t>
      </w:r>
      <w:r w:rsidRPr="00347839">
        <w:rPr>
          <w:rFonts w:ascii="Poppins" w:hAnsi="Poppins" w:cs="Poppins"/>
          <w:bCs/>
          <w:sz w:val="18"/>
          <w:szCs w:val="18"/>
        </w:rPr>
        <w:t>,</w:t>
      </w:r>
      <w:r w:rsidR="00347839" w:rsidRPr="00347839">
        <w:rPr>
          <w:rFonts w:ascii="Poppins" w:hAnsi="Poppins" w:cs="Poppins"/>
          <w:bCs/>
          <w:sz w:val="18"/>
          <w:szCs w:val="18"/>
        </w:rPr>
        <w:t>24</w:t>
      </w:r>
      <w:r w:rsidRPr="0096213B">
        <w:rPr>
          <w:rFonts w:ascii="Poppins" w:hAnsi="Poppins" w:cs="Poppins"/>
          <w:bCs/>
          <w:sz w:val="18"/>
          <w:szCs w:val="18"/>
        </w:rPr>
        <w:t xml:space="preserve"> </w:t>
      </w:r>
      <w:r w:rsidR="00B42047" w:rsidRPr="0096213B">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A9959E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A45FA3" w:rsidRPr="0096213B">
        <w:rPr>
          <w:rFonts w:ascii="Poppins" w:hAnsi="Poppins" w:cs="Poppins"/>
          <w:sz w:val="18"/>
          <w:szCs w:val="18"/>
        </w:rPr>
        <w:t>1</w:t>
      </w:r>
      <w:r w:rsidR="00F66E81" w:rsidRPr="0096213B">
        <w:rPr>
          <w:rFonts w:ascii="Poppins" w:hAnsi="Poppins" w:cs="Poppins"/>
          <w:sz w:val="18"/>
          <w:szCs w:val="18"/>
        </w:rPr>
        <w:t>,</w:t>
      </w:r>
      <w:r w:rsidR="00E14EFA">
        <w:rPr>
          <w:rFonts w:ascii="Poppins" w:hAnsi="Poppins" w:cs="Poppins"/>
          <w:sz w:val="18"/>
          <w:szCs w:val="18"/>
        </w:rPr>
        <w:t>0</w:t>
      </w:r>
      <w:r w:rsidR="008E6C19">
        <w:rPr>
          <w:rFonts w:ascii="Poppins" w:hAnsi="Poppins" w:cs="Poppins"/>
          <w:sz w:val="18"/>
          <w:szCs w:val="18"/>
        </w:rPr>
        <w:t>4</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773A9C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347839">
        <w:rPr>
          <w:rFonts w:ascii="Poppins" w:hAnsi="Poppins" w:cs="Poppins"/>
          <w:sz w:val="18"/>
          <w:szCs w:val="18"/>
          <w:lang w:eastAsia="en-US"/>
        </w:rPr>
        <w:t xml:space="preserve">a </w:t>
      </w:r>
      <w:r w:rsidR="003C1266"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CD3200" w:rsidRPr="00347839">
        <w:rPr>
          <w:rFonts w:ascii="Poppins" w:hAnsi="Poppins" w:cs="Poppins"/>
          <w:sz w:val="18"/>
          <w:szCs w:val="18"/>
          <w:lang w:eastAsia="en-US"/>
        </w:rPr>
        <w:t>3</w:t>
      </w:r>
      <w:r w:rsidR="00433FB6" w:rsidRPr="00347839">
        <w:rPr>
          <w:rFonts w:ascii="Poppins" w:hAnsi="Poppins" w:cs="Poppins"/>
          <w:sz w:val="18"/>
          <w:szCs w:val="18"/>
          <w:lang w:eastAsia="en-US"/>
        </w:rPr>
        <w:t>2</w:t>
      </w:r>
      <w:r w:rsidR="002C3713" w:rsidRPr="00347839">
        <w:rPr>
          <w:rFonts w:ascii="Poppins" w:hAnsi="Poppins" w:cs="Poppins"/>
          <w:sz w:val="18"/>
          <w:szCs w:val="18"/>
          <w:lang w:eastAsia="en-US"/>
        </w:rPr>
        <w:t xml:space="preserve"> US$/Bl</w:t>
      </w:r>
      <w:r w:rsidRPr="00347839">
        <w:rPr>
          <w:rFonts w:ascii="Poppins" w:hAnsi="Poppins" w:cs="Poppins"/>
          <w:sz w:val="18"/>
          <w:szCs w:val="18"/>
          <w:lang w:eastAsia="en-US"/>
        </w:rPr>
        <w:t xml:space="preserve"> </w:t>
      </w:r>
      <w:r w:rsidR="002C3713" w:rsidRPr="00347839">
        <w:rPr>
          <w:rFonts w:ascii="Poppins" w:hAnsi="Poppins" w:cs="Poppins"/>
          <w:sz w:val="18"/>
          <w:szCs w:val="18"/>
          <w:lang w:eastAsia="en-US"/>
        </w:rPr>
        <w:t xml:space="preserve">para el </w:t>
      </w:r>
      <w:r w:rsidRPr="00347839">
        <w:rPr>
          <w:rFonts w:ascii="Poppins" w:hAnsi="Poppins" w:cs="Poppins"/>
          <w:sz w:val="18"/>
          <w:szCs w:val="18"/>
          <w:lang w:eastAsia="en-US"/>
        </w:rPr>
        <w:t>GLP</w:t>
      </w:r>
      <w:r w:rsidR="00996628" w:rsidRPr="00347839">
        <w:rPr>
          <w:rFonts w:ascii="Poppins" w:hAnsi="Poppins" w:cs="Poppins"/>
          <w:sz w:val="18"/>
          <w:szCs w:val="18"/>
          <w:lang w:eastAsia="en-US"/>
        </w:rPr>
        <w:t>;</w:t>
      </w:r>
      <w:r w:rsidRPr="00347839">
        <w:rPr>
          <w:rFonts w:ascii="Poppins" w:hAnsi="Poppins" w:cs="Poppins"/>
          <w:sz w:val="18"/>
          <w:szCs w:val="18"/>
          <w:lang w:eastAsia="en-US"/>
        </w:rPr>
        <w:t xml:space="preserve"> </w:t>
      </w:r>
      <w:r w:rsidR="006863BF"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515BE2" w:rsidRPr="00347839">
        <w:rPr>
          <w:rFonts w:ascii="Poppins" w:hAnsi="Poppins" w:cs="Poppins"/>
          <w:sz w:val="18"/>
          <w:szCs w:val="18"/>
          <w:lang w:eastAsia="en-US"/>
        </w:rPr>
        <w:t>2</w:t>
      </w:r>
      <w:r w:rsidR="00347839" w:rsidRPr="00347839">
        <w:rPr>
          <w:rFonts w:ascii="Poppins" w:hAnsi="Poppins" w:cs="Poppins"/>
          <w:sz w:val="18"/>
          <w:szCs w:val="18"/>
          <w:lang w:eastAsia="en-US"/>
        </w:rPr>
        <w:t>7</w:t>
      </w:r>
      <w:r w:rsidR="002C3713" w:rsidRPr="00347839">
        <w:rPr>
          <w:rFonts w:ascii="Poppins" w:hAnsi="Poppins" w:cs="Poppins"/>
          <w:sz w:val="18"/>
          <w:szCs w:val="18"/>
          <w:lang w:eastAsia="en-US"/>
        </w:rPr>
        <w:t xml:space="preserve"> US$/Bl para las gasolinas</w:t>
      </w:r>
      <w:r w:rsidR="00996628" w:rsidRPr="00347839">
        <w:rPr>
          <w:rFonts w:ascii="Poppins" w:hAnsi="Poppins" w:cs="Poppins"/>
          <w:sz w:val="18"/>
          <w:szCs w:val="18"/>
          <w:lang w:eastAsia="en-US"/>
        </w:rPr>
        <w:t xml:space="preserve"> y</w:t>
      </w:r>
      <w:r w:rsidR="002C3713" w:rsidRPr="00347839">
        <w:rPr>
          <w:rFonts w:ascii="Poppins" w:hAnsi="Poppins" w:cs="Poppins"/>
          <w:sz w:val="18"/>
          <w:szCs w:val="18"/>
          <w:lang w:eastAsia="en-US"/>
        </w:rPr>
        <w:t xml:space="preserve"> </w:t>
      </w:r>
      <w:r w:rsidR="006863BF"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99393C" w:rsidRPr="00347839">
        <w:rPr>
          <w:rFonts w:ascii="Poppins" w:hAnsi="Poppins" w:cs="Poppins"/>
          <w:sz w:val="18"/>
          <w:szCs w:val="18"/>
          <w:lang w:eastAsia="en-US"/>
        </w:rPr>
        <w:t>2</w:t>
      </w:r>
      <w:r w:rsidR="0093178B" w:rsidRPr="00347839">
        <w:rPr>
          <w:rFonts w:ascii="Poppins" w:hAnsi="Poppins" w:cs="Poppins"/>
          <w:sz w:val="18"/>
          <w:szCs w:val="18"/>
          <w:lang w:eastAsia="en-US"/>
        </w:rPr>
        <w:t>3</w:t>
      </w:r>
      <w:r w:rsidR="002C3713" w:rsidRPr="00347839">
        <w:rPr>
          <w:rFonts w:ascii="Poppins" w:hAnsi="Poppins" w:cs="Poppins"/>
          <w:sz w:val="18"/>
          <w:szCs w:val="18"/>
          <w:lang w:eastAsia="en-US"/>
        </w:rPr>
        <w:t xml:space="preserve"> US$/</w:t>
      </w:r>
      <w:r w:rsidR="002C3713" w:rsidRPr="00986A53">
        <w:rPr>
          <w:rFonts w:ascii="Poppins" w:hAnsi="Poppins" w:cs="Poppins"/>
          <w:sz w:val="18"/>
          <w:szCs w:val="18"/>
          <w:lang w:eastAsia="en-US"/>
        </w:rPr>
        <w:t xml:space="preserve">Bl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3A027649" w:rsidR="004A1495" w:rsidRPr="0096213B" w:rsidRDefault="00DC479A" w:rsidP="004F74EE">
      <w:pPr>
        <w:pBdr>
          <w:top w:val="single" w:sz="4" w:space="1" w:color="auto"/>
          <w:bottom w:val="single" w:sz="4" w:space="1" w:color="auto"/>
        </w:pBdr>
        <w:jc w:val="center"/>
        <w:rPr>
          <w:rFonts w:ascii="Poppins" w:hAnsi="Poppins" w:cs="Poppins"/>
          <w:sz w:val="18"/>
          <w:szCs w:val="18"/>
          <w:lang w:val="es-PE" w:eastAsia="en-US"/>
        </w:rPr>
      </w:pPr>
      <w:r w:rsidRPr="00DC479A">
        <w:drawing>
          <wp:inline distT="0" distB="0" distL="0" distR="0" wp14:anchorId="66DCF0EF" wp14:editId="176B8497">
            <wp:extent cx="8069293" cy="2969703"/>
            <wp:effectExtent l="0" t="0" r="8255" b="25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85648" cy="297572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2B427DF0" w:rsidR="000F7442" w:rsidRPr="0096213B" w:rsidRDefault="001B455D" w:rsidP="000F7442">
            <w:pPr>
              <w:jc w:val="center"/>
              <w:rPr>
                <w:rFonts w:ascii="Poppins" w:hAnsi="Poppins" w:cs="Poppins"/>
                <w:sz w:val="8"/>
                <w:szCs w:val="20"/>
              </w:rPr>
            </w:pPr>
            <w:r w:rsidRPr="001B455D">
              <w:rPr>
                <w:rFonts w:ascii="Poppins" w:hAnsi="Poppins" w:cs="Poppins"/>
                <w:noProof/>
                <w:sz w:val="8"/>
                <w:szCs w:val="20"/>
              </w:rPr>
              <w:drawing>
                <wp:inline distT="0" distB="0" distL="0" distR="0" wp14:anchorId="2BED7E85" wp14:editId="686D9E8C">
                  <wp:extent cx="3565525" cy="2416030"/>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9091" cy="2418446"/>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5A0E9F7" w:rsidR="00EF3BE9" w:rsidRPr="0096213B" w:rsidRDefault="00732946"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7BEB7CCC" wp14:editId="16461DE6">
                  <wp:extent cx="5282916" cy="245797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3009" cy="247662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04B03769" w:rsidR="00551F16" w:rsidRPr="0096213B" w:rsidRDefault="0073294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32946">
        <w:drawing>
          <wp:inline distT="0" distB="0" distL="0" distR="0" wp14:anchorId="266FBB0D" wp14:editId="03FE82FC">
            <wp:extent cx="5636895" cy="2080470"/>
            <wp:effectExtent l="0" t="0" r="190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3704" cy="2082983"/>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50F25974" w:rsidR="00F70B88" w:rsidRPr="0096213B" w:rsidRDefault="0080155B" w:rsidP="00604758">
      <w:pPr>
        <w:spacing w:line="0" w:lineRule="atLeast"/>
        <w:ind w:right="-567"/>
        <w:jc w:val="both"/>
        <w:rPr>
          <w:rFonts w:ascii="Poppins" w:hAnsi="Poppins" w:cs="Poppins"/>
          <w:noProof/>
          <w:sz w:val="20"/>
          <w:szCs w:val="20"/>
        </w:rPr>
      </w:pPr>
      <w:r w:rsidRPr="0080155B">
        <w:drawing>
          <wp:inline distT="0" distB="0" distL="0" distR="0" wp14:anchorId="0230A449" wp14:editId="5FEC9F9F">
            <wp:extent cx="5850255" cy="2315361"/>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7714" cy="231831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FDA8B9F" w:rsidR="00127A54" w:rsidRPr="0096213B" w:rsidRDefault="0080155B" w:rsidP="006220EA">
      <w:pPr>
        <w:rPr>
          <w:rFonts w:ascii="Poppins" w:hAnsi="Poppins" w:cs="Poppins"/>
          <w:i/>
          <w:sz w:val="14"/>
          <w:szCs w:val="14"/>
        </w:rPr>
      </w:pPr>
      <w:r w:rsidRPr="0080155B">
        <w:drawing>
          <wp:inline distT="0" distB="0" distL="0" distR="0" wp14:anchorId="533A98EB" wp14:editId="699B365D">
            <wp:extent cx="5850255" cy="705993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5993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7700E15E" w:rsidR="005048C1" w:rsidRPr="0096213B" w:rsidRDefault="00FC1BF8" w:rsidP="005048C1">
      <w:pPr>
        <w:jc w:val="both"/>
        <w:rPr>
          <w:rFonts w:ascii="Poppins" w:hAnsi="Poppins" w:cs="Poppins"/>
          <w:i/>
          <w:iCs/>
          <w:sz w:val="12"/>
          <w:szCs w:val="12"/>
        </w:rPr>
      </w:pPr>
      <w:r w:rsidRPr="00FC1BF8">
        <w:drawing>
          <wp:inline distT="0" distB="0" distL="0" distR="0" wp14:anchorId="7D9DC8C2" wp14:editId="555AF5BB">
            <wp:extent cx="5850255" cy="5763895"/>
            <wp:effectExtent l="0" t="0" r="0" b="8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76389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58BAF48C" w14:textId="23D7155E" w:rsidR="00732946" w:rsidRDefault="00732946" w:rsidP="00732946">
      <w:pPr>
        <w:jc w:val="center"/>
        <w:rPr>
          <w:rFonts w:asciiTheme="minorHAnsi" w:hAnsiTheme="minorHAnsi" w:cstheme="minorHAnsi"/>
          <w:sz w:val="22"/>
          <w:szCs w:val="22"/>
        </w:rPr>
      </w:pPr>
      <w:r>
        <w:rPr>
          <w:noProof/>
        </w:rPr>
        <w:drawing>
          <wp:inline distT="0" distB="0" distL="0" distR="0" wp14:anchorId="0642CF50" wp14:editId="6353E077">
            <wp:extent cx="5368284" cy="2866231"/>
            <wp:effectExtent l="19050" t="19050" r="23495" b="10795"/>
            <wp:docPr id="660766631" name="Imagen 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0533" cy="2878110"/>
                    </a:xfrm>
                    <a:prstGeom prst="rect">
                      <a:avLst/>
                    </a:prstGeom>
                    <a:noFill/>
                    <a:ln>
                      <a:solidFill>
                        <a:schemeClr val="accent1"/>
                      </a:solidFill>
                    </a:ln>
                  </pic:spPr>
                </pic:pic>
              </a:graphicData>
            </a:graphic>
          </wp:inline>
        </w:drawing>
      </w:r>
    </w:p>
    <w:p w14:paraId="0D5B6C5A" w14:textId="0C5014D0" w:rsidR="00732946" w:rsidRDefault="00732946" w:rsidP="00732946">
      <w:pPr>
        <w:jc w:val="center"/>
        <w:rPr>
          <w:rFonts w:asciiTheme="minorHAnsi" w:hAnsiTheme="minorHAnsi" w:cstheme="minorHAnsi"/>
          <w:sz w:val="22"/>
          <w:szCs w:val="22"/>
        </w:rPr>
      </w:pPr>
    </w:p>
    <w:p w14:paraId="773B2DFA" w14:textId="77777777" w:rsidR="00732946" w:rsidRDefault="00732946" w:rsidP="00732946">
      <w:pPr>
        <w:jc w:val="center"/>
        <w:rPr>
          <w:rFonts w:asciiTheme="minorHAnsi" w:hAnsiTheme="minorHAnsi" w:cstheme="minorHAnsi"/>
          <w:sz w:val="22"/>
          <w:szCs w:val="22"/>
        </w:rPr>
      </w:pPr>
    </w:p>
    <w:p w14:paraId="174478ED" w14:textId="77777777" w:rsidR="00732946" w:rsidRDefault="00732946" w:rsidP="00732946">
      <w:pPr>
        <w:jc w:val="center"/>
        <w:rPr>
          <w:rFonts w:asciiTheme="minorHAnsi" w:hAnsiTheme="minorHAnsi" w:cstheme="minorHAnsi"/>
          <w:sz w:val="22"/>
          <w:szCs w:val="22"/>
        </w:rPr>
      </w:pPr>
    </w:p>
    <w:p w14:paraId="38DFDC50" w14:textId="77777777" w:rsidR="00732946" w:rsidRDefault="00732946" w:rsidP="00732946">
      <w:pPr>
        <w:jc w:val="center"/>
        <w:rPr>
          <w:rFonts w:asciiTheme="minorHAnsi" w:hAnsiTheme="minorHAnsi" w:cstheme="minorHAnsi"/>
          <w:sz w:val="22"/>
          <w:szCs w:val="22"/>
        </w:rPr>
      </w:pPr>
      <w:r>
        <w:rPr>
          <w:noProof/>
        </w:rPr>
        <w:drawing>
          <wp:inline distT="0" distB="0" distL="0" distR="0" wp14:anchorId="4CCE67CD" wp14:editId="6A400234">
            <wp:extent cx="5384992" cy="2875152"/>
            <wp:effectExtent l="19050" t="19050" r="25400" b="20955"/>
            <wp:docPr id="1367682551" name="Imagen 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22583" cy="2895223"/>
                    </a:xfrm>
                    <a:prstGeom prst="rect">
                      <a:avLst/>
                    </a:prstGeom>
                    <a:noFill/>
                    <a:ln>
                      <a:solidFill>
                        <a:schemeClr val="accent1"/>
                      </a:solidFill>
                    </a:ln>
                  </pic:spPr>
                </pic:pic>
              </a:graphicData>
            </a:graphic>
          </wp:inline>
        </w:drawing>
      </w:r>
    </w:p>
    <w:p w14:paraId="7F13B616" w14:textId="77777777" w:rsidR="00732946" w:rsidRDefault="00732946" w:rsidP="00732946">
      <w:pPr>
        <w:jc w:val="center"/>
        <w:rPr>
          <w:rFonts w:asciiTheme="minorHAnsi" w:hAnsiTheme="minorHAnsi" w:cstheme="minorHAnsi"/>
          <w:b/>
          <w:iCs/>
          <w:u w:val="single"/>
        </w:rPr>
      </w:pPr>
    </w:p>
    <w:p w14:paraId="323D5FB5" w14:textId="2294A1CD" w:rsidR="00732946" w:rsidRDefault="00732946" w:rsidP="00732946">
      <w:pPr>
        <w:jc w:val="center"/>
        <w:rPr>
          <w:rFonts w:asciiTheme="minorHAnsi" w:hAnsiTheme="minorHAnsi" w:cstheme="minorHAnsi"/>
          <w:b/>
          <w:iCs/>
          <w:u w:val="single"/>
        </w:rPr>
      </w:pPr>
      <w:r>
        <w:rPr>
          <w:noProof/>
        </w:rPr>
        <w:lastRenderedPageBreak/>
        <w:drawing>
          <wp:inline distT="0" distB="0" distL="0" distR="0" wp14:anchorId="7DBAD4D0" wp14:editId="7E9D5792">
            <wp:extent cx="5316348" cy="2838502"/>
            <wp:effectExtent l="19050" t="19050" r="17780" b="19050"/>
            <wp:docPr id="1576376237" name="Imagen 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2802" cy="2857965"/>
                    </a:xfrm>
                    <a:prstGeom prst="rect">
                      <a:avLst/>
                    </a:prstGeom>
                    <a:noFill/>
                    <a:ln>
                      <a:solidFill>
                        <a:schemeClr val="accent1"/>
                      </a:solidFill>
                    </a:ln>
                  </pic:spPr>
                </pic:pic>
              </a:graphicData>
            </a:graphic>
          </wp:inline>
        </w:drawing>
      </w:r>
    </w:p>
    <w:p w14:paraId="3B0FF83C" w14:textId="58905F28" w:rsidR="00732946" w:rsidRDefault="00732946" w:rsidP="00732946">
      <w:pPr>
        <w:jc w:val="center"/>
        <w:rPr>
          <w:rFonts w:asciiTheme="minorHAnsi" w:hAnsiTheme="minorHAnsi" w:cstheme="minorHAnsi"/>
          <w:b/>
          <w:iCs/>
          <w:u w:val="single"/>
        </w:rPr>
      </w:pPr>
    </w:p>
    <w:p w14:paraId="359F67A9" w14:textId="77777777" w:rsidR="00732946" w:rsidRDefault="00732946" w:rsidP="00732946">
      <w:pPr>
        <w:jc w:val="center"/>
        <w:rPr>
          <w:rFonts w:asciiTheme="minorHAnsi" w:hAnsiTheme="minorHAnsi" w:cstheme="minorHAnsi"/>
          <w:b/>
          <w:iCs/>
          <w:u w:val="single"/>
        </w:rPr>
      </w:pPr>
    </w:p>
    <w:p w14:paraId="6216CCC6" w14:textId="1FBAA7B1" w:rsidR="00732946" w:rsidRDefault="00732946" w:rsidP="00732946">
      <w:pPr>
        <w:jc w:val="center"/>
        <w:rPr>
          <w:rFonts w:asciiTheme="minorHAnsi" w:hAnsiTheme="minorHAnsi" w:cstheme="minorHAnsi"/>
          <w:b/>
          <w:iCs/>
          <w:u w:val="single"/>
        </w:rPr>
      </w:pPr>
      <w:r>
        <w:rPr>
          <w:noProof/>
        </w:rPr>
        <w:drawing>
          <wp:inline distT="0" distB="0" distL="0" distR="0" wp14:anchorId="56BFEA05" wp14:editId="57E0725E">
            <wp:extent cx="5275006" cy="2816429"/>
            <wp:effectExtent l="19050" t="19050" r="20955" b="22225"/>
            <wp:docPr id="1204170646" name="Imagen 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6343" cy="2833160"/>
                    </a:xfrm>
                    <a:prstGeom prst="rect">
                      <a:avLst/>
                    </a:prstGeom>
                    <a:noFill/>
                    <a:ln>
                      <a:solidFill>
                        <a:schemeClr val="accent1"/>
                      </a:solidFill>
                    </a:ln>
                  </pic:spPr>
                </pic:pic>
              </a:graphicData>
            </a:graphic>
          </wp:inline>
        </w:drawing>
      </w:r>
    </w:p>
    <w:p w14:paraId="778D6403" w14:textId="77777777" w:rsidR="00732946" w:rsidRDefault="00732946" w:rsidP="00732946">
      <w:pPr>
        <w:jc w:val="center"/>
        <w:rPr>
          <w:rFonts w:asciiTheme="minorHAnsi" w:hAnsiTheme="minorHAnsi" w:cstheme="minorHAnsi"/>
          <w:b/>
          <w:iCs/>
          <w:u w:val="single"/>
        </w:rPr>
      </w:pPr>
    </w:p>
    <w:p w14:paraId="1A7BABCA" w14:textId="5F1C38C6" w:rsidR="003B6CCA" w:rsidRDefault="003B6CCA" w:rsidP="003B6CCA">
      <w:pPr>
        <w:jc w:val="center"/>
        <w:rPr>
          <w:rFonts w:asciiTheme="minorHAnsi" w:hAnsiTheme="minorHAnsi" w:cstheme="minorHAnsi"/>
          <w:sz w:val="22"/>
          <w:szCs w:val="22"/>
        </w:rPr>
      </w:pPr>
    </w:p>
    <w:p w14:paraId="157A23DA" w14:textId="61774ADA" w:rsidR="003B6CCA" w:rsidRDefault="003B6CCA" w:rsidP="003B6CCA">
      <w:pPr>
        <w:jc w:val="center"/>
        <w:rPr>
          <w:rFonts w:asciiTheme="minorHAnsi" w:hAnsiTheme="minorHAnsi" w:cstheme="minorHAnsi"/>
          <w:sz w:val="22"/>
          <w:szCs w:val="22"/>
        </w:rPr>
      </w:pPr>
    </w:p>
    <w:p w14:paraId="1A663598" w14:textId="77777777" w:rsidR="003B6CCA" w:rsidRDefault="003B6CCA" w:rsidP="003B6CCA">
      <w:pPr>
        <w:rPr>
          <w:rFonts w:asciiTheme="minorHAnsi" w:hAnsiTheme="minorHAnsi" w:cstheme="minorHAnsi"/>
          <w:b/>
          <w:iCs/>
          <w:u w:val="single"/>
        </w:rPr>
      </w:pPr>
    </w:p>
    <w:p w14:paraId="65073B04" w14:textId="6BE710C8" w:rsidR="009A57AA" w:rsidRDefault="009A57AA" w:rsidP="009A57AA">
      <w:pPr>
        <w:jc w:val="center"/>
        <w:rPr>
          <w:rFonts w:asciiTheme="minorHAnsi" w:hAnsiTheme="minorHAnsi" w:cstheme="minorHAnsi"/>
          <w:sz w:val="22"/>
          <w:szCs w:val="22"/>
        </w:rPr>
      </w:pPr>
    </w:p>
    <w:p w14:paraId="7B8E84F2" w14:textId="77777777" w:rsidR="009A57AA" w:rsidRDefault="009A57AA" w:rsidP="009A57AA">
      <w:pPr>
        <w:jc w:val="center"/>
        <w:rPr>
          <w:rFonts w:asciiTheme="minorHAnsi" w:hAnsiTheme="minorHAnsi" w:cstheme="minorHAnsi"/>
          <w:sz w:val="22"/>
          <w:szCs w:val="22"/>
        </w:rPr>
      </w:pPr>
    </w:p>
    <w:p w14:paraId="61700103" w14:textId="77777777" w:rsidR="009A57AA" w:rsidRDefault="009A57AA" w:rsidP="009A57AA">
      <w:pPr>
        <w:jc w:val="center"/>
        <w:rPr>
          <w:rFonts w:asciiTheme="minorHAnsi" w:hAnsiTheme="minorHAnsi" w:cstheme="minorHAnsi"/>
          <w:sz w:val="22"/>
          <w:szCs w:val="22"/>
        </w:rPr>
      </w:pPr>
    </w:p>
    <w:p w14:paraId="20E3B3E6" w14:textId="57C02EF8" w:rsidR="009A57AA" w:rsidRDefault="009A57AA" w:rsidP="009A57AA">
      <w:pPr>
        <w:jc w:val="center"/>
        <w:rPr>
          <w:rFonts w:asciiTheme="minorHAnsi" w:hAnsiTheme="minorHAnsi" w:cstheme="minorHAnsi"/>
          <w:sz w:val="22"/>
          <w:szCs w:val="22"/>
        </w:rPr>
      </w:pPr>
    </w:p>
    <w:p w14:paraId="5A792FEE" w14:textId="77777777" w:rsidR="009A57AA" w:rsidRDefault="009A57AA" w:rsidP="009A57AA">
      <w:pPr>
        <w:jc w:val="center"/>
        <w:rPr>
          <w:rFonts w:asciiTheme="minorHAnsi" w:hAnsiTheme="minorHAnsi" w:cstheme="minorHAnsi"/>
          <w:b/>
          <w:iCs/>
          <w:u w:val="single"/>
        </w:rPr>
      </w:pPr>
    </w:p>
    <w:p w14:paraId="7630B232" w14:textId="02D6CD45" w:rsidR="009A57AA" w:rsidRDefault="009A57AA" w:rsidP="009A57AA">
      <w:pPr>
        <w:jc w:val="center"/>
        <w:rPr>
          <w:rFonts w:asciiTheme="minorHAnsi" w:hAnsiTheme="minorHAnsi" w:cstheme="minorHAnsi"/>
          <w:b/>
          <w:iCs/>
          <w:u w:val="single"/>
        </w:rPr>
      </w:pPr>
    </w:p>
    <w:p w14:paraId="0B5A8E51" w14:textId="5FA6BFD1" w:rsidR="009A57AA" w:rsidRDefault="009A57AA" w:rsidP="009A57AA">
      <w:pPr>
        <w:jc w:val="center"/>
        <w:rPr>
          <w:rFonts w:asciiTheme="minorHAnsi" w:hAnsiTheme="minorHAnsi" w:cstheme="minorHAnsi"/>
          <w:b/>
          <w:iCs/>
          <w:u w:val="single"/>
        </w:rPr>
      </w:pPr>
    </w:p>
    <w:p w14:paraId="1B19913D" w14:textId="77777777" w:rsidR="009A57AA" w:rsidRDefault="009A57AA" w:rsidP="009A57AA">
      <w:pPr>
        <w:jc w:val="center"/>
        <w:rPr>
          <w:rFonts w:asciiTheme="minorHAnsi" w:hAnsiTheme="minorHAnsi" w:cstheme="minorHAnsi"/>
          <w:b/>
          <w:iCs/>
          <w:u w:val="single"/>
        </w:rPr>
      </w:pPr>
    </w:p>
    <w:p w14:paraId="45312837" w14:textId="77777777" w:rsidR="009A57AA" w:rsidRDefault="009A57AA" w:rsidP="009A57AA">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FC1BF8"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09830F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C12712">
            <w:rPr>
              <w:rFonts w:ascii="Poppins" w:hAnsi="Poppins" w:cs="Poppins"/>
              <w:b/>
              <w:sz w:val="22"/>
              <w:szCs w:val="22"/>
              <w:lang w:val="it-IT"/>
            </w:rPr>
            <w:t>7</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A34218A"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C12712">
            <w:rPr>
              <w:rFonts w:ascii="Poppins" w:hAnsi="Poppins" w:cs="Poppins"/>
              <w:b/>
              <w:sz w:val="22"/>
              <w:szCs w:val="22"/>
              <w:lang w:val="it-IT"/>
            </w:rPr>
            <w:t>7</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26E434C"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C12712">
            <w:rPr>
              <w:rFonts w:ascii="Poppins" w:hAnsi="Poppins" w:cs="Poppins"/>
              <w:b/>
              <w:sz w:val="22"/>
              <w:szCs w:val="22"/>
              <w:lang w:val="it-IT"/>
            </w:rPr>
            <w:t>7</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3B7CAB2"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C12712">
            <w:rPr>
              <w:rFonts w:ascii="Poppins" w:hAnsi="Poppins" w:cs="Poppins"/>
              <w:b/>
              <w:sz w:val="22"/>
              <w:szCs w:val="22"/>
              <w:lang w:val="it-IT"/>
            </w:rPr>
            <w:t>7</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19</Pages>
  <Words>4527</Words>
  <Characters>24904</Characters>
  <Application>Microsoft Office Word</Application>
  <DocSecurity>0</DocSecurity>
  <Lines>207</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2024-06-20T23:20:00Z</cp:lastPrinted>
  <dcterms:created xsi:type="dcterms:W3CDTF">2024-09-10T22:37:00Z</dcterms:created>
  <dcterms:modified xsi:type="dcterms:W3CDTF">2024-09-11T16:07:00Z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