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0519AAFA"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9F52E1">
        <w:rPr>
          <w:rFonts w:asciiTheme="minorHAnsi" w:hAnsiTheme="minorHAnsi" w:cstheme="minorHAnsi"/>
          <w:b/>
          <w:bCs/>
          <w:sz w:val="28"/>
          <w:szCs w:val="28"/>
        </w:rPr>
        <w:t>07</w:t>
      </w:r>
      <w:r w:rsidR="00D13504" w:rsidRPr="00FB18F8">
        <w:rPr>
          <w:rFonts w:asciiTheme="minorHAnsi" w:hAnsiTheme="minorHAnsi" w:cstheme="minorHAnsi"/>
          <w:b/>
          <w:bCs/>
          <w:sz w:val="28"/>
          <w:szCs w:val="28"/>
        </w:rPr>
        <w:t>/</w:t>
      </w:r>
      <w:r w:rsidR="009F52E1">
        <w:rPr>
          <w:rFonts w:asciiTheme="minorHAnsi" w:hAnsiTheme="minorHAnsi" w:cstheme="minorHAnsi"/>
          <w:b/>
          <w:bCs/>
          <w:sz w:val="28"/>
          <w:szCs w:val="28"/>
        </w:rPr>
        <w:t>11</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1B9D070A" w:rsidR="00E53D92" w:rsidRPr="002B3648" w:rsidRDefault="0009539C"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09539C">
        <w:rPr>
          <w:noProof/>
          <w:lang w:val="en-US" w:eastAsia="en-US"/>
        </w:rPr>
        <w:drawing>
          <wp:inline distT="0" distB="0" distL="0" distR="0" wp14:anchorId="16263049" wp14:editId="03C8D308">
            <wp:extent cx="5362574" cy="364807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7966" cy="3658546"/>
                    </a:xfrm>
                    <a:prstGeom prst="rect">
                      <a:avLst/>
                    </a:prstGeom>
                    <a:noFill/>
                    <a:ln>
                      <a:noFill/>
                    </a:ln>
                  </pic:spPr>
                </pic:pic>
              </a:graphicData>
            </a:graphic>
          </wp:inline>
        </w:drawing>
      </w:r>
    </w:p>
    <w:p w14:paraId="54C37777" w14:textId="3BA29442"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50124395" w14:textId="70BF6D64" w:rsidR="00313709" w:rsidRDefault="00E53D92" w:rsidP="005E5D5F">
      <w:pPr>
        <w:ind w:left="284"/>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w:t>
      </w:r>
      <w:r w:rsidR="00A17BD8">
        <w:rPr>
          <w:rFonts w:asciiTheme="minorHAnsi" w:hAnsiTheme="minorHAnsi" w:cstheme="minorHAnsi"/>
          <w:sz w:val="22"/>
          <w:szCs w:val="22"/>
        </w:rPr>
        <w:t xml:space="preserve"> cambiaron, respecto al mes de j</w:t>
      </w:r>
      <w:r>
        <w:rPr>
          <w:rFonts w:asciiTheme="minorHAnsi" w:hAnsiTheme="minorHAnsi" w:cstheme="minorHAnsi"/>
          <w:sz w:val="22"/>
          <w:szCs w:val="22"/>
        </w:rPr>
        <w:t>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Pr="00470CF5">
        <w:rPr>
          <w:rFonts w:asciiTheme="minorHAnsi" w:hAnsiTheme="minorHAnsi" w:cstheme="minorHAnsi"/>
          <w:sz w:val="22"/>
          <w:szCs w:val="22"/>
        </w:rPr>
        <w:t>durante la pandemia.</w:t>
      </w:r>
    </w:p>
    <w:p w14:paraId="0539AA47" w14:textId="10921A93" w:rsidR="008A5456" w:rsidRDefault="005B601E" w:rsidP="005E5D5F">
      <w:pPr>
        <w:ind w:left="284"/>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70AB58ED" w:rsidR="004E173D" w:rsidRDefault="009A421C" w:rsidP="005E5D5F">
      <w:pPr>
        <w:ind w:left="284"/>
        <w:jc w:val="both"/>
        <w:rPr>
          <w:rFonts w:asciiTheme="minorHAnsi" w:hAnsiTheme="minorHAnsi" w:cstheme="minorHAnsi"/>
          <w:sz w:val="22"/>
          <w:szCs w:val="22"/>
        </w:rPr>
      </w:pPr>
      <w:r>
        <w:rPr>
          <w:rFonts w:asciiTheme="minorHAnsi" w:hAnsiTheme="minorHAnsi" w:cstheme="minorHAnsi"/>
          <w:sz w:val="22"/>
          <w:szCs w:val="22"/>
        </w:rPr>
        <w:t>S</w:t>
      </w:r>
      <w:r w:rsidR="004E173D">
        <w:rPr>
          <w:rFonts w:asciiTheme="minorHAnsi" w:hAnsiTheme="minorHAnsi" w:cstheme="minorHAnsi"/>
          <w:sz w:val="22"/>
          <w:szCs w:val="22"/>
        </w:rPr>
        <w:t>egún se aprecia en la</w:t>
      </w:r>
      <w:r w:rsidR="00DD04A8">
        <w:rPr>
          <w:rFonts w:asciiTheme="minorHAnsi" w:hAnsiTheme="minorHAnsi" w:cstheme="minorHAnsi"/>
          <w:sz w:val="22"/>
          <w:szCs w:val="22"/>
        </w:rPr>
        <w:t xml:space="preserve"> Gráfica N°1, durante el primer semestre d</w:t>
      </w:r>
      <w:r w:rsidR="008C61D2">
        <w:rPr>
          <w:rFonts w:asciiTheme="minorHAnsi" w:hAnsiTheme="minorHAnsi" w:cstheme="minorHAnsi"/>
          <w:sz w:val="22"/>
          <w:szCs w:val="22"/>
        </w:rPr>
        <w:t>el año 2022</w:t>
      </w:r>
      <w:r w:rsidR="004E173D">
        <w:rPr>
          <w:rFonts w:asciiTheme="minorHAnsi" w:hAnsiTheme="minorHAnsi" w:cstheme="minorHAnsi"/>
          <w:sz w:val="22"/>
          <w:szCs w:val="22"/>
        </w:rPr>
        <w:t xml:space="preserve">, los precios del petróleo crudo y productos </w:t>
      </w:r>
      <w:r w:rsidR="00DD04A8">
        <w:rPr>
          <w:rFonts w:asciiTheme="minorHAnsi" w:hAnsiTheme="minorHAnsi" w:cstheme="minorHAnsi"/>
          <w:sz w:val="22"/>
          <w:szCs w:val="22"/>
        </w:rPr>
        <w:t>mostraron una</w:t>
      </w:r>
      <w:r w:rsidR="00E93AAF">
        <w:rPr>
          <w:rFonts w:asciiTheme="minorHAnsi" w:hAnsiTheme="minorHAnsi" w:cstheme="minorHAnsi"/>
          <w:sz w:val="22"/>
          <w:szCs w:val="22"/>
        </w:rPr>
        <w:t xml:space="preserve"> tendencia</w:t>
      </w:r>
      <w:r w:rsidR="004C5499">
        <w:rPr>
          <w:rFonts w:asciiTheme="minorHAnsi" w:hAnsiTheme="minorHAnsi" w:cstheme="minorHAnsi"/>
          <w:sz w:val="22"/>
          <w:szCs w:val="22"/>
        </w:rPr>
        <w:t xml:space="preserve"> alcista</w:t>
      </w:r>
      <w:r w:rsidR="00E93AAF">
        <w:rPr>
          <w:rFonts w:asciiTheme="minorHAnsi" w:hAnsiTheme="minorHAnsi" w:cstheme="minorHAnsi"/>
          <w:sz w:val="22"/>
          <w:szCs w:val="22"/>
        </w:rPr>
        <w:t>, en medio de la alta volatilidad registrada</w:t>
      </w:r>
      <w:r w:rsidR="00E27A80">
        <w:rPr>
          <w:rFonts w:asciiTheme="minorHAnsi" w:hAnsiTheme="minorHAnsi" w:cstheme="minorHAnsi"/>
          <w:sz w:val="22"/>
          <w:szCs w:val="22"/>
        </w:rPr>
        <w:t xml:space="preserve">.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D115A0">
        <w:rPr>
          <w:rStyle w:val="Refdenotaalpie"/>
          <w:rFonts w:asciiTheme="minorHAnsi" w:hAnsiTheme="minorHAnsi" w:cstheme="minorHAnsi"/>
          <w:sz w:val="22"/>
          <w:szCs w:val="22"/>
        </w:rPr>
        <w:footnoteReference w:id="2"/>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09539C">
        <w:rPr>
          <w:rFonts w:asciiTheme="minorHAnsi" w:hAnsiTheme="minorHAnsi" w:cstheme="minorHAnsi"/>
          <w:sz w:val="22"/>
          <w:szCs w:val="22"/>
        </w:rPr>
        <w:t>90.35</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US$/Bl</w:t>
      </w:r>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8D325B">
        <w:rPr>
          <w:rFonts w:asciiTheme="minorHAnsi" w:hAnsiTheme="minorHAnsi" w:cstheme="minorHAnsi"/>
          <w:sz w:val="22"/>
          <w:szCs w:val="22"/>
        </w:rPr>
        <w:t>por debajo de</w:t>
      </w:r>
      <w:r w:rsidR="003C38E4">
        <w:rPr>
          <w:rFonts w:asciiTheme="minorHAnsi" w:hAnsiTheme="minorHAnsi" w:cstheme="minorHAnsi"/>
          <w:sz w:val="22"/>
          <w:szCs w:val="22"/>
        </w:rPr>
        <w:t xml:space="preserve"> los </w:t>
      </w:r>
      <w:r w:rsidR="0009539C">
        <w:rPr>
          <w:rFonts w:asciiTheme="minorHAnsi" w:hAnsiTheme="minorHAnsi" w:cstheme="minorHAnsi"/>
          <w:sz w:val="22"/>
          <w:szCs w:val="22"/>
        </w:rPr>
        <w:t>110</w:t>
      </w:r>
      <w:r w:rsidR="00761DDC">
        <w:rPr>
          <w:rFonts w:asciiTheme="minorHAnsi" w:hAnsiTheme="minorHAnsi" w:cstheme="minorHAnsi"/>
          <w:sz w:val="22"/>
          <w:szCs w:val="22"/>
        </w:rPr>
        <w:t xml:space="preserve"> US$/Bl</w:t>
      </w:r>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09539C">
        <w:rPr>
          <w:rFonts w:asciiTheme="minorHAnsi" w:hAnsiTheme="minorHAnsi" w:cstheme="minorHAnsi"/>
          <w:sz w:val="22"/>
          <w:szCs w:val="22"/>
        </w:rPr>
        <w:t>50</w:t>
      </w:r>
      <w:r w:rsidR="00183414">
        <w:rPr>
          <w:rFonts w:asciiTheme="minorHAnsi" w:hAnsiTheme="minorHAnsi" w:cstheme="minorHAnsi"/>
          <w:sz w:val="22"/>
          <w:szCs w:val="22"/>
        </w:rPr>
        <w:t xml:space="preserve"> US$/Bl.</w:t>
      </w:r>
      <w:r w:rsidR="00F417D3">
        <w:rPr>
          <w:rFonts w:asciiTheme="minorHAnsi" w:hAnsiTheme="minorHAnsi" w:cstheme="minorHAnsi"/>
          <w:sz w:val="22"/>
          <w:szCs w:val="22"/>
        </w:rPr>
        <w:t xml:space="preserve"> Para el mismo periodo, el precio del </w:t>
      </w:r>
      <w:r>
        <w:rPr>
          <w:rFonts w:asciiTheme="minorHAnsi" w:hAnsiTheme="minorHAnsi" w:cstheme="minorHAnsi"/>
          <w:sz w:val="22"/>
          <w:szCs w:val="22"/>
        </w:rPr>
        <w:t>GLP</w:t>
      </w:r>
      <w:r w:rsidR="0076097F">
        <w:rPr>
          <w:rFonts w:asciiTheme="minorHAnsi" w:hAnsiTheme="minorHAnsi" w:cstheme="minorHAnsi"/>
          <w:sz w:val="22"/>
          <w:szCs w:val="22"/>
        </w:rPr>
        <w:t xml:space="preserve"> cerró la semana</w:t>
      </w:r>
      <w:r w:rsidR="00F417D3">
        <w:rPr>
          <w:rFonts w:asciiTheme="minorHAnsi" w:hAnsiTheme="minorHAnsi" w:cstheme="minorHAnsi"/>
          <w:sz w:val="22"/>
          <w:szCs w:val="22"/>
        </w:rPr>
        <w:t xml:space="preserve"> </w:t>
      </w:r>
      <w:r w:rsidR="0076097F">
        <w:rPr>
          <w:rFonts w:asciiTheme="minorHAnsi" w:hAnsiTheme="minorHAnsi" w:cstheme="minorHAnsi"/>
          <w:sz w:val="22"/>
          <w:szCs w:val="22"/>
        </w:rPr>
        <w:t>en</w:t>
      </w:r>
      <w:r w:rsidR="00F417D3">
        <w:rPr>
          <w:rFonts w:asciiTheme="minorHAnsi" w:hAnsiTheme="minorHAnsi" w:cstheme="minorHAnsi"/>
          <w:sz w:val="22"/>
          <w:szCs w:val="22"/>
        </w:rPr>
        <w:t xml:space="preserve"> </w:t>
      </w:r>
      <w:r w:rsidR="00FF3534">
        <w:rPr>
          <w:rFonts w:asciiTheme="minorHAnsi" w:hAnsiTheme="minorHAnsi" w:cstheme="minorHAnsi"/>
          <w:sz w:val="22"/>
          <w:szCs w:val="22"/>
        </w:rPr>
        <w:t>38.</w:t>
      </w:r>
      <w:r w:rsidR="0009539C">
        <w:rPr>
          <w:rFonts w:asciiTheme="minorHAnsi" w:hAnsiTheme="minorHAnsi" w:cstheme="minorHAnsi"/>
          <w:sz w:val="22"/>
          <w:szCs w:val="22"/>
        </w:rPr>
        <w:t>71</w:t>
      </w:r>
      <w:r w:rsidR="00F417D3">
        <w:rPr>
          <w:rFonts w:asciiTheme="minorHAnsi" w:hAnsiTheme="minorHAnsi" w:cstheme="minorHAnsi"/>
          <w:sz w:val="22"/>
          <w:szCs w:val="22"/>
        </w:rPr>
        <w:t xml:space="preserve"> US$/Bl.</w:t>
      </w:r>
    </w:p>
    <w:p w14:paraId="6FD26437" w14:textId="77777777" w:rsidR="00613813" w:rsidRDefault="00613813" w:rsidP="005E5D5F">
      <w:pPr>
        <w:ind w:left="284"/>
        <w:jc w:val="both"/>
        <w:rPr>
          <w:rFonts w:asciiTheme="minorHAnsi" w:hAnsiTheme="minorHAnsi" w:cstheme="minorHAnsi"/>
          <w:sz w:val="22"/>
          <w:szCs w:val="22"/>
        </w:rPr>
      </w:pPr>
    </w:p>
    <w:p w14:paraId="755B721C" w14:textId="5F9EEDDE" w:rsidR="003B0F58" w:rsidRDefault="00FC74C1" w:rsidP="005E5D5F">
      <w:pPr>
        <w:ind w:left="284"/>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45359E">
        <w:rPr>
          <w:rFonts w:asciiTheme="minorHAnsi" w:hAnsiTheme="minorHAnsi" w:cstheme="minorHAnsi"/>
          <w:sz w:val="22"/>
          <w:szCs w:val="22"/>
        </w:rPr>
        <w:t>24</w:t>
      </w:r>
      <w:r w:rsidR="008A5456" w:rsidRPr="008C61D2">
        <w:rPr>
          <w:rFonts w:asciiTheme="minorHAnsi" w:hAnsiTheme="minorHAnsi" w:cstheme="minorHAnsi"/>
          <w:sz w:val="22"/>
          <w:szCs w:val="22"/>
        </w:rPr>
        <w:t>.</w:t>
      </w:r>
      <w:r w:rsidR="005D4BAC">
        <w:rPr>
          <w:rFonts w:asciiTheme="minorHAnsi" w:hAnsiTheme="minorHAnsi" w:cstheme="minorHAnsi"/>
          <w:sz w:val="22"/>
          <w:szCs w:val="22"/>
        </w:rPr>
        <w:t>10</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45359E">
        <w:rPr>
          <w:rFonts w:asciiTheme="minorHAnsi" w:hAnsiTheme="minorHAnsi" w:cstheme="minorHAnsi"/>
          <w:sz w:val="22"/>
          <w:szCs w:val="22"/>
        </w:rPr>
        <w:t>04</w:t>
      </w:r>
      <w:r w:rsidR="008A5456" w:rsidRPr="008C61D2">
        <w:rPr>
          <w:rFonts w:asciiTheme="minorHAnsi" w:hAnsiTheme="minorHAnsi" w:cstheme="minorHAnsi"/>
          <w:sz w:val="22"/>
          <w:szCs w:val="22"/>
        </w:rPr>
        <w:t>.</w:t>
      </w:r>
      <w:r w:rsidR="0045359E">
        <w:rPr>
          <w:rFonts w:asciiTheme="minorHAnsi" w:hAnsiTheme="minorHAnsi" w:cstheme="minorHAnsi"/>
          <w:sz w:val="22"/>
          <w:szCs w:val="22"/>
        </w:rPr>
        <w:t>11</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Default="003D1059" w:rsidP="00AE6269">
      <w:pPr>
        <w:ind w:left="709"/>
        <w:rPr>
          <w:rFonts w:asciiTheme="minorHAnsi" w:hAnsiTheme="minorHAnsi" w:cstheme="minorHAnsi"/>
          <w:bCs/>
          <w:sz w:val="22"/>
          <w:szCs w:val="22"/>
        </w:rPr>
      </w:pPr>
    </w:p>
    <w:p w14:paraId="378B98FE" w14:textId="77777777" w:rsidR="0045359E" w:rsidRPr="0045359E" w:rsidRDefault="0045359E" w:rsidP="009D32AB">
      <w:pPr>
        <w:pStyle w:val="Prrafodelista"/>
        <w:numPr>
          <w:ilvl w:val="0"/>
          <w:numId w:val="13"/>
        </w:numPr>
        <w:ind w:left="644"/>
        <w:contextualSpacing/>
        <w:jc w:val="both"/>
        <w:rPr>
          <w:rFonts w:asciiTheme="minorHAnsi" w:hAnsiTheme="minorHAnsi" w:cstheme="minorHAnsi"/>
          <w:b/>
          <w:sz w:val="22"/>
          <w:szCs w:val="22"/>
        </w:rPr>
      </w:pPr>
      <w:r w:rsidRPr="0045359E">
        <w:rPr>
          <w:rFonts w:asciiTheme="minorHAnsi" w:hAnsiTheme="minorHAnsi" w:cstheme="minorHAnsi"/>
          <w:b/>
          <w:sz w:val="22"/>
          <w:szCs w:val="22"/>
        </w:rPr>
        <w:t>La disminución de los inventarios de crudo y gasolinas, así como el aumento de las existencias de propano y destilados al 28 de octubre del 2022.</w:t>
      </w:r>
    </w:p>
    <w:p w14:paraId="01792543" w14:textId="77777777" w:rsidR="0045359E" w:rsidRPr="0045359E" w:rsidRDefault="0045359E" w:rsidP="009D32AB">
      <w:pPr>
        <w:pStyle w:val="Prrafodelista"/>
        <w:ind w:left="644"/>
        <w:jc w:val="both"/>
        <w:rPr>
          <w:rFonts w:asciiTheme="minorHAnsi" w:hAnsiTheme="minorHAnsi" w:cstheme="minorHAnsi"/>
          <w:sz w:val="22"/>
          <w:szCs w:val="22"/>
        </w:rPr>
      </w:pPr>
    </w:p>
    <w:p w14:paraId="1F973EC7" w14:textId="77777777" w:rsidR="0045359E" w:rsidRPr="0045359E" w:rsidRDefault="0045359E" w:rsidP="009D32AB">
      <w:pPr>
        <w:pStyle w:val="Prrafodelista"/>
        <w:ind w:left="644"/>
        <w:jc w:val="both"/>
        <w:rPr>
          <w:rFonts w:asciiTheme="minorHAnsi" w:hAnsiTheme="minorHAnsi" w:cstheme="minorHAnsi"/>
          <w:sz w:val="22"/>
          <w:szCs w:val="22"/>
        </w:rPr>
      </w:pPr>
      <w:r w:rsidRPr="0045359E">
        <w:rPr>
          <w:rFonts w:asciiTheme="minorHAnsi" w:hAnsiTheme="minorHAnsi" w:cstheme="minorHAnsi"/>
          <w:sz w:val="22"/>
          <w:szCs w:val="22"/>
        </w:rPr>
        <w:t>Los inventarios de petróleo bajaron 3,1 millones de barriles, registrando un total de 436,8 millones de barriles, un 3% por debajo de la media de los últimos 5 años en esta época del año.</w:t>
      </w:r>
    </w:p>
    <w:p w14:paraId="08501E0E" w14:textId="77777777" w:rsidR="0045359E" w:rsidRPr="0045359E" w:rsidRDefault="0045359E" w:rsidP="009D32AB">
      <w:pPr>
        <w:pStyle w:val="Prrafodelista"/>
        <w:ind w:left="644"/>
        <w:jc w:val="both"/>
        <w:rPr>
          <w:rFonts w:asciiTheme="minorHAnsi" w:hAnsiTheme="minorHAnsi" w:cstheme="minorHAnsi"/>
          <w:sz w:val="22"/>
          <w:szCs w:val="22"/>
        </w:rPr>
      </w:pPr>
    </w:p>
    <w:p w14:paraId="049DC230" w14:textId="77777777" w:rsidR="0045359E" w:rsidRPr="0045359E" w:rsidRDefault="0045359E" w:rsidP="009D32AB">
      <w:pPr>
        <w:pStyle w:val="Prrafodelista"/>
        <w:ind w:left="644"/>
        <w:jc w:val="both"/>
        <w:rPr>
          <w:rFonts w:asciiTheme="minorHAnsi" w:hAnsiTheme="minorHAnsi" w:cstheme="minorHAnsi"/>
          <w:sz w:val="22"/>
          <w:szCs w:val="22"/>
        </w:rPr>
      </w:pPr>
      <w:r w:rsidRPr="0045359E">
        <w:rPr>
          <w:rFonts w:asciiTheme="minorHAnsi" w:hAnsiTheme="minorHAnsi" w:cstheme="minorHAnsi"/>
          <w:sz w:val="22"/>
          <w:szCs w:val="22"/>
        </w:rPr>
        <w:t>Las existencias de gasolina se redujeron 1,3 millones de barriles, reportando un total de 206,6 millones de barriles; mientras los inventarios de destilados, que incluyen al diésel y al combustible para calefacción, se elevaron 0,4 millones de barriles, con un total de 106,8 millones de barriles. Finalmente, las existencias de propano aumentaron 1,23 millones de barriles, ubicándose en los 88,05 millones de barriles.</w:t>
      </w:r>
    </w:p>
    <w:p w14:paraId="332F6505" w14:textId="77777777" w:rsidR="0045359E" w:rsidRPr="0045359E" w:rsidRDefault="0045359E" w:rsidP="009D32AB">
      <w:pPr>
        <w:pStyle w:val="Prrafodelista"/>
        <w:ind w:left="644"/>
        <w:jc w:val="both"/>
        <w:rPr>
          <w:rFonts w:asciiTheme="minorHAnsi" w:hAnsiTheme="minorHAnsi" w:cstheme="minorHAnsi"/>
          <w:sz w:val="22"/>
          <w:szCs w:val="22"/>
        </w:rPr>
      </w:pPr>
    </w:p>
    <w:p w14:paraId="3C434E24" w14:textId="77777777" w:rsidR="0045359E" w:rsidRPr="0045359E" w:rsidRDefault="0045359E" w:rsidP="009D32AB">
      <w:pPr>
        <w:pStyle w:val="Prrafodelista"/>
        <w:numPr>
          <w:ilvl w:val="0"/>
          <w:numId w:val="13"/>
        </w:numPr>
        <w:ind w:left="644"/>
        <w:contextualSpacing/>
        <w:jc w:val="both"/>
        <w:rPr>
          <w:rFonts w:asciiTheme="minorHAnsi" w:hAnsiTheme="minorHAnsi" w:cstheme="minorHAnsi"/>
          <w:b/>
          <w:sz w:val="22"/>
          <w:szCs w:val="22"/>
        </w:rPr>
      </w:pPr>
      <w:r w:rsidRPr="0045359E">
        <w:rPr>
          <w:rFonts w:asciiTheme="minorHAnsi" w:hAnsiTheme="minorHAnsi" w:cstheme="minorHAnsi"/>
          <w:b/>
          <w:sz w:val="22"/>
          <w:szCs w:val="22"/>
        </w:rPr>
        <w:t>Los temores a una recesión mundial que debilite la demanda de petróleo crudo y combustibles, debido al aumento de las tasas de interés a nivel mundial.</w:t>
      </w:r>
    </w:p>
    <w:p w14:paraId="7D198AB0" w14:textId="77777777" w:rsidR="0045359E" w:rsidRPr="0045359E" w:rsidRDefault="0045359E" w:rsidP="009D32AB">
      <w:pPr>
        <w:pStyle w:val="Prrafodelista"/>
        <w:ind w:left="644"/>
        <w:jc w:val="both"/>
        <w:rPr>
          <w:rFonts w:asciiTheme="minorHAnsi" w:hAnsiTheme="minorHAnsi" w:cstheme="minorHAnsi"/>
          <w:b/>
          <w:sz w:val="22"/>
          <w:szCs w:val="22"/>
        </w:rPr>
      </w:pPr>
    </w:p>
    <w:p w14:paraId="57EA6EBB" w14:textId="77777777" w:rsidR="0045359E" w:rsidRPr="0045359E" w:rsidRDefault="0045359E" w:rsidP="009D32AB">
      <w:pPr>
        <w:ind w:left="644"/>
        <w:jc w:val="both"/>
        <w:rPr>
          <w:rFonts w:asciiTheme="minorHAnsi" w:hAnsiTheme="minorHAnsi" w:cstheme="minorHAnsi"/>
          <w:sz w:val="22"/>
          <w:szCs w:val="22"/>
        </w:rPr>
      </w:pPr>
      <w:r w:rsidRPr="0045359E">
        <w:rPr>
          <w:rFonts w:asciiTheme="minorHAnsi" w:hAnsiTheme="minorHAnsi" w:cstheme="minorHAnsi"/>
          <w:sz w:val="22"/>
          <w:szCs w:val="22"/>
        </w:rPr>
        <w:t>El alza de las tasas de interés en Estados Unidos, dio lugar al aumento del dólar, agudizando el temor a una recesión mundial. No obstante, las pérdidas eran limitadas por la preocupación de la escasa oferta.</w:t>
      </w:r>
    </w:p>
    <w:p w14:paraId="57A6F23F" w14:textId="77777777" w:rsidR="0045359E" w:rsidRPr="0045359E" w:rsidRDefault="0045359E" w:rsidP="009D32AB">
      <w:pPr>
        <w:pStyle w:val="Prrafodelista"/>
        <w:ind w:left="644"/>
        <w:jc w:val="both"/>
        <w:rPr>
          <w:rFonts w:asciiTheme="minorHAnsi" w:hAnsiTheme="minorHAnsi" w:cstheme="minorHAnsi"/>
          <w:b/>
          <w:sz w:val="22"/>
          <w:szCs w:val="22"/>
        </w:rPr>
      </w:pPr>
    </w:p>
    <w:p w14:paraId="3AA82D75" w14:textId="77777777" w:rsidR="0045359E" w:rsidRPr="0045359E" w:rsidRDefault="0045359E" w:rsidP="009D32AB">
      <w:pPr>
        <w:pStyle w:val="Prrafodelista"/>
        <w:ind w:left="644"/>
        <w:jc w:val="both"/>
        <w:rPr>
          <w:rFonts w:asciiTheme="minorHAnsi" w:hAnsiTheme="minorHAnsi" w:cstheme="minorHAnsi"/>
          <w:sz w:val="22"/>
          <w:szCs w:val="22"/>
        </w:rPr>
      </w:pPr>
      <w:r w:rsidRPr="0045359E">
        <w:rPr>
          <w:rFonts w:asciiTheme="minorHAnsi" w:hAnsiTheme="minorHAnsi" w:cstheme="minorHAnsi"/>
          <w:sz w:val="22"/>
          <w:szCs w:val="22"/>
        </w:rPr>
        <w:t>La Agencia Internacional de Energía (AIE) recortó su previsión de demanda petrolera para el 2022 y el 2023, advirtiendo de una posible recesión mundial.</w:t>
      </w:r>
    </w:p>
    <w:p w14:paraId="60E4C1C9" w14:textId="77777777" w:rsidR="0045359E" w:rsidRPr="0045359E" w:rsidRDefault="0045359E" w:rsidP="009D32AB">
      <w:pPr>
        <w:ind w:left="218"/>
        <w:jc w:val="both"/>
        <w:rPr>
          <w:rFonts w:asciiTheme="minorHAnsi" w:hAnsiTheme="minorHAnsi" w:cstheme="minorHAnsi"/>
          <w:b/>
          <w:sz w:val="22"/>
          <w:szCs w:val="22"/>
        </w:rPr>
      </w:pPr>
    </w:p>
    <w:p w14:paraId="42EB2585" w14:textId="77777777" w:rsidR="0045359E" w:rsidRPr="0045359E" w:rsidRDefault="0045359E" w:rsidP="009D32AB">
      <w:pPr>
        <w:ind w:left="644"/>
        <w:jc w:val="both"/>
        <w:rPr>
          <w:rFonts w:asciiTheme="minorHAnsi" w:hAnsiTheme="minorHAnsi" w:cstheme="minorHAnsi"/>
          <w:sz w:val="22"/>
          <w:szCs w:val="22"/>
        </w:rPr>
      </w:pPr>
      <w:r w:rsidRPr="0045359E">
        <w:rPr>
          <w:rFonts w:asciiTheme="minorHAnsi" w:hAnsiTheme="minorHAnsi" w:cstheme="minorHAnsi"/>
          <w:sz w:val="22"/>
          <w:szCs w:val="22"/>
        </w:rPr>
        <w:t>Los Bancos Centrales de EE.UU. y varios países de Europa y Asia siguen incrementando sus tasas de interés para controlar la inflación. Tanto el FMI como el Banco Mundial han advertido que la economía mundial podría entrar en recesión el próximo año.</w:t>
      </w:r>
    </w:p>
    <w:p w14:paraId="520B2F90" w14:textId="77777777" w:rsidR="0045359E" w:rsidRPr="0045359E" w:rsidRDefault="0045359E" w:rsidP="009D32AB">
      <w:pPr>
        <w:pStyle w:val="Prrafodelista"/>
        <w:ind w:left="644"/>
        <w:jc w:val="both"/>
        <w:rPr>
          <w:rFonts w:asciiTheme="minorHAnsi" w:hAnsiTheme="minorHAnsi" w:cstheme="minorHAnsi"/>
          <w:sz w:val="22"/>
          <w:szCs w:val="22"/>
        </w:rPr>
      </w:pPr>
    </w:p>
    <w:p w14:paraId="122C95C3" w14:textId="77777777" w:rsidR="0045359E" w:rsidRPr="0045359E" w:rsidRDefault="0045359E" w:rsidP="009D32AB">
      <w:pPr>
        <w:pStyle w:val="Prrafodelista"/>
        <w:ind w:left="644"/>
        <w:jc w:val="both"/>
        <w:rPr>
          <w:rFonts w:asciiTheme="minorHAnsi" w:hAnsiTheme="minorHAnsi" w:cstheme="minorHAnsi"/>
          <w:b/>
          <w:sz w:val="22"/>
          <w:szCs w:val="22"/>
        </w:rPr>
      </w:pPr>
    </w:p>
    <w:p w14:paraId="537A0346" w14:textId="77777777" w:rsidR="0045359E" w:rsidRPr="0045359E" w:rsidRDefault="0045359E" w:rsidP="009D32AB">
      <w:pPr>
        <w:ind w:left="644"/>
        <w:jc w:val="both"/>
        <w:rPr>
          <w:rFonts w:asciiTheme="minorHAnsi" w:hAnsiTheme="minorHAnsi" w:cstheme="minorHAnsi"/>
          <w:sz w:val="22"/>
          <w:szCs w:val="22"/>
        </w:rPr>
      </w:pPr>
    </w:p>
    <w:p w14:paraId="0ADC7F6E" w14:textId="77777777" w:rsidR="0045359E" w:rsidRPr="0045359E" w:rsidRDefault="0045359E" w:rsidP="009D32AB">
      <w:pPr>
        <w:pStyle w:val="Prrafodelista"/>
        <w:numPr>
          <w:ilvl w:val="0"/>
          <w:numId w:val="13"/>
        </w:numPr>
        <w:ind w:left="644"/>
        <w:contextualSpacing/>
        <w:jc w:val="both"/>
        <w:rPr>
          <w:rFonts w:asciiTheme="minorHAnsi" w:hAnsiTheme="minorHAnsi" w:cstheme="minorHAnsi"/>
          <w:b/>
          <w:sz w:val="22"/>
          <w:szCs w:val="22"/>
        </w:rPr>
      </w:pPr>
      <w:r w:rsidRPr="0045359E">
        <w:rPr>
          <w:rFonts w:asciiTheme="minorHAnsi" w:hAnsiTheme="minorHAnsi" w:cstheme="minorHAnsi"/>
          <w:b/>
          <w:sz w:val="22"/>
          <w:szCs w:val="22"/>
        </w:rPr>
        <w:t>El descenso de la producción de la OPEP en el mes de octubre y la decisión de sus miembros de reducir el objetivo de producción en 2 millones de barriles diarios, a partir de noviembre 2022 (según lo acordado en su reunión del 5 de octubre, en Viena).</w:t>
      </w:r>
    </w:p>
    <w:p w14:paraId="4811611F" w14:textId="77777777" w:rsidR="0045359E" w:rsidRPr="0045359E" w:rsidRDefault="0045359E" w:rsidP="009D32AB">
      <w:pPr>
        <w:ind w:left="218"/>
        <w:jc w:val="both"/>
        <w:rPr>
          <w:rFonts w:asciiTheme="minorHAnsi" w:hAnsiTheme="minorHAnsi" w:cstheme="minorHAnsi"/>
          <w:b/>
          <w:sz w:val="22"/>
          <w:szCs w:val="22"/>
        </w:rPr>
      </w:pPr>
    </w:p>
    <w:p w14:paraId="5DC7CB03" w14:textId="77777777" w:rsidR="0045359E" w:rsidRPr="0045359E" w:rsidRDefault="0045359E" w:rsidP="009D32AB">
      <w:pPr>
        <w:ind w:left="644"/>
        <w:jc w:val="both"/>
        <w:rPr>
          <w:rFonts w:asciiTheme="minorHAnsi" w:hAnsiTheme="minorHAnsi" w:cstheme="minorHAnsi"/>
          <w:sz w:val="22"/>
          <w:szCs w:val="22"/>
        </w:rPr>
      </w:pPr>
      <w:r w:rsidRPr="0045359E">
        <w:rPr>
          <w:rFonts w:asciiTheme="minorHAnsi" w:hAnsiTheme="minorHAnsi" w:cstheme="minorHAnsi"/>
          <w:sz w:val="22"/>
          <w:szCs w:val="22"/>
        </w:rPr>
        <w:t>Según un estudio de Reuters, la producción de la OPEP cayó en octubre 2022, por primera vez, desde junio. La OPEP bombeó 29,71 millones de barriles por día (bpd) en octubre 2022, lo que representa un descenso de 20.000 bpd respecto a setiembre, que fue la mayor producción desde abril de 2020. La OPEP produjo 1,36 millones de bpd por debajo de los objetivos para octubre.</w:t>
      </w:r>
    </w:p>
    <w:p w14:paraId="54C40961" w14:textId="77777777" w:rsidR="0045359E" w:rsidRPr="0045359E" w:rsidRDefault="0045359E" w:rsidP="009D32AB">
      <w:pPr>
        <w:pStyle w:val="Prrafodelista"/>
        <w:ind w:left="644"/>
        <w:jc w:val="both"/>
        <w:rPr>
          <w:rFonts w:asciiTheme="minorHAnsi" w:hAnsiTheme="minorHAnsi" w:cstheme="minorHAnsi"/>
          <w:sz w:val="22"/>
          <w:szCs w:val="22"/>
        </w:rPr>
      </w:pPr>
    </w:p>
    <w:p w14:paraId="7FA8BF87" w14:textId="77777777" w:rsidR="0045359E" w:rsidRPr="0045359E" w:rsidRDefault="0045359E" w:rsidP="009D32AB">
      <w:pPr>
        <w:pStyle w:val="Prrafodelista"/>
        <w:ind w:left="644"/>
        <w:jc w:val="both"/>
        <w:rPr>
          <w:rFonts w:asciiTheme="minorHAnsi" w:hAnsiTheme="minorHAnsi" w:cstheme="minorHAnsi"/>
          <w:sz w:val="22"/>
          <w:szCs w:val="22"/>
        </w:rPr>
      </w:pPr>
      <w:r w:rsidRPr="0045359E">
        <w:rPr>
          <w:rFonts w:asciiTheme="minorHAnsi" w:hAnsiTheme="minorHAnsi" w:cstheme="minorHAnsi"/>
          <w:sz w:val="22"/>
          <w:szCs w:val="22"/>
        </w:rPr>
        <w:t>La alianza OPEP, liderada por Arabia Saudita y Rusia, decidió reducir su producción en 2 millones de barriles diarios (mbd) a partir de noviembre 2022, lo que representa el mayor recorte de la oferta petrolera desde mayo de 2020. Los recortes de la OPEP, reducirán la oferta en un mercado que actualmente se encuentra ajustado.</w:t>
      </w:r>
    </w:p>
    <w:p w14:paraId="07C89076" w14:textId="77777777" w:rsidR="0045359E" w:rsidRPr="0045359E" w:rsidRDefault="0045359E" w:rsidP="009D32AB">
      <w:pPr>
        <w:pStyle w:val="Prrafodelista"/>
        <w:ind w:left="644"/>
        <w:jc w:val="both"/>
        <w:rPr>
          <w:rFonts w:asciiTheme="minorHAnsi" w:hAnsiTheme="minorHAnsi" w:cstheme="minorHAnsi"/>
          <w:sz w:val="22"/>
          <w:szCs w:val="22"/>
        </w:rPr>
      </w:pPr>
      <w:r w:rsidRPr="0045359E">
        <w:rPr>
          <w:rFonts w:asciiTheme="minorHAnsi" w:hAnsiTheme="minorHAnsi" w:cstheme="minorHAnsi"/>
          <w:sz w:val="22"/>
          <w:szCs w:val="22"/>
        </w:rPr>
        <w:t>Las sanciones de la Unión Europea sobre el crudo y los productos petroleros rusos entrarán en vigor en diciembre 2022 y febrero 2023, respectivamente.</w:t>
      </w:r>
    </w:p>
    <w:p w14:paraId="345AC06E" w14:textId="77777777" w:rsidR="0045359E" w:rsidRPr="0045359E" w:rsidRDefault="0045359E" w:rsidP="009D32AB">
      <w:pPr>
        <w:pStyle w:val="Prrafodelista"/>
        <w:ind w:left="644"/>
        <w:jc w:val="both"/>
        <w:rPr>
          <w:rFonts w:asciiTheme="minorHAnsi" w:hAnsiTheme="minorHAnsi" w:cstheme="minorHAnsi"/>
          <w:sz w:val="22"/>
          <w:szCs w:val="22"/>
        </w:rPr>
      </w:pPr>
    </w:p>
    <w:p w14:paraId="18951354" w14:textId="77777777" w:rsidR="0045359E" w:rsidRPr="0045359E" w:rsidRDefault="0045359E" w:rsidP="009D32AB">
      <w:pPr>
        <w:pStyle w:val="Prrafodelista"/>
        <w:numPr>
          <w:ilvl w:val="0"/>
          <w:numId w:val="13"/>
        </w:numPr>
        <w:ind w:left="644"/>
        <w:contextualSpacing/>
        <w:jc w:val="both"/>
        <w:rPr>
          <w:rFonts w:asciiTheme="minorHAnsi" w:hAnsiTheme="minorHAnsi" w:cstheme="minorHAnsi"/>
          <w:b/>
          <w:sz w:val="22"/>
          <w:szCs w:val="22"/>
        </w:rPr>
      </w:pPr>
      <w:r w:rsidRPr="0045359E">
        <w:rPr>
          <w:rFonts w:asciiTheme="minorHAnsi" w:hAnsiTheme="minorHAnsi" w:cstheme="minorHAnsi"/>
          <w:b/>
          <w:sz w:val="22"/>
          <w:szCs w:val="22"/>
        </w:rPr>
        <w:t>El optimismo por las exportaciones récord de crudo de Estados Unidos y el fuerte repunte del Producto Interno Bruto estadounidense en el tercer trimestre, lo que evidenció la resistencia de la mayor economía del mundo.</w:t>
      </w:r>
    </w:p>
    <w:p w14:paraId="2A134F6A" w14:textId="77777777" w:rsidR="0045359E" w:rsidRPr="0045359E" w:rsidRDefault="0045359E" w:rsidP="009D32AB">
      <w:pPr>
        <w:pStyle w:val="Prrafodelista"/>
        <w:ind w:left="644"/>
        <w:jc w:val="both"/>
        <w:rPr>
          <w:rFonts w:asciiTheme="minorHAnsi" w:hAnsiTheme="minorHAnsi" w:cstheme="minorHAnsi"/>
          <w:sz w:val="22"/>
          <w:szCs w:val="22"/>
        </w:rPr>
      </w:pPr>
    </w:p>
    <w:p w14:paraId="41DA5D70" w14:textId="77777777" w:rsidR="0045359E" w:rsidRPr="0045359E" w:rsidRDefault="0045359E" w:rsidP="009D32AB">
      <w:pPr>
        <w:pStyle w:val="Prrafodelista"/>
        <w:ind w:left="644"/>
        <w:jc w:val="both"/>
        <w:rPr>
          <w:rFonts w:asciiTheme="minorHAnsi" w:hAnsiTheme="minorHAnsi" w:cstheme="minorHAnsi"/>
          <w:sz w:val="22"/>
          <w:szCs w:val="22"/>
        </w:rPr>
      </w:pPr>
      <w:r w:rsidRPr="0045359E">
        <w:rPr>
          <w:rFonts w:asciiTheme="minorHAnsi" w:hAnsiTheme="minorHAnsi" w:cstheme="minorHAnsi"/>
          <w:sz w:val="22"/>
          <w:szCs w:val="22"/>
        </w:rPr>
        <w:t>Datos publicados el 26 de octubre mostraron un récord en las exportaciones de crudo de Estados Unidos, una señal esperanzadora para la demanda, pese al aumento de las existencias de crudo. El dólar se debilitó en las primeras operaciones con la expectativa de que las subidas de las tasas de interés sean menos agresivas.</w:t>
      </w:r>
    </w:p>
    <w:p w14:paraId="713F79E9" w14:textId="77777777" w:rsidR="0045359E" w:rsidRPr="0045359E" w:rsidRDefault="0045359E" w:rsidP="009D32AB">
      <w:pPr>
        <w:pStyle w:val="Prrafodelista"/>
        <w:ind w:left="644"/>
        <w:jc w:val="both"/>
        <w:rPr>
          <w:rFonts w:asciiTheme="minorHAnsi" w:hAnsiTheme="minorHAnsi" w:cstheme="minorHAnsi"/>
          <w:sz w:val="22"/>
          <w:szCs w:val="22"/>
        </w:rPr>
      </w:pPr>
    </w:p>
    <w:p w14:paraId="2B34D2E3" w14:textId="77777777" w:rsidR="0045359E" w:rsidRPr="0045359E" w:rsidRDefault="0045359E" w:rsidP="009D32AB">
      <w:pPr>
        <w:ind w:left="644"/>
        <w:jc w:val="both"/>
        <w:rPr>
          <w:rFonts w:asciiTheme="minorHAnsi" w:hAnsiTheme="minorHAnsi" w:cstheme="minorHAnsi"/>
          <w:sz w:val="22"/>
          <w:szCs w:val="22"/>
        </w:rPr>
      </w:pPr>
      <w:r w:rsidRPr="0045359E">
        <w:rPr>
          <w:rFonts w:asciiTheme="minorHAnsi" w:hAnsiTheme="minorHAnsi" w:cstheme="minorHAnsi"/>
          <w:sz w:val="22"/>
          <w:szCs w:val="22"/>
        </w:rPr>
        <w:t>La economía alemana también creció de forma inesperada en el tercer trimestre, según datos conocidos el viernes pasado. La preocupación por el suministro ante la inminente prohibición europea de las importaciones de crudo ruso también respaldó los precios.</w:t>
      </w:r>
    </w:p>
    <w:p w14:paraId="248B1007" w14:textId="77777777" w:rsidR="0045359E" w:rsidRPr="0045359E" w:rsidRDefault="0045359E" w:rsidP="009D32AB">
      <w:pPr>
        <w:ind w:left="502"/>
        <w:jc w:val="both"/>
        <w:rPr>
          <w:rFonts w:asciiTheme="minorHAnsi" w:hAnsiTheme="minorHAnsi" w:cstheme="minorHAnsi"/>
          <w:sz w:val="22"/>
          <w:szCs w:val="22"/>
        </w:rPr>
      </w:pPr>
    </w:p>
    <w:p w14:paraId="05F2B3EA" w14:textId="77777777" w:rsidR="0045359E" w:rsidRPr="0045359E" w:rsidRDefault="0045359E" w:rsidP="009D32AB">
      <w:pPr>
        <w:pStyle w:val="Prrafodelista"/>
        <w:numPr>
          <w:ilvl w:val="0"/>
          <w:numId w:val="13"/>
        </w:numPr>
        <w:ind w:left="644"/>
        <w:contextualSpacing/>
        <w:jc w:val="both"/>
        <w:rPr>
          <w:rFonts w:asciiTheme="minorHAnsi" w:hAnsiTheme="minorHAnsi" w:cstheme="minorHAnsi"/>
          <w:b/>
          <w:sz w:val="22"/>
          <w:szCs w:val="22"/>
        </w:rPr>
      </w:pPr>
      <w:r w:rsidRPr="0045359E">
        <w:rPr>
          <w:rFonts w:asciiTheme="minorHAnsi" w:hAnsiTheme="minorHAnsi" w:cstheme="minorHAnsi"/>
          <w:b/>
          <w:sz w:val="22"/>
          <w:szCs w:val="22"/>
        </w:rPr>
        <w:t>La ampliación de las restricciones contra el COVID-19 en China, a fin de detener los crecientes brotes, situación que ha ocasionado la reducción de las importaciones de petróleo de dicho país.</w:t>
      </w:r>
    </w:p>
    <w:p w14:paraId="4AECC38A" w14:textId="77777777" w:rsidR="0045359E" w:rsidRPr="0045359E" w:rsidRDefault="0045359E" w:rsidP="009D32AB">
      <w:pPr>
        <w:pStyle w:val="Prrafodelista"/>
        <w:ind w:left="644"/>
        <w:jc w:val="both"/>
        <w:rPr>
          <w:rFonts w:asciiTheme="minorHAnsi" w:hAnsiTheme="minorHAnsi" w:cstheme="minorHAnsi"/>
          <w:sz w:val="22"/>
          <w:szCs w:val="22"/>
        </w:rPr>
      </w:pPr>
    </w:p>
    <w:p w14:paraId="7816736D" w14:textId="77777777" w:rsidR="0045359E" w:rsidRPr="0045359E" w:rsidRDefault="0045359E" w:rsidP="009D32AB">
      <w:pPr>
        <w:pStyle w:val="Prrafodelista"/>
        <w:ind w:left="644"/>
        <w:jc w:val="both"/>
        <w:rPr>
          <w:rFonts w:asciiTheme="minorHAnsi" w:hAnsiTheme="minorHAnsi" w:cstheme="minorHAnsi"/>
          <w:sz w:val="22"/>
          <w:szCs w:val="22"/>
        </w:rPr>
      </w:pPr>
      <w:r w:rsidRPr="0045359E">
        <w:rPr>
          <w:rFonts w:asciiTheme="minorHAnsi" w:hAnsiTheme="minorHAnsi" w:cstheme="minorHAnsi"/>
          <w:sz w:val="22"/>
          <w:szCs w:val="22"/>
        </w:rPr>
        <w:t>Las ciudades chinas intensificaron las medidas de contención contra el COVID-19, sellando edificios y cerrando distritos. El Fondo Monetario Internacional espera que el crecimiento de China se desacelere a 3,2% en 2022, una rebaja de 1,2 puntos desde su proyección de abril, luego de un aumento de 8,1% en 2021.</w:t>
      </w:r>
    </w:p>
    <w:p w14:paraId="105704D3" w14:textId="77777777" w:rsidR="0045359E" w:rsidRPr="0045359E" w:rsidRDefault="0045359E" w:rsidP="009D32AB">
      <w:pPr>
        <w:ind w:left="644"/>
        <w:jc w:val="both"/>
        <w:rPr>
          <w:rFonts w:asciiTheme="minorHAnsi" w:hAnsiTheme="minorHAnsi" w:cstheme="minorHAnsi"/>
          <w:sz w:val="22"/>
          <w:szCs w:val="22"/>
        </w:rPr>
      </w:pPr>
    </w:p>
    <w:p w14:paraId="7560DF9A" w14:textId="77777777" w:rsidR="0045359E" w:rsidRPr="0045359E" w:rsidRDefault="0045359E" w:rsidP="009D32AB">
      <w:pPr>
        <w:ind w:left="644"/>
        <w:jc w:val="both"/>
        <w:rPr>
          <w:rFonts w:asciiTheme="minorHAnsi" w:hAnsiTheme="minorHAnsi" w:cstheme="minorHAnsi"/>
          <w:sz w:val="22"/>
          <w:szCs w:val="22"/>
        </w:rPr>
      </w:pPr>
      <w:r w:rsidRPr="0045359E">
        <w:rPr>
          <w:rFonts w:asciiTheme="minorHAnsi" w:hAnsiTheme="minorHAnsi" w:cstheme="minorHAnsi"/>
          <w:sz w:val="22"/>
          <w:szCs w:val="22"/>
        </w:rPr>
        <w:t xml:space="preserve">La preocupación por la demanda china dio lugar a que los inversores mundiales se deshicieran de activos chinos, la semana pasada; debido a los temores sobre el crecimiento, con la economía amenazada por una política de “cero COVID”, una crisis inmobiliaria y la caída de la confianza del mercado. </w:t>
      </w:r>
    </w:p>
    <w:p w14:paraId="206F05B1" w14:textId="77777777" w:rsidR="0045359E" w:rsidRPr="0045359E" w:rsidRDefault="0045359E" w:rsidP="009D32AB">
      <w:pPr>
        <w:ind w:left="218"/>
        <w:jc w:val="both"/>
        <w:rPr>
          <w:rFonts w:asciiTheme="minorHAnsi" w:hAnsiTheme="minorHAnsi" w:cstheme="minorHAnsi"/>
          <w:b/>
          <w:sz w:val="22"/>
          <w:szCs w:val="22"/>
        </w:rPr>
      </w:pPr>
    </w:p>
    <w:p w14:paraId="5E3A1CC2" w14:textId="77777777" w:rsidR="0045359E" w:rsidRPr="0045359E" w:rsidRDefault="0045359E" w:rsidP="009D32AB">
      <w:pPr>
        <w:pStyle w:val="Prrafodelista"/>
        <w:numPr>
          <w:ilvl w:val="0"/>
          <w:numId w:val="13"/>
        </w:numPr>
        <w:ind w:left="644"/>
        <w:contextualSpacing/>
        <w:jc w:val="both"/>
        <w:rPr>
          <w:rFonts w:asciiTheme="minorHAnsi" w:hAnsiTheme="minorHAnsi" w:cstheme="minorHAnsi"/>
          <w:b/>
          <w:sz w:val="22"/>
          <w:szCs w:val="22"/>
        </w:rPr>
      </w:pPr>
      <w:r w:rsidRPr="0045359E">
        <w:rPr>
          <w:rFonts w:asciiTheme="minorHAnsi" w:hAnsiTheme="minorHAnsi" w:cstheme="minorHAnsi"/>
          <w:b/>
          <w:sz w:val="22"/>
          <w:szCs w:val="22"/>
        </w:rPr>
        <w:t>El anuncio de Estados Unidos, de la venta inmediata de 15 millones de barriles de su reserva estratégica para propiciar la disminución de los precios antes de las elecciones legislativas del 8 de noviembre.</w:t>
      </w:r>
    </w:p>
    <w:p w14:paraId="766E26EC" w14:textId="77777777" w:rsidR="0045359E" w:rsidRPr="0045359E" w:rsidRDefault="0045359E" w:rsidP="009D32AB">
      <w:pPr>
        <w:pStyle w:val="Prrafodelista"/>
        <w:ind w:left="644"/>
        <w:jc w:val="both"/>
        <w:rPr>
          <w:rFonts w:asciiTheme="minorHAnsi" w:hAnsiTheme="minorHAnsi" w:cstheme="minorHAnsi"/>
          <w:b/>
          <w:sz w:val="22"/>
          <w:szCs w:val="22"/>
        </w:rPr>
      </w:pPr>
    </w:p>
    <w:p w14:paraId="7AD833E0" w14:textId="77777777" w:rsidR="0045359E" w:rsidRPr="0045359E" w:rsidRDefault="0045359E" w:rsidP="009D32AB">
      <w:pPr>
        <w:pStyle w:val="Prrafodelista"/>
        <w:ind w:left="644"/>
        <w:jc w:val="both"/>
        <w:rPr>
          <w:rFonts w:asciiTheme="minorHAnsi" w:hAnsiTheme="minorHAnsi" w:cstheme="minorHAnsi"/>
          <w:sz w:val="22"/>
          <w:szCs w:val="22"/>
        </w:rPr>
      </w:pPr>
      <w:r w:rsidRPr="0045359E">
        <w:rPr>
          <w:rFonts w:asciiTheme="minorHAnsi" w:hAnsiTheme="minorHAnsi" w:cstheme="minorHAnsi"/>
          <w:sz w:val="22"/>
          <w:szCs w:val="22"/>
        </w:rPr>
        <w:t xml:space="preserve">El volumen de venta anunciado corresponde a la última parte de un total de 180 millones que el presidente de Estados Unidos, Joe Biden, aprobó en marzo. Asimismo, Biden pidió al Departamento de Energía que esté preparado para vender más barriles del fondo de reserva durante el invierno a fin de combatir el alza de precios, en el caso de ser necesario. </w:t>
      </w:r>
    </w:p>
    <w:p w14:paraId="534B1A3A" w14:textId="77777777" w:rsidR="0045359E" w:rsidRPr="0045359E" w:rsidRDefault="0045359E" w:rsidP="009D32AB">
      <w:pPr>
        <w:pStyle w:val="Prrafodelista"/>
        <w:ind w:left="644"/>
        <w:jc w:val="both"/>
        <w:rPr>
          <w:rFonts w:asciiTheme="minorHAnsi" w:hAnsiTheme="minorHAnsi" w:cstheme="minorHAnsi"/>
          <w:sz w:val="22"/>
          <w:szCs w:val="22"/>
        </w:rPr>
      </w:pPr>
      <w:r w:rsidRPr="0045359E">
        <w:rPr>
          <w:rFonts w:asciiTheme="minorHAnsi" w:hAnsiTheme="minorHAnsi" w:cstheme="minorHAnsi"/>
          <w:sz w:val="22"/>
          <w:szCs w:val="22"/>
        </w:rPr>
        <w:t xml:space="preserve">Actualmente las reservas estratégicas de crudo de Estados Unidos acumulan aproximadamente 400 millones de barriles. </w:t>
      </w:r>
    </w:p>
    <w:p w14:paraId="0339F4AC" w14:textId="77777777" w:rsidR="0045359E" w:rsidRPr="0045359E" w:rsidRDefault="0045359E" w:rsidP="009D32AB">
      <w:pPr>
        <w:pStyle w:val="Prrafodelista"/>
        <w:ind w:left="644"/>
        <w:jc w:val="both"/>
        <w:rPr>
          <w:rFonts w:asciiTheme="minorHAnsi" w:hAnsiTheme="minorHAnsi" w:cstheme="minorHAnsi"/>
          <w:sz w:val="22"/>
          <w:szCs w:val="22"/>
        </w:rPr>
      </w:pPr>
    </w:p>
    <w:p w14:paraId="5C061A1E" w14:textId="616C168A" w:rsidR="00F02322" w:rsidRPr="0045359E" w:rsidRDefault="0045359E" w:rsidP="009D32AB">
      <w:pPr>
        <w:pStyle w:val="Prrafodelista"/>
        <w:ind w:left="644"/>
        <w:jc w:val="both"/>
        <w:rPr>
          <w:rFonts w:asciiTheme="minorHAnsi" w:hAnsiTheme="minorHAnsi" w:cstheme="minorHAnsi"/>
          <w:sz w:val="22"/>
          <w:szCs w:val="22"/>
        </w:rPr>
      </w:pPr>
      <w:r w:rsidRPr="0045359E">
        <w:rPr>
          <w:rFonts w:asciiTheme="minorHAnsi" w:hAnsiTheme="minorHAnsi" w:cstheme="minorHAnsi"/>
          <w:sz w:val="22"/>
          <w:szCs w:val="22"/>
        </w:rPr>
        <w:t>Además, el presidente estadounidense planea poner en marcha un mecanismo para reponer las reservas estratégicas a largo plazo. Así, el gobierno de Estados Unidos comenzará a comprar crudo cuando el precio del barril WTI baje entre un rango de 67 y 72 dólares.</w:t>
      </w:r>
    </w:p>
    <w:p w14:paraId="22BCE482" w14:textId="77777777" w:rsidR="00B3346F" w:rsidRPr="00FC47E6" w:rsidRDefault="00B3346F" w:rsidP="00FC47E6">
      <w:pPr>
        <w:pStyle w:val="Prrafodelista"/>
        <w:ind w:left="567"/>
        <w:jc w:val="both"/>
        <w:rPr>
          <w:rFonts w:asciiTheme="minorHAnsi" w:hAnsiTheme="minorHAnsi" w:cstheme="minorHAnsi"/>
          <w:sz w:val="22"/>
          <w:szCs w:val="22"/>
        </w:rPr>
      </w:pPr>
    </w:p>
    <w:p w14:paraId="10AE5E36" w14:textId="77777777" w:rsidR="00023E9F" w:rsidRPr="00B812B2" w:rsidRDefault="00023E9F" w:rsidP="00023E9F">
      <w:pPr>
        <w:ind w:left="360"/>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5EB072D1" w:rsidR="0020425C" w:rsidRDefault="0074476A" w:rsidP="00F02322">
      <w:pPr>
        <w:pStyle w:val="Textonotapie"/>
        <w:numPr>
          <w:ilvl w:val="0"/>
          <w:numId w:val="2"/>
        </w:numPr>
        <w:spacing w:before="0" w:after="0"/>
        <w:ind w:left="568" w:hanging="426"/>
      </w:pPr>
      <w:r>
        <w:rPr>
          <w:rFonts w:asciiTheme="minorHAnsi" w:hAnsiTheme="minorHAnsi" w:cstheme="minorHAnsi"/>
          <w:sz w:val="22"/>
          <w:szCs w:val="22"/>
        </w:rPr>
        <w:t>M</w:t>
      </w:r>
      <w:r w:rsidR="0020425C" w:rsidRPr="0020425C">
        <w:rPr>
          <w:rFonts w:asciiTheme="minorHAnsi" w:hAnsiTheme="minorHAnsi" w:cstheme="minorHAnsi"/>
          <w:sz w:val="22"/>
          <w:szCs w:val="22"/>
        </w:rPr>
        <w:t>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0020425C">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3C8B4389" w14:textId="77777777" w:rsidR="0074476A" w:rsidRPr="00562D12" w:rsidRDefault="0074476A" w:rsidP="0074476A">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11</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18</w:t>
      </w:r>
      <w:r w:rsidRPr="0020425C">
        <w:rPr>
          <w:rFonts w:asciiTheme="minorHAnsi" w:hAnsiTheme="minorHAnsi" w:cstheme="minorHAnsi"/>
          <w:sz w:val="22"/>
          <w:szCs w:val="22"/>
        </w:rPr>
        <w:t xml:space="preserve"> de </w:t>
      </w:r>
      <w:r>
        <w:rPr>
          <w:rFonts w:asciiTheme="minorHAnsi" w:hAnsiTheme="minorHAnsi" w:cstheme="minorHAnsi"/>
          <w:sz w:val="22"/>
          <w:szCs w:val="22"/>
        </w:rPr>
        <w:t>septiembre</w:t>
      </w:r>
      <w:r w:rsidRPr="0020425C">
        <w:rPr>
          <w:rFonts w:asciiTheme="minorHAnsi" w:hAnsiTheme="minorHAnsi" w:cstheme="minorHAnsi"/>
          <w:sz w:val="22"/>
          <w:szCs w:val="22"/>
        </w:rPr>
        <w:t xml:space="preserve"> de 2022, se modificó el numeral 1.1 del artículo 1 del Decreto 002 precisando la inclusión de las Gasolinas de 90 y 84 octanos, Gasohol de 84 octanos y 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dici</w:t>
      </w:r>
      <w:r w:rsidRPr="0020425C">
        <w:rPr>
          <w:rFonts w:asciiTheme="minorHAnsi" w:hAnsiTheme="minorHAnsi" w:cstheme="minorHAnsi"/>
          <w:sz w:val="22"/>
          <w:szCs w:val="22"/>
        </w:rPr>
        <w:t>embre de 2022</w:t>
      </w:r>
      <w:r>
        <w:rPr>
          <w:rFonts w:asciiTheme="minorHAnsi" w:hAnsiTheme="minorHAnsi" w:cstheme="minorHAnsi"/>
          <w:sz w:val="22"/>
          <w:szCs w:val="22"/>
        </w:rPr>
        <w:t>.</w:t>
      </w:r>
    </w:p>
    <w:p w14:paraId="45AAA73A" w14:textId="77777777"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3EDE2859" w14:textId="77777777" w:rsidR="0074476A"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6607F4">
        <w:rPr>
          <w:rFonts w:asciiTheme="minorHAnsi" w:hAnsiTheme="minorHAnsi" w:cstheme="minorHAnsi"/>
          <w:sz w:val="22"/>
          <w:szCs w:val="22"/>
        </w:rPr>
        <w:t>Con Resolución O</w:t>
      </w:r>
      <w:r>
        <w:rPr>
          <w:rFonts w:asciiTheme="minorHAnsi" w:hAnsiTheme="minorHAnsi" w:cstheme="minorHAnsi"/>
          <w:sz w:val="22"/>
          <w:szCs w:val="22"/>
        </w:rPr>
        <w:t>sinergmin N</w:t>
      </w:r>
      <w:r w:rsidRPr="006607F4">
        <w:rPr>
          <w:rFonts w:asciiTheme="minorHAnsi" w:hAnsiTheme="minorHAnsi" w:cstheme="minorHAnsi"/>
          <w:sz w:val="22"/>
          <w:szCs w:val="22"/>
        </w:rPr>
        <w:t>°</w:t>
      </w:r>
      <w:r>
        <w:rPr>
          <w:rFonts w:asciiTheme="minorHAnsi" w:hAnsiTheme="minorHAnsi" w:cstheme="minorHAnsi"/>
          <w:sz w:val="22"/>
          <w:szCs w:val="22"/>
        </w:rPr>
        <w:t>051</w:t>
      </w:r>
      <w:r w:rsidRPr="006607F4">
        <w:rPr>
          <w:rFonts w:asciiTheme="minorHAnsi" w:hAnsiTheme="minorHAnsi" w:cstheme="minorHAnsi"/>
          <w:sz w:val="22"/>
          <w:szCs w:val="22"/>
        </w:rPr>
        <w:t>-2022-OS/GRT</w:t>
      </w:r>
      <w:r>
        <w:rPr>
          <w:rFonts w:asciiTheme="minorHAnsi" w:hAnsiTheme="minorHAnsi" w:cstheme="minorHAnsi"/>
          <w:sz w:val="22"/>
          <w:szCs w:val="22"/>
        </w:rPr>
        <w:t>, publicada el 28</w:t>
      </w:r>
      <w:r w:rsidRPr="006607F4">
        <w:rPr>
          <w:rFonts w:asciiTheme="minorHAnsi" w:hAnsiTheme="minorHAnsi" w:cstheme="minorHAnsi"/>
          <w:sz w:val="22"/>
          <w:szCs w:val="22"/>
        </w:rPr>
        <w:t xml:space="preserve"> de </w:t>
      </w:r>
      <w:r>
        <w:rPr>
          <w:rFonts w:asciiTheme="minorHAnsi" w:hAnsiTheme="minorHAnsi" w:cstheme="minorHAnsi"/>
          <w:sz w:val="22"/>
          <w:szCs w:val="22"/>
        </w:rPr>
        <w:t>setiembre</w:t>
      </w:r>
      <w:r w:rsidRPr="006607F4">
        <w:rPr>
          <w:rFonts w:asciiTheme="minorHAnsi" w:hAnsiTheme="minorHAnsi" w:cstheme="minorHAnsi"/>
          <w:sz w:val="22"/>
          <w:szCs w:val="22"/>
        </w:rPr>
        <w:t xml:space="preserve"> 2022, se aprob</w:t>
      </w:r>
      <w:r>
        <w:rPr>
          <w:rFonts w:asciiTheme="minorHAnsi" w:hAnsiTheme="minorHAnsi" w:cstheme="minorHAnsi"/>
          <w:sz w:val="22"/>
          <w:szCs w:val="22"/>
        </w:rPr>
        <w:t>ó entre otros,</w:t>
      </w:r>
      <w:r w:rsidRPr="006607F4">
        <w:rPr>
          <w:rFonts w:asciiTheme="minorHAnsi" w:hAnsiTheme="minorHAnsi" w:cstheme="minorHAnsi"/>
          <w:sz w:val="22"/>
          <w:szCs w:val="22"/>
        </w:rPr>
        <w:t xml:space="preserve"> la Banda de Precios y los Márgenes Comerciales del </w:t>
      </w:r>
      <w:r>
        <w:rPr>
          <w:rFonts w:asciiTheme="minorHAnsi" w:hAnsiTheme="minorHAnsi" w:cstheme="minorHAnsi"/>
          <w:sz w:val="22"/>
          <w:szCs w:val="22"/>
        </w:rPr>
        <w:t>Diésel B5 destinado al uso vehicular</w:t>
      </w:r>
      <w:r w:rsidRPr="006607F4">
        <w:rPr>
          <w:rFonts w:asciiTheme="minorHAnsi" w:hAnsiTheme="minorHAnsi" w:cstheme="minorHAnsi"/>
          <w:sz w:val="22"/>
          <w:szCs w:val="22"/>
        </w:rPr>
        <w:t xml:space="preserve">, vigentes desde el viernes </w:t>
      </w:r>
      <w:r>
        <w:rPr>
          <w:rFonts w:asciiTheme="minorHAnsi" w:hAnsiTheme="minorHAnsi" w:cstheme="minorHAnsi"/>
          <w:sz w:val="22"/>
          <w:szCs w:val="22"/>
        </w:rPr>
        <w:t>30</w:t>
      </w:r>
      <w:r w:rsidRPr="006607F4">
        <w:rPr>
          <w:rFonts w:asciiTheme="minorHAnsi" w:hAnsiTheme="minorHAnsi" w:cstheme="minorHAnsi"/>
          <w:sz w:val="22"/>
          <w:szCs w:val="22"/>
        </w:rPr>
        <w:t xml:space="preserve"> de </w:t>
      </w:r>
      <w:r>
        <w:rPr>
          <w:rFonts w:asciiTheme="minorHAnsi" w:hAnsiTheme="minorHAnsi" w:cstheme="minorHAnsi"/>
          <w:sz w:val="22"/>
          <w:szCs w:val="22"/>
        </w:rPr>
        <w:t>setiembre</w:t>
      </w:r>
      <w:r w:rsidRPr="006607F4">
        <w:rPr>
          <w:rFonts w:asciiTheme="minorHAnsi" w:hAnsiTheme="minorHAnsi" w:cstheme="minorHAnsi"/>
          <w:sz w:val="22"/>
          <w:szCs w:val="22"/>
        </w:rPr>
        <w:t xml:space="preserve"> hasta el jueves 2</w:t>
      </w:r>
      <w:r>
        <w:rPr>
          <w:rFonts w:asciiTheme="minorHAnsi" w:hAnsiTheme="minorHAnsi" w:cstheme="minorHAnsi"/>
          <w:sz w:val="22"/>
          <w:szCs w:val="22"/>
        </w:rPr>
        <w:t>7</w:t>
      </w:r>
      <w:r w:rsidRPr="006607F4">
        <w:rPr>
          <w:rFonts w:asciiTheme="minorHAnsi" w:hAnsiTheme="minorHAnsi" w:cstheme="minorHAnsi"/>
          <w:sz w:val="22"/>
          <w:szCs w:val="22"/>
        </w:rPr>
        <w:t xml:space="preserve"> de </w:t>
      </w:r>
      <w:r>
        <w:rPr>
          <w:rFonts w:asciiTheme="minorHAnsi" w:hAnsiTheme="minorHAnsi" w:cstheme="minorHAnsi"/>
          <w:sz w:val="22"/>
          <w:szCs w:val="22"/>
        </w:rPr>
        <w:t>octubre</w:t>
      </w:r>
      <w:r w:rsidRPr="006607F4">
        <w:rPr>
          <w:rFonts w:asciiTheme="minorHAnsi" w:hAnsiTheme="minorHAnsi" w:cstheme="minorHAnsi"/>
          <w:sz w:val="22"/>
          <w:szCs w:val="22"/>
        </w:rPr>
        <w:t xml:space="preserve"> 2022.</w:t>
      </w:r>
      <w:r>
        <w:rPr>
          <w:rFonts w:asciiTheme="minorHAnsi" w:hAnsiTheme="minorHAnsi" w:cstheme="minorHAnsi"/>
          <w:sz w:val="22"/>
          <w:szCs w:val="22"/>
        </w:rPr>
        <w:t xml:space="preserve">  </w:t>
      </w:r>
    </w:p>
    <w:p w14:paraId="6BBEB4B9" w14:textId="77777777" w:rsidR="0074476A" w:rsidRDefault="0074476A" w:rsidP="0074476A">
      <w:pPr>
        <w:pStyle w:val="Textonotapie"/>
        <w:tabs>
          <w:tab w:val="left" w:pos="709"/>
        </w:tabs>
        <w:spacing w:before="0" w:after="0"/>
        <w:rPr>
          <w:rFonts w:asciiTheme="minorHAnsi" w:hAnsiTheme="minorHAnsi" w:cstheme="minorHAnsi"/>
          <w:sz w:val="22"/>
          <w:szCs w:val="22"/>
        </w:rPr>
      </w:pPr>
    </w:p>
    <w:p w14:paraId="0E28079C" w14:textId="1615290B" w:rsidR="0074476A"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 xml:space="preserve">Con </w:t>
      </w:r>
      <w:r w:rsidRPr="00562D12">
        <w:rPr>
          <w:rFonts w:asciiTheme="minorHAnsi" w:hAnsiTheme="minorHAnsi" w:cstheme="minorHAnsi"/>
          <w:sz w:val="22"/>
          <w:szCs w:val="22"/>
        </w:rPr>
        <w:t>Resolución N° 05</w:t>
      </w:r>
      <w:r>
        <w:rPr>
          <w:rFonts w:asciiTheme="minorHAnsi" w:hAnsiTheme="minorHAnsi" w:cstheme="minorHAnsi"/>
          <w:sz w:val="22"/>
          <w:szCs w:val="22"/>
        </w:rPr>
        <w:t>4-2022-OS/GRT, se fijaron</w:t>
      </w:r>
      <w:r w:rsidRPr="00562D12">
        <w:rPr>
          <w:rFonts w:asciiTheme="minorHAnsi" w:hAnsiTheme="minorHAnsi" w:cstheme="minorHAnsi"/>
          <w:sz w:val="22"/>
          <w:szCs w:val="22"/>
        </w:rPr>
        <w:t xml:space="preserve"> la Bandas de Precios y los Márgenes Comerciales para el Gas Licuado de Petróleo destinado para envasado (GLP-E), Gas Licuado de Petróleo destinado para gran</w:t>
      </w:r>
      <w:r w:rsidR="005060F3">
        <w:rPr>
          <w:rFonts w:asciiTheme="minorHAnsi" w:hAnsiTheme="minorHAnsi" w:cstheme="minorHAnsi"/>
          <w:sz w:val="22"/>
          <w:szCs w:val="22"/>
        </w:rPr>
        <w:t>el (GLP-G), Diésel B5 destinado</w:t>
      </w:r>
      <w:r w:rsidRPr="00562D12">
        <w:rPr>
          <w:rFonts w:asciiTheme="minorHAnsi" w:hAnsiTheme="minorHAnsi" w:cstheme="minorHAnsi"/>
          <w:sz w:val="22"/>
          <w:szCs w:val="22"/>
        </w:rPr>
        <w:t xml:space="preserve"> al uso vehicular, Gasohol de 84 octanos y Gasolinas de 84 y 90 octanos, correspondientes al mes de octubre de 2022, con vigencia desde el 28 de octubre hasta el 24 de noviembre de 2022.</w:t>
      </w:r>
      <w:r>
        <w:rPr>
          <w:rFonts w:asciiTheme="minorHAnsi" w:hAnsiTheme="minorHAnsi" w:cstheme="minorHAnsi"/>
          <w:sz w:val="22"/>
          <w:szCs w:val="22"/>
        </w:rPr>
        <w:t xml:space="preserve"> Respecto a la Banda de Precios y los Márgenes Comerciales del Petróleo Industrial N°6 utilizado en generación eléctrica en sistemas aislados, estará vigente desde el 28 de octubre hasta el 29 de diciembre de 2022.</w:t>
      </w:r>
    </w:p>
    <w:p w14:paraId="30B89C74" w14:textId="77777777" w:rsidR="0074476A" w:rsidRDefault="0074476A" w:rsidP="0074476A">
      <w:pPr>
        <w:pStyle w:val="Prrafodelista"/>
        <w:rPr>
          <w:rFonts w:asciiTheme="minorHAnsi" w:hAnsiTheme="minorHAnsi" w:cstheme="minorHAnsi"/>
          <w:sz w:val="22"/>
          <w:szCs w:val="22"/>
        </w:rPr>
      </w:pPr>
    </w:p>
    <w:p w14:paraId="3556CB22" w14:textId="77777777" w:rsidR="0074476A"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M</w:t>
      </w:r>
      <w:r w:rsidRPr="00562D12">
        <w:rPr>
          <w:rFonts w:asciiTheme="minorHAnsi" w:hAnsiTheme="minorHAnsi" w:cstheme="minorHAnsi"/>
          <w:sz w:val="22"/>
          <w:szCs w:val="22"/>
        </w:rPr>
        <w:t xml:space="preserve">ediante </w:t>
      </w:r>
      <w:r>
        <w:rPr>
          <w:rFonts w:asciiTheme="minorHAnsi" w:hAnsiTheme="minorHAnsi" w:cstheme="minorHAnsi"/>
          <w:sz w:val="22"/>
          <w:szCs w:val="22"/>
        </w:rPr>
        <w:t>Decreto Supremo N° 013-2022-EM</w:t>
      </w:r>
      <w:r w:rsidRPr="00562D12">
        <w:rPr>
          <w:rFonts w:asciiTheme="minorHAnsi" w:hAnsiTheme="minorHAnsi" w:cstheme="minorHAnsi"/>
          <w:sz w:val="22"/>
          <w:szCs w:val="22"/>
        </w:rPr>
        <w:t>, publicado el 28 de octubre de 2022, se dispuso que la Banda de Precios del Diesel BX destinado al uso vehicular fijada mediante Resolución N° 051-2022-OS/GRT, se mantendrá vigente hasta el día jueves 29 de diciembre de 2022. Asimismo, señala que lo dispuesto en el artículo 1 de dicho decreto supremo entra en vigencia a partir del día 28 de octubre de 2022, por lo que la implementación de sus disposiciones se efectuará de manera inmediata</w:t>
      </w:r>
      <w:r>
        <w:rPr>
          <w:rFonts w:asciiTheme="minorHAnsi" w:hAnsiTheme="minorHAnsi" w:cstheme="minorHAnsi"/>
          <w:sz w:val="22"/>
          <w:szCs w:val="22"/>
        </w:rPr>
        <w:t>.</w:t>
      </w:r>
    </w:p>
    <w:p w14:paraId="5DBBABA5" w14:textId="77777777" w:rsidR="0074476A" w:rsidRDefault="0074476A" w:rsidP="0074476A">
      <w:pPr>
        <w:pStyle w:val="Prrafodelista"/>
        <w:rPr>
          <w:rFonts w:asciiTheme="minorHAnsi" w:hAnsiTheme="minorHAnsi" w:cstheme="minorHAnsi"/>
          <w:sz w:val="22"/>
          <w:szCs w:val="22"/>
        </w:rPr>
      </w:pPr>
    </w:p>
    <w:p w14:paraId="03B4C00C" w14:textId="77777777" w:rsidR="0074476A" w:rsidRPr="006607F4"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 xml:space="preserve">Con </w:t>
      </w:r>
      <w:r w:rsidRPr="00562D12">
        <w:rPr>
          <w:rFonts w:asciiTheme="minorHAnsi" w:hAnsiTheme="minorHAnsi" w:cstheme="minorHAnsi"/>
          <w:sz w:val="22"/>
          <w:szCs w:val="22"/>
        </w:rPr>
        <w:t>Resolución N° 05</w:t>
      </w:r>
      <w:r>
        <w:rPr>
          <w:rFonts w:asciiTheme="minorHAnsi" w:hAnsiTheme="minorHAnsi" w:cstheme="minorHAnsi"/>
          <w:sz w:val="22"/>
          <w:szCs w:val="22"/>
        </w:rPr>
        <w:t>7</w:t>
      </w:r>
      <w:r w:rsidRPr="00562D12">
        <w:rPr>
          <w:rFonts w:asciiTheme="minorHAnsi" w:hAnsiTheme="minorHAnsi" w:cstheme="minorHAnsi"/>
          <w:sz w:val="22"/>
          <w:szCs w:val="22"/>
        </w:rPr>
        <w:t xml:space="preserve">-2022-OS/GRT, se </w:t>
      </w:r>
      <w:r>
        <w:rPr>
          <w:rFonts w:asciiTheme="minorHAnsi" w:hAnsiTheme="minorHAnsi" w:cstheme="minorHAnsi"/>
          <w:sz w:val="22"/>
          <w:szCs w:val="22"/>
        </w:rPr>
        <w:t>dejó sin efecto la Banda</w:t>
      </w:r>
      <w:r w:rsidRPr="00562D12">
        <w:rPr>
          <w:rFonts w:asciiTheme="minorHAnsi" w:hAnsiTheme="minorHAnsi" w:cstheme="minorHAnsi"/>
          <w:sz w:val="22"/>
          <w:szCs w:val="22"/>
        </w:rPr>
        <w:t xml:space="preserve"> de Precios y los Márgenes Comerciales para el Diésel B5 destinado al uso vehicular</w:t>
      </w:r>
      <w:r>
        <w:rPr>
          <w:rFonts w:asciiTheme="minorHAnsi" w:hAnsiTheme="minorHAnsi" w:cstheme="minorHAnsi"/>
          <w:sz w:val="22"/>
          <w:szCs w:val="22"/>
        </w:rPr>
        <w:t xml:space="preserve"> aprobado en la </w:t>
      </w:r>
      <w:r w:rsidRPr="00562D12">
        <w:rPr>
          <w:rFonts w:asciiTheme="minorHAnsi" w:hAnsiTheme="minorHAnsi" w:cstheme="minorHAnsi"/>
          <w:sz w:val="22"/>
          <w:szCs w:val="22"/>
        </w:rPr>
        <w:t>Resolución N° 054</w:t>
      </w:r>
      <w:r>
        <w:rPr>
          <w:rFonts w:asciiTheme="minorHAnsi" w:hAnsiTheme="minorHAnsi" w:cstheme="minorHAnsi"/>
          <w:sz w:val="22"/>
          <w:szCs w:val="22"/>
        </w:rPr>
        <w:t>-2022-OS/GRT</w:t>
      </w:r>
      <w:r w:rsidRPr="00562D12">
        <w:rPr>
          <w:rFonts w:asciiTheme="minorHAnsi" w:hAnsiTheme="minorHAnsi" w:cstheme="minorHAnsi"/>
          <w:sz w:val="22"/>
          <w:szCs w:val="22"/>
        </w:rPr>
        <w:t>,</w:t>
      </w:r>
      <w:r>
        <w:rPr>
          <w:rFonts w:asciiTheme="minorHAnsi" w:hAnsiTheme="minorHAnsi" w:cstheme="minorHAnsi"/>
          <w:sz w:val="22"/>
          <w:szCs w:val="22"/>
        </w:rPr>
        <w:t xml:space="preserve"> y se dispuso la prórroga de la vigencia de la Banda de Precios y el Margen Comercial aprobados con </w:t>
      </w:r>
      <w:r w:rsidRPr="00562D12">
        <w:rPr>
          <w:rFonts w:asciiTheme="minorHAnsi" w:hAnsiTheme="minorHAnsi" w:cstheme="minorHAnsi"/>
          <w:sz w:val="22"/>
          <w:szCs w:val="22"/>
        </w:rPr>
        <w:t>Resolución N° 051-2022-OS/GRT hasta el jueves 29 de diciembre de 2022 en aplicación de lo dispuesto por el Decreto Supremo N° 013-2022-EM.</w:t>
      </w:r>
    </w:p>
    <w:p w14:paraId="48383D70" w14:textId="77777777"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3099CA8E" w14:textId="77777777" w:rsidR="0074476A" w:rsidRPr="00CF74F6" w:rsidRDefault="0074476A" w:rsidP="0074476A">
      <w:pPr>
        <w:pStyle w:val="Sangradetextonormal"/>
        <w:numPr>
          <w:ilvl w:val="0"/>
          <w:numId w:val="16"/>
        </w:numPr>
        <w:ind w:left="568" w:hanging="426"/>
        <w:rPr>
          <w:rFonts w:asciiTheme="minorHAnsi" w:hAnsiTheme="minorHAnsi" w:cstheme="minorHAnsi"/>
          <w:sz w:val="22"/>
          <w:szCs w:val="22"/>
        </w:rPr>
      </w:pPr>
      <w:r w:rsidRPr="00CF74F6">
        <w:rPr>
          <w:rFonts w:asciiTheme="minorHAnsi" w:hAnsiTheme="minorHAnsi" w:cstheme="minorHAnsi"/>
          <w:sz w:val="22"/>
          <w:szCs w:val="22"/>
        </w:rPr>
        <w:t>Teniendo en cuenta las Bandas de Precios y los Márgenes Comerciales de los combustibles establecidos mediante la</w:t>
      </w:r>
      <w:r>
        <w:rPr>
          <w:rFonts w:asciiTheme="minorHAnsi" w:hAnsiTheme="minorHAnsi" w:cstheme="minorHAnsi"/>
          <w:sz w:val="22"/>
          <w:szCs w:val="22"/>
        </w:rPr>
        <w:t>s Resoluciones</w:t>
      </w:r>
      <w:r w:rsidRPr="00CF74F6">
        <w:rPr>
          <w:rFonts w:asciiTheme="minorHAnsi" w:hAnsiTheme="minorHAnsi" w:cstheme="minorHAnsi"/>
          <w:sz w:val="22"/>
          <w:szCs w:val="22"/>
        </w:rPr>
        <w:t xml:space="preserve"> de la Gerencia de Regulación Tarifaria O</w:t>
      </w:r>
      <w:r>
        <w:rPr>
          <w:rFonts w:asciiTheme="minorHAnsi" w:hAnsiTheme="minorHAnsi" w:cstheme="minorHAnsi"/>
          <w:sz w:val="22"/>
          <w:szCs w:val="22"/>
        </w:rPr>
        <w:t>sinergmin</w:t>
      </w:r>
      <w:r w:rsidRPr="00CF74F6">
        <w:rPr>
          <w:rFonts w:asciiTheme="minorHAnsi" w:hAnsiTheme="minorHAnsi" w:cstheme="minorHAnsi"/>
          <w:sz w:val="22"/>
          <w:szCs w:val="22"/>
        </w:rPr>
        <w:t xml:space="preserve"> </w:t>
      </w:r>
      <w:r>
        <w:rPr>
          <w:rFonts w:asciiTheme="minorHAnsi" w:hAnsiTheme="minorHAnsi" w:cstheme="minorHAnsi"/>
          <w:sz w:val="22"/>
          <w:szCs w:val="22"/>
        </w:rPr>
        <w:t xml:space="preserve">N° 054-2022-OS/GRT y </w:t>
      </w:r>
      <w:r w:rsidRPr="00CF74F6">
        <w:rPr>
          <w:rFonts w:asciiTheme="minorHAnsi" w:hAnsiTheme="minorHAnsi" w:cstheme="minorHAnsi"/>
          <w:sz w:val="22"/>
          <w:szCs w:val="22"/>
        </w:rPr>
        <w:t>O</w:t>
      </w:r>
      <w:r>
        <w:rPr>
          <w:rFonts w:asciiTheme="minorHAnsi" w:hAnsiTheme="minorHAnsi" w:cstheme="minorHAnsi"/>
          <w:sz w:val="22"/>
          <w:szCs w:val="22"/>
        </w:rPr>
        <w:t>sinergmin</w:t>
      </w:r>
      <w:r w:rsidRPr="00CF74F6">
        <w:rPr>
          <w:rFonts w:asciiTheme="minorHAnsi" w:hAnsiTheme="minorHAnsi" w:cstheme="minorHAnsi"/>
          <w:sz w:val="22"/>
          <w:szCs w:val="22"/>
        </w:rPr>
        <w:t xml:space="preserve"> </w:t>
      </w:r>
      <w:r>
        <w:rPr>
          <w:rFonts w:asciiTheme="minorHAnsi" w:hAnsiTheme="minorHAnsi" w:cstheme="minorHAnsi"/>
          <w:sz w:val="22"/>
          <w:szCs w:val="22"/>
        </w:rPr>
        <w:t>N° 057</w:t>
      </w:r>
      <w:r w:rsidRPr="00CF74F6">
        <w:rPr>
          <w:rFonts w:asciiTheme="minorHAnsi" w:hAnsiTheme="minorHAnsi" w:cstheme="minorHAnsi"/>
          <w:sz w:val="22"/>
          <w:szCs w:val="22"/>
        </w:rPr>
        <w:t xml:space="preserve">-2022-OS/GRT, </w:t>
      </w:r>
      <w:r>
        <w:rPr>
          <w:rFonts w:asciiTheme="minorHAnsi" w:hAnsiTheme="minorHAnsi" w:cstheme="minorHAnsi"/>
          <w:sz w:val="22"/>
          <w:szCs w:val="22"/>
        </w:rPr>
        <w:t xml:space="preserve">el MINEM </w:t>
      </w:r>
      <w:r w:rsidRPr="00CF74F6">
        <w:rPr>
          <w:rFonts w:asciiTheme="minorHAnsi" w:hAnsiTheme="minorHAnsi" w:cstheme="minorHAnsi"/>
          <w:sz w:val="22"/>
          <w:szCs w:val="22"/>
        </w:rPr>
        <w:t>public</w:t>
      </w:r>
      <w:r>
        <w:rPr>
          <w:rFonts w:asciiTheme="minorHAnsi" w:hAnsiTheme="minorHAnsi" w:cstheme="minorHAnsi"/>
          <w:sz w:val="22"/>
          <w:szCs w:val="22"/>
        </w:rPr>
        <w:t>ó</w:t>
      </w:r>
      <w:r w:rsidRPr="00CF74F6">
        <w:rPr>
          <w:rFonts w:asciiTheme="minorHAnsi" w:hAnsiTheme="minorHAnsi" w:cstheme="minorHAnsi"/>
          <w:sz w:val="22"/>
          <w:szCs w:val="22"/>
        </w:rPr>
        <w:t xml:space="preserve"> l</w:t>
      </w:r>
      <w:r w:rsidRPr="001D77AA">
        <w:rPr>
          <w:rFonts w:asciiTheme="minorHAnsi" w:hAnsiTheme="minorHAnsi" w:cstheme="minorHAnsi"/>
          <w:sz w:val="22"/>
          <w:szCs w:val="22"/>
        </w:rPr>
        <w:t xml:space="preserve">os </w:t>
      </w:r>
      <w:r w:rsidRPr="00CF74F6">
        <w:rPr>
          <w:rFonts w:asciiTheme="minorHAnsi" w:hAnsiTheme="minorHAnsi" w:cstheme="minorHAnsi"/>
          <w:sz w:val="22"/>
          <w:szCs w:val="22"/>
        </w:rPr>
        <w:t xml:space="preserve">Factores de Aportación y/o Compensación vigentes desde el </w:t>
      </w:r>
      <w:r>
        <w:rPr>
          <w:rFonts w:asciiTheme="minorHAnsi" w:hAnsiTheme="minorHAnsi" w:cstheme="minorHAnsi"/>
          <w:sz w:val="22"/>
          <w:szCs w:val="22"/>
        </w:rPr>
        <w:t>martes 01 de noviembre</w:t>
      </w:r>
      <w:r w:rsidRPr="00CF74F6">
        <w:rPr>
          <w:rFonts w:asciiTheme="minorHAnsi" w:hAnsiTheme="minorHAnsi" w:cstheme="minorHAnsi"/>
          <w:sz w:val="22"/>
          <w:szCs w:val="22"/>
        </w:rPr>
        <w:t xml:space="preserve"> al </w:t>
      </w:r>
      <w:r>
        <w:rPr>
          <w:rFonts w:asciiTheme="minorHAnsi" w:hAnsiTheme="minorHAnsi" w:cstheme="minorHAnsi"/>
          <w:sz w:val="22"/>
          <w:szCs w:val="22"/>
        </w:rPr>
        <w:t>lunes 07</w:t>
      </w:r>
      <w:r w:rsidRPr="00CF74F6">
        <w:rPr>
          <w:rFonts w:asciiTheme="minorHAnsi" w:hAnsiTheme="minorHAnsi" w:cstheme="minorHAnsi"/>
          <w:sz w:val="22"/>
          <w:szCs w:val="22"/>
        </w:rPr>
        <w:t xml:space="preserve"> de </w:t>
      </w:r>
      <w:r>
        <w:rPr>
          <w:rFonts w:asciiTheme="minorHAnsi" w:hAnsiTheme="minorHAnsi" w:cstheme="minorHAnsi"/>
          <w:sz w:val="22"/>
          <w:szCs w:val="22"/>
        </w:rPr>
        <w:t>noviembre</w:t>
      </w:r>
      <w:r w:rsidRPr="00CF74F6">
        <w:rPr>
          <w:rFonts w:asciiTheme="minorHAnsi" w:hAnsiTheme="minorHAnsi" w:cstheme="minorHAnsi"/>
          <w:sz w:val="22"/>
          <w:szCs w:val="22"/>
        </w:rPr>
        <w:t xml:space="preserve"> de 2022.</w:t>
      </w:r>
    </w:p>
    <w:p w14:paraId="16FC6D66" w14:textId="77777777" w:rsidR="0074476A" w:rsidRDefault="0074476A" w:rsidP="0074476A">
      <w:pPr>
        <w:pStyle w:val="Prrafodelista"/>
        <w:ind w:left="568" w:hanging="426"/>
        <w:rPr>
          <w:rFonts w:asciiTheme="minorHAnsi" w:hAnsiTheme="minorHAnsi" w:cstheme="minorHAnsi"/>
          <w:sz w:val="22"/>
          <w:szCs w:val="22"/>
        </w:rPr>
      </w:pPr>
    </w:p>
    <w:p w14:paraId="6CFDA44A" w14:textId="19157402" w:rsidR="0074476A" w:rsidRDefault="0074476A" w:rsidP="0074476A">
      <w:pPr>
        <w:pStyle w:val="Sangradetextonormal"/>
        <w:numPr>
          <w:ilvl w:val="0"/>
          <w:numId w:val="16"/>
        </w:numPr>
        <w:ind w:left="568" w:hanging="426"/>
        <w:rPr>
          <w:rFonts w:asciiTheme="minorHAnsi" w:hAnsiTheme="minorHAnsi" w:cstheme="minorHAnsi"/>
          <w:sz w:val="22"/>
          <w:szCs w:val="22"/>
        </w:rPr>
      </w:pPr>
      <w:r w:rsidRPr="004554F9">
        <w:rPr>
          <w:rFonts w:asciiTheme="minorHAnsi" w:hAnsiTheme="minorHAnsi" w:cstheme="minorHAnsi"/>
          <w:sz w:val="22"/>
          <w:szCs w:val="22"/>
        </w:rPr>
        <w:t xml:space="preserve">El día </w:t>
      </w:r>
      <w:r w:rsidR="00F86527">
        <w:rPr>
          <w:rFonts w:asciiTheme="minorHAnsi" w:hAnsiTheme="minorHAnsi" w:cstheme="minorHAnsi"/>
          <w:sz w:val="22"/>
          <w:szCs w:val="22"/>
        </w:rPr>
        <w:t>03</w:t>
      </w:r>
      <w:r w:rsidRPr="004554F9">
        <w:rPr>
          <w:rFonts w:asciiTheme="minorHAnsi" w:hAnsiTheme="minorHAnsi" w:cstheme="minorHAnsi"/>
          <w:sz w:val="22"/>
          <w:szCs w:val="22"/>
        </w:rPr>
        <w:t>.</w:t>
      </w:r>
      <w:r w:rsidR="00F86527">
        <w:rPr>
          <w:rFonts w:asciiTheme="minorHAnsi" w:hAnsiTheme="minorHAnsi" w:cstheme="minorHAnsi"/>
          <w:sz w:val="22"/>
          <w:szCs w:val="22"/>
        </w:rPr>
        <w:t>11</w:t>
      </w:r>
      <w:r w:rsidRPr="004554F9">
        <w:rPr>
          <w:rFonts w:asciiTheme="minorHAnsi" w:hAnsiTheme="minorHAnsi" w:cstheme="minorHAnsi"/>
          <w:sz w:val="22"/>
          <w:szCs w:val="22"/>
        </w:rPr>
        <w:t xml:space="preserve">.2022, PETROPERÚ publicó su lista de precios de venta de combustibles. Se </w:t>
      </w:r>
      <w:r w:rsidR="00F86527">
        <w:rPr>
          <w:rFonts w:asciiTheme="minorHAnsi" w:hAnsiTheme="minorHAnsi" w:cstheme="minorHAnsi"/>
          <w:sz w:val="22"/>
          <w:szCs w:val="22"/>
        </w:rPr>
        <w:t>registraron variaciones en los precios de los gasoholes de 97 (-0.34 S/Gln), 95(-0.05 S/Gln) y 90(-0.03 S/Gln) octanos, así como en el Diesel B5(-0.65 S/Gln) y los residuales R6(+0.06 S/Gln) y R500(+0.13 S/Gln).</w:t>
      </w:r>
    </w:p>
    <w:p w14:paraId="59949A9A" w14:textId="77777777" w:rsidR="0074476A" w:rsidRDefault="0074476A" w:rsidP="0074476A">
      <w:pPr>
        <w:pStyle w:val="Prrafodelista"/>
        <w:rPr>
          <w:rFonts w:asciiTheme="minorHAnsi" w:hAnsiTheme="minorHAnsi" w:cstheme="minorHAnsi"/>
          <w:sz w:val="22"/>
          <w:szCs w:val="22"/>
        </w:rPr>
      </w:pPr>
    </w:p>
    <w:p w14:paraId="34FBD931" w14:textId="77777777" w:rsidR="0074476A" w:rsidRDefault="0074476A" w:rsidP="0074476A">
      <w:pPr>
        <w:pStyle w:val="Sangradetextonormal"/>
        <w:ind w:left="568" w:firstLine="0"/>
        <w:rPr>
          <w:rFonts w:asciiTheme="minorHAnsi" w:hAnsiTheme="minorHAnsi" w:cstheme="minorHAnsi"/>
          <w:sz w:val="22"/>
          <w:szCs w:val="22"/>
        </w:rPr>
      </w:pPr>
    </w:p>
    <w:p w14:paraId="3CC7FF13" w14:textId="2F8E8540" w:rsidR="009D32AB" w:rsidRDefault="009D32AB">
      <w:pPr>
        <w:rPr>
          <w:rFonts w:asciiTheme="minorHAnsi" w:hAnsiTheme="minorHAnsi" w:cstheme="minorHAnsi"/>
          <w:sz w:val="22"/>
          <w:szCs w:val="22"/>
        </w:rPr>
      </w:pPr>
      <w:r>
        <w:rPr>
          <w:rFonts w:asciiTheme="minorHAnsi" w:hAnsiTheme="minorHAnsi" w:cstheme="minorHAnsi"/>
          <w:sz w:val="22"/>
          <w:szCs w:val="22"/>
        </w:rPr>
        <w:br w:type="page"/>
      </w: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516A28A" w14:textId="2D3C49DF"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544193B4"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8F51FD">
        <w:rPr>
          <w:rFonts w:asciiTheme="minorHAnsi" w:hAnsiTheme="minorHAnsi" w:cstheme="minorHAnsi"/>
          <w:sz w:val="22"/>
          <w:szCs w:val="22"/>
        </w:rPr>
        <w:t>24</w:t>
      </w:r>
      <w:r w:rsidR="00C330A2" w:rsidRPr="00E61EC2">
        <w:rPr>
          <w:rFonts w:asciiTheme="minorHAnsi" w:hAnsiTheme="minorHAnsi" w:cstheme="minorHAnsi"/>
          <w:sz w:val="22"/>
          <w:szCs w:val="22"/>
        </w:rPr>
        <w:t>/</w:t>
      </w:r>
      <w:r w:rsidR="000B2CCD">
        <w:rPr>
          <w:rFonts w:asciiTheme="minorHAnsi" w:hAnsiTheme="minorHAnsi" w:cstheme="minorHAnsi"/>
          <w:sz w:val="22"/>
          <w:szCs w:val="22"/>
        </w:rPr>
        <w:t>10</w:t>
      </w:r>
      <w:r w:rsidR="00DE6640" w:rsidRPr="00E61EC2">
        <w:rPr>
          <w:rFonts w:asciiTheme="minorHAnsi" w:hAnsiTheme="minorHAnsi" w:cstheme="minorHAnsi"/>
          <w:sz w:val="22"/>
          <w:szCs w:val="22"/>
        </w:rPr>
        <w:t xml:space="preserve">/2021 y el </w:t>
      </w:r>
      <w:r w:rsidR="008F51FD">
        <w:rPr>
          <w:rFonts w:asciiTheme="minorHAnsi" w:hAnsiTheme="minorHAnsi" w:cstheme="minorHAnsi"/>
          <w:sz w:val="22"/>
          <w:szCs w:val="22"/>
        </w:rPr>
        <w:t>04</w:t>
      </w:r>
      <w:r w:rsidRPr="00E61EC2">
        <w:rPr>
          <w:rFonts w:asciiTheme="minorHAnsi" w:hAnsiTheme="minorHAnsi" w:cstheme="minorHAnsi"/>
          <w:sz w:val="22"/>
          <w:szCs w:val="22"/>
        </w:rPr>
        <w:t>/</w:t>
      </w:r>
      <w:r w:rsidR="008F51FD">
        <w:rPr>
          <w:rFonts w:asciiTheme="minorHAnsi" w:hAnsiTheme="minorHAnsi" w:cstheme="minorHAnsi"/>
          <w:sz w:val="22"/>
          <w:szCs w:val="22"/>
        </w:rPr>
        <w:t>11</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6AABF2AE"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B5107A">
        <w:rPr>
          <w:rFonts w:ascii="Calibri" w:hAnsi="Calibri" w:cs="Arial"/>
          <w:b/>
          <w:bCs/>
          <w:i/>
          <w:sz w:val="22"/>
          <w:szCs w:val="22"/>
          <w:lang w:eastAsia="es-PE"/>
        </w:rPr>
        <w:t>04</w:t>
      </w:r>
      <w:r>
        <w:rPr>
          <w:rFonts w:ascii="Calibri" w:hAnsi="Calibri" w:cs="Arial"/>
          <w:b/>
          <w:bCs/>
          <w:i/>
          <w:sz w:val="22"/>
          <w:szCs w:val="22"/>
          <w:lang w:eastAsia="es-PE"/>
        </w:rPr>
        <w:t>-</w:t>
      </w:r>
      <w:r w:rsidR="00B5107A">
        <w:rPr>
          <w:rFonts w:ascii="Calibri" w:hAnsi="Calibri" w:cs="Arial"/>
          <w:b/>
          <w:bCs/>
          <w:i/>
          <w:sz w:val="22"/>
          <w:szCs w:val="22"/>
          <w:lang w:eastAsia="es-PE"/>
        </w:rPr>
        <w:t>11</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11FA40C2" w:rsidR="00F85D23" w:rsidRPr="00CC2A8A" w:rsidRDefault="00B5107A" w:rsidP="00F85D23">
      <w:pPr>
        <w:pBdr>
          <w:top w:val="single" w:sz="4" w:space="1" w:color="auto"/>
          <w:bottom w:val="single" w:sz="4" w:space="1" w:color="auto"/>
        </w:pBdr>
        <w:rPr>
          <w:rFonts w:ascii="Calibri" w:hAnsi="Calibri" w:cs="Arial"/>
          <w:bCs/>
          <w:sz w:val="32"/>
          <w:szCs w:val="32"/>
        </w:rPr>
      </w:pPr>
      <w:r w:rsidRPr="00B5107A">
        <w:rPr>
          <w:noProof/>
          <w:lang w:val="en-US" w:eastAsia="en-US"/>
        </w:rPr>
        <w:drawing>
          <wp:inline distT="0" distB="0" distL="0" distR="0" wp14:anchorId="498C452E" wp14:editId="14930259">
            <wp:extent cx="5490845" cy="3171159"/>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0845" cy="3171159"/>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29EDA07D"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033C3B">
        <w:rPr>
          <w:rFonts w:asciiTheme="minorHAnsi" w:hAnsiTheme="minorHAnsi" w:cstheme="minorHAnsi"/>
          <w:sz w:val="22"/>
          <w:szCs w:val="22"/>
        </w:rPr>
        <w:t>7</w:t>
      </w:r>
      <w:r w:rsidR="003605C1">
        <w:rPr>
          <w:rFonts w:asciiTheme="minorHAnsi" w:hAnsiTheme="minorHAnsi" w:cstheme="minorHAnsi"/>
          <w:sz w:val="22"/>
          <w:szCs w:val="22"/>
        </w:rPr>
        <w:t>8</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0435C8">
        <w:rPr>
          <w:rFonts w:asciiTheme="minorHAnsi" w:hAnsiTheme="minorHAnsi" w:cstheme="minorHAnsi"/>
          <w:sz w:val="22"/>
          <w:szCs w:val="22"/>
        </w:rPr>
        <w:t>8</w:t>
      </w:r>
      <w:r w:rsidR="000B2CCD">
        <w:rPr>
          <w:rFonts w:asciiTheme="minorHAnsi" w:hAnsiTheme="minorHAnsi" w:cstheme="minorHAnsi"/>
          <w:sz w:val="22"/>
          <w:szCs w:val="22"/>
        </w:rPr>
        <w:t>1</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w:t>
      </w:r>
      <w:r w:rsidR="00EE1A33">
        <w:rPr>
          <w:rFonts w:asciiTheme="minorHAnsi" w:hAnsiTheme="minorHAnsi" w:cstheme="minorHAnsi"/>
          <w:sz w:val="22"/>
          <w:szCs w:val="22"/>
        </w:rPr>
        <w:t>,</w:t>
      </w:r>
      <w:r w:rsidR="00607026">
        <w:rPr>
          <w:rFonts w:asciiTheme="minorHAnsi" w:hAnsiTheme="minorHAnsi" w:cstheme="minorHAnsi"/>
          <w:sz w:val="22"/>
          <w:szCs w:val="22"/>
        </w:rPr>
        <w:t xml:space="preserve"> </w:t>
      </w:r>
      <w:r w:rsidR="00013D52">
        <w:rPr>
          <w:rFonts w:asciiTheme="minorHAnsi" w:hAnsiTheme="minorHAnsi" w:cstheme="minorHAnsi"/>
          <w:sz w:val="22"/>
          <w:szCs w:val="22"/>
        </w:rPr>
        <w:t>7</w:t>
      </w:r>
      <w:r w:rsidR="003605C1">
        <w:rPr>
          <w:rFonts w:asciiTheme="minorHAnsi" w:hAnsiTheme="minorHAnsi" w:cstheme="minorHAnsi"/>
          <w:sz w:val="22"/>
          <w:szCs w:val="22"/>
        </w:rPr>
        <w:t>8</w:t>
      </w:r>
      <w:r w:rsidR="000B2CCD">
        <w:rPr>
          <w:rFonts w:asciiTheme="minorHAnsi" w:hAnsiTheme="minorHAnsi" w:cstheme="minorHAnsi"/>
          <w:sz w:val="22"/>
          <w:szCs w:val="22"/>
        </w:rPr>
        <w:t xml:space="preserve"> y </w:t>
      </w:r>
      <w:r w:rsidR="00013D52">
        <w:rPr>
          <w:rFonts w:asciiTheme="minorHAnsi" w:hAnsiTheme="minorHAnsi" w:cstheme="minorHAnsi"/>
          <w:sz w:val="22"/>
          <w:szCs w:val="22"/>
        </w:rPr>
        <w:t>77</w:t>
      </w:r>
      <w:r w:rsidR="00607026">
        <w:rPr>
          <w:rFonts w:asciiTheme="minorHAnsi" w:hAnsiTheme="minorHAnsi" w:cstheme="minorHAnsi"/>
          <w:sz w:val="22"/>
          <w:szCs w:val="22"/>
        </w:rPr>
        <w:t>% de</w:t>
      </w:r>
      <w:r w:rsidR="00BD643D">
        <w:rPr>
          <w:rFonts w:asciiTheme="minorHAnsi" w:hAnsiTheme="minorHAnsi" w:cstheme="minorHAnsi"/>
          <w:sz w:val="22"/>
          <w:szCs w:val="22"/>
        </w:rPr>
        <w:t>l precio de</w:t>
      </w:r>
      <w:r w:rsidR="00607026">
        <w:rPr>
          <w:rFonts w:asciiTheme="minorHAnsi" w:hAnsiTheme="minorHAnsi" w:cstheme="minorHAnsi"/>
          <w:sz w:val="22"/>
          <w:szCs w:val="22"/>
        </w:rPr>
        <w:t xml:space="preserve"> los</w:t>
      </w:r>
      <w:r w:rsidR="006C0F5C">
        <w:rPr>
          <w:rFonts w:asciiTheme="minorHAnsi" w:hAnsiTheme="minorHAnsi" w:cstheme="minorHAnsi"/>
          <w:sz w:val="22"/>
          <w:szCs w:val="22"/>
        </w:rPr>
        <w:t xml:space="preserve"> r</w:t>
      </w:r>
      <w:r w:rsidR="007A75A5">
        <w:rPr>
          <w:rFonts w:asciiTheme="minorHAnsi" w:hAnsiTheme="minorHAnsi" w:cstheme="minorHAnsi"/>
          <w:sz w:val="22"/>
          <w:szCs w:val="22"/>
        </w:rPr>
        <w:t>esiduales</w:t>
      </w:r>
      <w:r w:rsidR="000B2CCD">
        <w:rPr>
          <w:rFonts w:asciiTheme="minorHAnsi" w:hAnsiTheme="minorHAnsi" w:cstheme="minorHAnsi"/>
          <w:sz w:val="22"/>
          <w:szCs w:val="22"/>
        </w:rPr>
        <w:t xml:space="preserve"> R6 y R500</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 xml:space="preserve">superior al </w:t>
      </w:r>
      <w:r w:rsidR="006E3649">
        <w:rPr>
          <w:rFonts w:asciiTheme="minorHAnsi" w:hAnsiTheme="minorHAnsi" w:cstheme="minorHAnsi"/>
          <w:sz w:val="22"/>
          <w:szCs w:val="22"/>
        </w:rPr>
        <w:t>89</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3D9B439B"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w:t>
      </w:r>
      <w:r w:rsidR="00B5107A">
        <w:rPr>
          <w:rFonts w:asciiTheme="minorHAnsi" w:hAnsiTheme="minorHAnsi" w:cstheme="minorHAnsi"/>
          <w:sz w:val="22"/>
          <w:szCs w:val="22"/>
        </w:rPr>
        <w:t>04 de noviembre</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4F8FE9F"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Los precios de los productos marcadores, el terminalling, el descuento por RVO y los ajustes de calidad corresponden al promedio de las diez últimas cotizacion</w:t>
      </w:r>
      <w:r w:rsidR="008D3F1A">
        <w:rPr>
          <w:rFonts w:asciiTheme="minorHAnsi" w:hAnsiTheme="minorHAnsi" w:cstheme="minorHAnsi"/>
          <w:sz w:val="22"/>
          <w:szCs w:val="22"/>
        </w:rPr>
        <w:t>es diarias publicadas por Argus</w:t>
      </w:r>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652AC5F1"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as 10 últimas cotizaciones del t</w:t>
      </w:r>
      <w:r w:rsidRPr="006E3A77">
        <w:rPr>
          <w:rFonts w:asciiTheme="minorHAnsi" w:hAnsiTheme="minorHAnsi" w:cstheme="minorHAnsi"/>
          <w:sz w:val="22"/>
          <w:szCs w:val="22"/>
        </w:rPr>
        <w:t>erminalling de propano refrigerado publicada</w:t>
      </w:r>
      <w:r w:rsidR="00313C92" w:rsidRPr="006E3A77">
        <w:rPr>
          <w:rFonts w:asciiTheme="minorHAnsi" w:hAnsiTheme="minorHAnsi" w:cstheme="minorHAnsi"/>
          <w:sz w:val="22"/>
          <w:szCs w:val="22"/>
        </w:rPr>
        <w:t>s</w:t>
      </w:r>
      <w:r w:rsidR="00032B8E">
        <w:rPr>
          <w:rFonts w:asciiTheme="minorHAnsi" w:hAnsiTheme="minorHAnsi" w:cstheme="minorHAnsi"/>
          <w:sz w:val="22"/>
          <w:szCs w:val="22"/>
        </w:rPr>
        <w:t xml:space="preserve"> por Argus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171A87">
        <w:rPr>
          <w:rFonts w:asciiTheme="minorHAnsi" w:hAnsiTheme="minorHAnsi" w:cstheme="minorHAnsi"/>
          <w:sz w:val="22"/>
          <w:szCs w:val="22"/>
        </w:rPr>
        <w:t>6.33</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Para obtener la tarifa del t</w:t>
      </w:r>
      <w:r w:rsidR="00B45C03" w:rsidRPr="006E3A77">
        <w:rPr>
          <w:rFonts w:asciiTheme="minorHAnsi" w:hAnsiTheme="minorHAnsi" w:cstheme="minorHAnsi"/>
          <w:sz w:val="22"/>
          <w:szCs w:val="22"/>
        </w:rPr>
        <w:t xml:space="preserve">erminalling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05F9BC80"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171A87">
        <w:rPr>
          <w:rFonts w:asciiTheme="minorHAnsi" w:hAnsiTheme="minorHAnsi" w:cstheme="minorHAnsi"/>
          <w:sz w:val="22"/>
          <w:szCs w:val="22"/>
          <w:lang w:val="en-US"/>
        </w:rPr>
        <w:t>6.33</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cent$/Galón</w:t>
      </w:r>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171A87">
        <w:rPr>
          <w:rFonts w:asciiTheme="minorHAnsi" w:hAnsiTheme="minorHAnsi" w:cstheme="minorHAnsi"/>
          <w:sz w:val="22"/>
          <w:szCs w:val="22"/>
          <w:lang w:val="en-US"/>
        </w:rPr>
        <w:t>4.53</w:t>
      </w:r>
      <w:r w:rsidR="006431A2" w:rsidRPr="006E3A77">
        <w:rPr>
          <w:rFonts w:asciiTheme="minorHAnsi" w:hAnsiTheme="minorHAnsi" w:cstheme="minorHAnsi"/>
          <w:sz w:val="22"/>
          <w:szCs w:val="22"/>
          <w:lang w:val="en-US"/>
        </w:rPr>
        <w:t xml:space="preserve"> cent$/Galón</w:t>
      </w:r>
    </w:p>
    <w:p w14:paraId="719454AD" w14:textId="1D6B4C7B"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000E5C">
        <w:rPr>
          <w:rFonts w:asciiTheme="minorHAnsi" w:hAnsiTheme="minorHAnsi" w:cstheme="minorHAnsi"/>
          <w:sz w:val="22"/>
          <w:szCs w:val="22"/>
          <w:lang w:val="en-US"/>
        </w:rPr>
        <w:t>1.</w:t>
      </w:r>
      <w:r w:rsidR="00171A87">
        <w:rPr>
          <w:rFonts w:asciiTheme="minorHAnsi" w:hAnsiTheme="minorHAnsi" w:cstheme="minorHAnsi"/>
          <w:sz w:val="22"/>
          <w:szCs w:val="22"/>
          <w:lang w:val="en-US"/>
        </w:rPr>
        <w:t>90</w:t>
      </w:r>
      <w:r w:rsidRPr="006E3A77">
        <w:rPr>
          <w:rFonts w:asciiTheme="minorHAnsi" w:hAnsiTheme="minorHAnsi" w:cstheme="minorHAnsi"/>
          <w:sz w:val="22"/>
          <w:szCs w:val="22"/>
          <w:lang w:val="en-US"/>
        </w:rPr>
        <w:t xml:space="preserve"> US$/Bl</w:t>
      </w:r>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waterborne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49AD56F4"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B82B9F">
        <w:rPr>
          <w:rFonts w:asciiTheme="minorHAnsi" w:hAnsiTheme="minorHAnsi" w:cstheme="minorHAnsi"/>
          <w:sz w:val="22"/>
          <w:szCs w:val="22"/>
        </w:rPr>
        <w:t>8.</w:t>
      </w:r>
      <w:r w:rsidR="00171A87">
        <w:rPr>
          <w:rFonts w:asciiTheme="minorHAnsi" w:hAnsiTheme="minorHAnsi" w:cstheme="minorHAnsi"/>
          <w:sz w:val="22"/>
          <w:szCs w:val="22"/>
        </w:rPr>
        <w:t>6</w:t>
      </w:r>
      <w:r w:rsidR="00213640">
        <w:rPr>
          <w:rFonts w:asciiTheme="minorHAnsi" w:hAnsiTheme="minorHAnsi" w:cstheme="minorHAnsi"/>
          <w:sz w:val="22"/>
          <w:szCs w:val="22"/>
        </w:rPr>
        <w:t>7</w:t>
      </w:r>
      <w:r w:rsidRPr="006E3A77">
        <w:rPr>
          <w:rFonts w:asciiTheme="minorHAnsi" w:hAnsiTheme="minorHAnsi" w:cstheme="minorHAnsi"/>
          <w:sz w:val="22"/>
          <w:szCs w:val="22"/>
        </w:rPr>
        <w:t xml:space="preserve"> US$/Bl.</w:t>
      </w:r>
    </w:p>
    <w:p w14:paraId="33D23955" w14:textId="6CFF78D1"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213640">
        <w:rPr>
          <w:rFonts w:asciiTheme="minorHAnsi" w:hAnsiTheme="minorHAnsi" w:cstheme="minorHAnsi"/>
          <w:sz w:val="22"/>
          <w:szCs w:val="22"/>
        </w:rPr>
        <w:t>3.</w:t>
      </w:r>
      <w:r w:rsidR="001571D2">
        <w:rPr>
          <w:rFonts w:asciiTheme="minorHAnsi" w:hAnsiTheme="minorHAnsi" w:cstheme="minorHAnsi"/>
          <w:sz w:val="22"/>
          <w:szCs w:val="22"/>
        </w:rPr>
        <w:t>45</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para las gasolinas de 97 y 95 octanos y un ajuste de </w:t>
      </w:r>
      <w:r w:rsidR="00213640">
        <w:rPr>
          <w:rFonts w:asciiTheme="minorHAnsi" w:hAnsiTheme="minorHAnsi" w:cstheme="minorHAnsi"/>
          <w:sz w:val="22"/>
          <w:szCs w:val="22"/>
        </w:rPr>
        <w:t>2.</w:t>
      </w:r>
      <w:r w:rsidR="001571D2">
        <w:rPr>
          <w:rFonts w:asciiTheme="minorHAnsi" w:hAnsiTheme="minorHAnsi" w:cstheme="minorHAnsi"/>
          <w:sz w:val="22"/>
          <w:szCs w:val="22"/>
        </w:rPr>
        <w:t>72</w:t>
      </w:r>
      <w:r w:rsidRPr="006E3A77">
        <w:rPr>
          <w:rFonts w:asciiTheme="minorHAnsi" w:hAnsiTheme="minorHAnsi" w:cstheme="minorHAnsi"/>
          <w:sz w:val="22"/>
          <w:szCs w:val="22"/>
        </w:rPr>
        <w:t xml:space="preserve"> US$/Bl para las gasolinas de 90 y 84 octanos</w:t>
      </w:r>
    </w:p>
    <w:p w14:paraId="22EE480C" w14:textId="28301F15"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6A73AC">
        <w:rPr>
          <w:rFonts w:asciiTheme="minorHAnsi" w:hAnsiTheme="minorHAnsi" w:cstheme="minorHAnsi"/>
          <w:sz w:val="22"/>
          <w:szCs w:val="22"/>
        </w:rPr>
        <w:t>2.</w:t>
      </w:r>
      <w:r w:rsidR="001571D2">
        <w:rPr>
          <w:rFonts w:asciiTheme="minorHAnsi" w:hAnsiTheme="minorHAnsi" w:cstheme="minorHAnsi"/>
          <w:sz w:val="22"/>
          <w:szCs w:val="22"/>
        </w:rPr>
        <w:t>36</w:t>
      </w:r>
      <w:r w:rsidRPr="006E3A77">
        <w:rPr>
          <w:rFonts w:asciiTheme="minorHAnsi" w:hAnsiTheme="minorHAnsi" w:cstheme="minorHAnsi"/>
          <w:sz w:val="22"/>
          <w:szCs w:val="22"/>
        </w:rPr>
        <w:t xml:space="preserve"> 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1571D2">
        <w:rPr>
          <w:rFonts w:asciiTheme="minorHAnsi" w:hAnsiTheme="minorHAnsi" w:cstheme="minorHAnsi"/>
          <w:sz w:val="22"/>
          <w:szCs w:val="22"/>
        </w:rPr>
        <w:t>12.72</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 xml:space="preserve">US$/Bl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waterborne sin RVO del Ult</w:t>
      </w:r>
      <w:r w:rsidR="008924D6" w:rsidRPr="006E3A77">
        <w:rPr>
          <w:rFonts w:asciiTheme="minorHAnsi" w:hAnsiTheme="minorHAnsi" w:cstheme="minorHAnsi"/>
          <w:sz w:val="22"/>
          <w:szCs w:val="22"/>
        </w:rPr>
        <w:t>ra Sulfur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52C604A8"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B82B9F">
        <w:rPr>
          <w:rFonts w:asciiTheme="minorHAnsi" w:hAnsiTheme="minorHAnsi" w:cstheme="minorHAnsi"/>
          <w:sz w:val="22"/>
          <w:szCs w:val="22"/>
        </w:rPr>
        <w:t>8.</w:t>
      </w:r>
      <w:r w:rsidR="00171A87">
        <w:rPr>
          <w:rFonts w:asciiTheme="minorHAnsi" w:hAnsiTheme="minorHAnsi" w:cstheme="minorHAnsi"/>
          <w:sz w:val="22"/>
          <w:szCs w:val="22"/>
        </w:rPr>
        <w:t>6</w:t>
      </w:r>
      <w:r w:rsidR="00213640">
        <w:rPr>
          <w:rFonts w:asciiTheme="minorHAnsi" w:hAnsiTheme="minorHAnsi" w:cstheme="minorHAnsi"/>
          <w:sz w:val="22"/>
          <w:szCs w:val="22"/>
        </w:rPr>
        <w:t>7</w:t>
      </w:r>
      <w:r w:rsidR="00856E55" w:rsidRPr="006E3A77">
        <w:rPr>
          <w:rFonts w:asciiTheme="minorHAnsi" w:hAnsiTheme="minorHAnsi" w:cstheme="minorHAnsi"/>
          <w:sz w:val="22"/>
          <w:szCs w:val="22"/>
        </w:rPr>
        <w:t xml:space="preserve"> </w:t>
      </w:r>
      <w:r w:rsidRPr="006E3A77">
        <w:rPr>
          <w:rFonts w:asciiTheme="minorHAnsi" w:hAnsiTheme="minorHAnsi" w:cstheme="minorHAnsi"/>
          <w:sz w:val="22"/>
          <w:szCs w:val="22"/>
        </w:rPr>
        <w:t>US$/Bl.</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Ajuste de Calidad por Cetano</w:t>
      </w:r>
      <w:r w:rsidRPr="006E3A77">
        <w:rPr>
          <w:rFonts w:asciiTheme="minorHAnsi" w:hAnsiTheme="minorHAnsi" w:cstheme="minorHAnsi"/>
          <w:sz w:val="22"/>
          <w:szCs w:val="22"/>
        </w:rPr>
        <w:t>: Se determinó un ajuste de 0.37 US$/Bl.</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precio waterborne del Fuel Oil N°6 con 3% S.</w:t>
      </w:r>
    </w:p>
    <w:p w14:paraId="06561C67" w14:textId="29836510"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8A1382">
        <w:rPr>
          <w:rFonts w:asciiTheme="minorHAnsi" w:hAnsiTheme="minorHAnsi" w:cstheme="minorHAnsi"/>
          <w:sz w:val="22"/>
          <w:szCs w:val="22"/>
        </w:rPr>
        <w:t>2.67</w:t>
      </w:r>
      <w:r w:rsidRPr="006E3A77">
        <w:rPr>
          <w:rFonts w:asciiTheme="minorHAnsi" w:hAnsiTheme="minorHAnsi" w:cstheme="minorHAnsi"/>
          <w:sz w:val="22"/>
          <w:szCs w:val="22"/>
        </w:rPr>
        <w:t xml:space="preserve"> US$/Bl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6DF19C52" w:rsidR="004F74EE" w:rsidRDefault="008A1382" w:rsidP="004F74EE">
      <w:pPr>
        <w:pBdr>
          <w:top w:val="single" w:sz="4" w:space="1" w:color="auto"/>
          <w:bottom w:val="single" w:sz="4" w:space="1" w:color="auto"/>
        </w:pBdr>
        <w:jc w:val="center"/>
        <w:rPr>
          <w:rFonts w:ascii="Calibri" w:hAnsi="Calibri" w:cs="Calibri"/>
          <w:sz w:val="22"/>
          <w:szCs w:val="22"/>
          <w:lang w:val="es-PE" w:eastAsia="en-US"/>
        </w:rPr>
      </w:pPr>
      <w:r w:rsidRPr="008A1382">
        <w:rPr>
          <w:noProof/>
          <w:lang w:val="en-US" w:eastAsia="en-US"/>
        </w:rPr>
        <w:drawing>
          <wp:inline distT="0" distB="0" distL="0" distR="0" wp14:anchorId="497F1411" wp14:editId="04D7D668">
            <wp:extent cx="8173085" cy="3058059"/>
            <wp:effectExtent l="0" t="0" r="0" b="952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173085" cy="3058059"/>
                    </a:xfrm>
                    <a:prstGeom prst="rect">
                      <a:avLst/>
                    </a:prstGeom>
                    <a:noFill/>
                    <a:ln>
                      <a:noFill/>
                    </a:ln>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(4) El advalorem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B4E04">
        <w:trPr>
          <w:trHeight w:val="5052"/>
        </w:trPr>
        <w:tc>
          <w:tcPr>
            <w:tcW w:w="5693" w:type="dxa"/>
            <w:tcBorders>
              <w:top w:val="single" w:sz="4" w:space="0" w:color="auto"/>
              <w:bottom w:val="single" w:sz="4" w:space="0" w:color="auto"/>
            </w:tcBorders>
            <w:shd w:val="clear" w:color="auto" w:fill="auto"/>
          </w:tcPr>
          <w:p w14:paraId="5FE1CE67" w14:textId="31EA6056" w:rsidR="00F85D23" w:rsidRPr="002B3648" w:rsidRDefault="008A1382" w:rsidP="00FB4E04">
            <w:pPr>
              <w:ind w:left="-618" w:right="-654"/>
              <w:jc w:val="center"/>
              <w:rPr>
                <w:rFonts w:asciiTheme="minorHAnsi" w:hAnsiTheme="minorHAnsi" w:cstheme="minorHAnsi"/>
              </w:rPr>
            </w:pPr>
            <w:r w:rsidRPr="008A1382">
              <w:rPr>
                <w:rFonts w:asciiTheme="minorHAnsi" w:hAnsiTheme="minorHAnsi" w:cstheme="minorHAnsi"/>
                <w:noProof/>
                <w:lang w:val="en-US" w:eastAsia="en-US"/>
              </w:rPr>
              <w:drawing>
                <wp:inline distT="0" distB="0" distL="0" distR="0" wp14:anchorId="0D479DC1" wp14:editId="359F0E0A">
                  <wp:extent cx="3524250" cy="2809875"/>
                  <wp:effectExtent l="0" t="0" r="0" b="952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0" cy="2809875"/>
                          </a:xfrm>
                          <a:prstGeom prst="rect">
                            <a:avLst/>
                          </a:prstGeom>
                          <a:noFill/>
                          <a:ln>
                            <a:noFill/>
                          </a:ln>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EF5671">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64BBDCF4" w:rsidR="00EF5671" w:rsidRPr="00CE793E" w:rsidRDefault="008A1382" w:rsidP="00FB4E04">
            <w:pPr>
              <w:ind w:left="-634" w:right="-654"/>
              <w:jc w:val="center"/>
              <w:rPr>
                <w:rFonts w:asciiTheme="minorHAnsi" w:hAnsiTheme="minorHAnsi" w:cstheme="minorHAnsi"/>
                <w:lang w:val="es-MX"/>
              </w:rPr>
            </w:pPr>
            <w:r w:rsidRPr="008A1382">
              <w:rPr>
                <w:rFonts w:asciiTheme="minorHAnsi" w:hAnsiTheme="minorHAnsi" w:cstheme="minorHAnsi"/>
                <w:noProof/>
                <w:lang w:val="en-US" w:eastAsia="en-US"/>
              </w:rPr>
              <w:drawing>
                <wp:inline distT="0" distB="0" distL="0" distR="0" wp14:anchorId="187D1E00" wp14:editId="30861471">
                  <wp:extent cx="5576570" cy="2461846"/>
                  <wp:effectExtent l="0" t="0" r="508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84008" cy="2465129"/>
                          </a:xfrm>
                          <a:prstGeom prst="rect">
                            <a:avLst/>
                          </a:prstGeom>
                          <a:noFill/>
                          <a:ln>
                            <a:noFill/>
                          </a:ln>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64B57D5C" w:rsidR="000A6BC2" w:rsidRPr="00737F8F" w:rsidRDefault="008A1382"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8A1382">
        <w:rPr>
          <w:noProof/>
          <w:lang w:val="en-US" w:eastAsia="en-US"/>
        </w:rPr>
        <w:drawing>
          <wp:inline distT="0" distB="0" distL="0" distR="0" wp14:anchorId="7DDFF4CC" wp14:editId="2AE3FDF5">
            <wp:extent cx="5610225" cy="2326640"/>
            <wp:effectExtent l="0" t="0" r="9525"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1222" cy="2327053"/>
                    </a:xfrm>
                    <a:prstGeom prst="rect">
                      <a:avLst/>
                    </a:prstGeom>
                    <a:noFill/>
                    <a:ln>
                      <a:noFill/>
                    </a:ln>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1AB13F00" w:rsidR="005C4A97" w:rsidRDefault="008A1382" w:rsidP="00604758">
      <w:pPr>
        <w:spacing w:line="0" w:lineRule="atLeast"/>
        <w:ind w:right="-567"/>
        <w:jc w:val="both"/>
        <w:rPr>
          <w:rFonts w:asciiTheme="minorHAnsi" w:hAnsiTheme="minorHAnsi" w:cstheme="minorHAnsi"/>
          <w:i/>
          <w:sz w:val="18"/>
          <w:szCs w:val="18"/>
        </w:rPr>
      </w:pPr>
      <w:r w:rsidRPr="008A1382">
        <w:rPr>
          <w:noProof/>
          <w:lang w:val="en-US" w:eastAsia="en-US"/>
        </w:rPr>
        <w:drawing>
          <wp:inline distT="0" distB="0" distL="0" distR="0" wp14:anchorId="7A0600E5" wp14:editId="76FA665C">
            <wp:extent cx="6149591" cy="2266729"/>
            <wp:effectExtent l="0" t="0" r="3810" b="63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61951" cy="2271285"/>
                    </a:xfrm>
                    <a:prstGeom prst="rect">
                      <a:avLst/>
                    </a:prstGeom>
                    <a:noFill/>
                    <a:ln>
                      <a:noFill/>
                    </a:ln>
                  </pic:spPr>
                </pic:pic>
              </a:graphicData>
            </a:graphic>
          </wp:inline>
        </w:drawing>
      </w:r>
    </w:p>
    <w:p w14:paraId="6C3D2D4D" w14:textId="1027E1CA" w:rsidR="00475D7F" w:rsidRPr="002B3648" w:rsidRDefault="00946505" w:rsidP="004F1CFE">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01FFC1C3" w14:textId="77777777" w:rsidR="008D40C4" w:rsidRDefault="00DC168B" w:rsidP="002261BC">
      <w:pPr>
        <w:ind w:left="-709"/>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25AF80E2" w:rsidR="007B04A3" w:rsidRDefault="008A1382" w:rsidP="002261BC">
      <w:pPr>
        <w:ind w:left="-851"/>
        <w:rPr>
          <w:rFonts w:asciiTheme="minorHAnsi" w:hAnsiTheme="minorHAnsi" w:cstheme="minorHAnsi"/>
          <w:i/>
          <w:sz w:val="18"/>
          <w:szCs w:val="18"/>
        </w:rPr>
      </w:pPr>
      <w:r w:rsidRPr="008A1382">
        <w:rPr>
          <w:noProof/>
          <w:lang w:val="en-US" w:eastAsia="en-US"/>
        </w:rPr>
        <w:drawing>
          <wp:inline distT="0" distB="0" distL="0" distR="0" wp14:anchorId="3E5E99D1" wp14:editId="622340C2">
            <wp:extent cx="6842760" cy="7968343"/>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844476" cy="7970341"/>
                    </a:xfrm>
                    <a:prstGeom prst="rect">
                      <a:avLst/>
                    </a:prstGeom>
                    <a:noFill/>
                    <a:ln>
                      <a:noFill/>
                    </a:ln>
                  </pic:spPr>
                </pic:pic>
              </a:graphicData>
            </a:graphic>
          </wp:inline>
        </w:drawing>
      </w:r>
    </w:p>
    <w:p w14:paraId="00F47A69" w14:textId="4BCE8B96" w:rsidR="00DB4BFD" w:rsidRDefault="00DC168B" w:rsidP="00550489">
      <w:pPr>
        <w:pStyle w:val="xl37"/>
        <w:spacing w:before="0" w:beforeAutospacing="0" w:after="0" w:afterAutospacing="0"/>
        <w:ind w:left="-851"/>
        <w:rPr>
          <w:rFonts w:asciiTheme="minorHAnsi" w:hAnsiTheme="minorHAnsi" w:cstheme="minorHAnsi"/>
          <w:b w:val="0"/>
          <w:i/>
          <w:iCs/>
          <w:sz w:val="16"/>
          <w:szCs w:val="16"/>
        </w:rPr>
      </w:pPr>
      <w:r w:rsidRPr="00DC168B">
        <w:rPr>
          <w:rFonts w:asciiTheme="minorHAnsi" w:eastAsia="Times New Roman" w:hAnsiTheme="minorHAnsi" w:cstheme="minorHAnsi"/>
          <w:bCs w:val="0"/>
          <w:i/>
          <w:iCs/>
          <w:sz w:val="16"/>
          <w:szCs w:val="16"/>
        </w:rPr>
        <w:t xml:space="preserve"> </w:t>
      </w:r>
      <w:r w:rsidR="0022589A">
        <w:rPr>
          <w:rFonts w:asciiTheme="minorHAnsi" w:eastAsia="Times New Roman" w:hAnsiTheme="minorHAnsi" w:cstheme="minorHAnsi"/>
          <w:bCs w:val="0"/>
          <w:i/>
          <w:iCs/>
          <w:sz w:val="16"/>
          <w:szCs w:val="16"/>
        </w:rPr>
        <w:t xml:space="preserve">   </w:t>
      </w:r>
      <w:r w:rsidRPr="002B3648">
        <w:rPr>
          <w:rFonts w:asciiTheme="minorHAnsi" w:eastAsia="Times New Roman" w:hAnsiTheme="minorHAnsi" w:cstheme="minorHAnsi"/>
          <w:bCs w:val="0"/>
          <w:i/>
          <w:iCs/>
          <w:sz w:val="16"/>
          <w:szCs w:val="16"/>
        </w:rPr>
        <w:t>Fuente</w:t>
      </w:r>
      <w:r>
        <w:rPr>
          <w:rFonts w:asciiTheme="minorHAnsi" w:eastAsia="Times New Roman" w:hAnsiTheme="minorHAnsi" w:cstheme="minorHAnsi"/>
          <w:b w:val="0"/>
          <w:bCs w:val="0"/>
          <w:i/>
          <w:iCs/>
          <w:sz w:val="16"/>
          <w:szCs w:val="16"/>
        </w:rPr>
        <w:t xml:space="preserve">: </w:t>
      </w:r>
      <w:r w:rsidRPr="002B3648">
        <w:rPr>
          <w:rFonts w:asciiTheme="minorHAnsi" w:eastAsia="Times New Roman" w:hAnsiTheme="minorHAnsi" w:cstheme="minorHAnsi"/>
          <w:b w:val="0"/>
          <w:bCs w:val="0"/>
          <w:i/>
          <w:iCs/>
          <w:sz w:val="16"/>
          <w:szCs w:val="16"/>
        </w:rPr>
        <w:t>O</w:t>
      </w:r>
      <w:r w:rsidR="00E108B5">
        <w:rPr>
          <w:rFonts w:asciiTheme="minorHAnsi" w:eastAsia="Times New Roman" w:hAnsiTheme="minorHAnsi" w:cstheme="minorHAnsi"/>
          <w:b w:val="0"/>
          <w:bCs w:val="0"/>
          <w:i/>
          <w:iCs/>
          <w:sz w:val="16"/>
          <w:szCs w:val="16"/>
        </w:rPr>
        <w:t>sinergmin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DB4BFD">
        <w:rPr>
          <w:rFonts w:asciiTheme="minorHAnsi" w:hAnsiTheme="minorHAnsi" w:cstheme="minorHAnsi"/>
          <w:i/>
          <w:iCs/>
          <w:sz w:val="16"/>
          <w:szCs w:val="16"/>
        </w:rPr>
        <w:br w:type="page"/>
      </w:r>
      <w:bookmarkStart w:id="3" w:name="_GoBack"/>
      <w:bookmarkEnd w:id="3"/>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31252B3F" w14:textId="53D0DA1C" w:rsidR="009D445C" w:rsidRDefault="00243B98" w:rsidP="00214BFB">
      <w:pPr>
        <w:jc w:val="center"/>
        <w:rPr>
          <w:rFonts w:asciiTheme="minorHAnsi" w:hAnsiTheme="minorHAnsi" w:cstheme="minorHAnsi"/>
          <w:sz w:val="22"/>
          <w:szCs w:val="22"/>
        </w:rPr>
      </w:pPr>
      <w:r>
        <w:rPr>
          <w:noProof/>
          <w:lang w:val="en-US" w:eastAsia="en-US"/>
        </w:rPr>
        <w:drawing>
          <wp:inline distT="0" distB="0" distL="0" distR="0" wp14:anchorId="77B21FCD" wp14:editId="7BD0D0E2">
            <wp:extent cx="4636987" cy="2476500"/>
            <wp:effectExtent l="19050" t="19050" r="11430" b="19050"/>
            <wp:docPr id="27" name="Imagen 27"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S. crude oil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50466" cy="2483699"/>
                    </a:xfrm>
                    <a:prstGeom prst="rect">
                      <a:avLst/>
                    </a:prstGeom>
                    <a:noFill/>
                    <a:ln>
                      <a:solidFill>
                        <a:schemeClr val="accent1"/>
                      </a:solidFill>
                    </a:ln>
                  </pic:spPr>
                </pic:pic>
              </a:graphicData>
            </a:graphic>
          </wp:inline>
        </w:drawing>
      </w:r>
    </w:p>
    <w:p w14:paraId="0E4C4954" w14:textId="2612F7B7" w:rsidR="00243B98" w:rsidRDefault="00243B98" w:rsidP="00214BFB">
      <w:pPr>
        <w:jc w:val="center"/>
        <w:rPr>
          <w:rFonts w:asciiTheme="minorHAnsi" w:hAnsiTheme="minorHAnsi" w:cstheme="minorHAnsi"/>
          <w:sz w:val="22"/>
          <w:szCs w:val="22"/>
        </w:rPr>
      </w:pPr>
    </w:p>
    <w:p w14:paraId="40B5F734" w14:textId="46985E5C" w:rsidR="00243B98" w:rsidRDefault="00243B98" w:rsidP="00214BFB">
      <w:pPr>
        <w:jc w:val="center"/>
        <w:rPr>
          <w:rFonts w:asciiTheme="minorHAnsi" w:hAnsiTheme="minorHAnsi" w:cstheme="minorHAnsi"/>
          <w:sz w:val="22"/>
          <w:szCs w:val="22"/>
        </w:rPr>
      </w:pPr>
      <w:r>
        <w:rPr>
          <w:noProof/>
          <w:lang w:val="en-US" w:eastAsia="en-US"/>
        </w:rPr>
        <w:drawing>
          <wp:inline distT="0" distB="0" distL="0" distR="0" wp14:anchorId="5E68BA93" wp14:editId="72CA7A5B">
            <wp:extent cx="4630538" cy="2473056"/>
            <wp:effectExtent l="19050" t="19050" r="17780" b="22860"/>
            <wp:docPr id="26" name="Imagen 26"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 gasoli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47212" cy="2481961"/>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1D18B7C8" w:rsidR="005932D3" w:rsidRDefault="00243B98" w:rsidP="00214BFB">
      <w:pPr>
        <w:jc w:val="center"/>
        <w:rPr>
          <w:rFonts w:asciiTheme="minorHAnsi" w:hAnsiTheme="minorHAnsi" w:cstheme="minorHAnsi"/>
          <w:sz w:val="22"/>
          <w:szCs w:val="22"/>
        </w:rPr>
      </w:pPr>
      <w:r>
        <w:rPr>
          <w:noProof/>
          <w:lang w:val="en-US" w:eastAsia="en-US"/>
        </w:rPr>
        <w:drawing>
          <wp:inline distT="0" distB="0" distL="0" distR="0" wp14:anchorId="69141CCE" wp14:editId="5498C541">
            <wp:extent cx="4653632" cy="2485390"/>
            <wp:effectExtent l="19050" t="19050" r="13970" b="10160"/>
            <wp:docPr id="30" name="Imagen 30"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S. distillat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68380" cy="2493267"/>
                    </a:xfrm>
                    <a:prstGeom prst="rect">
                      <a:avLst/>
                    </a:prstGeom>
                    <a:noFill/>
                    <a:ln>
                      <a:solidFill>
                        <a:schemeClr val="accent1"/>
                      </a:solidFill>
                    </a:ln>
                  </pic:spPr>
                </pic:pic>
              </a:graphicData>
            </a:graphic>
          </wp:inline>
        </w:drawing>
      </w:r>
    </w:p>
    <w:p w14:paraId="17D71A90" w14:textId="73DD7F99" w:rsidR="006D325E" w:rsidRDefault="00CA3C87" w:rsidP="00AF2226">
      <w:pPr>
        <w:ind w:left="993"/>
        <w:jc w:val="both"/>
        <w:rPr>
          <w:rFonts w:asciiTheme="minorHAnsi" w:hAnsiTheme="minorHAnsi" w:cstheme="minorHAnsi"/>
          <w:b/>
          <w:iCs/>
          <w:u w:val="single"/>
        </w:rPr>
      </w:pPr>
      <w:r>
        <w:rPr>
          <w:rFonts w:asciiTheme="minorHAnsi" w:hAnsiTheme="minorHAnsi" w:cstheme="minorHAnsi"/>
          <w:b/>
          <w:bCs/>
          <w:i/>
          <w:iCs/>
          <w:sz w:val="16"/>
          <w:szCs w:val="16"/>
        </w:rPr>
        <w:br w:type="page"/>
      </w:r>
      <w:r w:rsidR="00AD56DF">
        <w:rPr>
          <w:noProof/>
          <w:lang w:val="en-US" w:eastAsia="en-US"/>
        </w:rPr>
        <w:drawing>
          <wp:inline distT="0" distB="0" distL="0" distR="0" wp14:anchorId="3A3F6589" wp14:editId="2E1EAC5F">
            <wp:extent cx="4547815" cy="2428875"/>
            <wp:effectExtent l="19050" t="19050" r="24765" b="9525"/>
            <wp:docPr id="31" name="Imagen 31"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 propane/propylen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59499" cy="2435115"/>
                    </a:xfrm>
                    <a:prstGeom prst="rect">
                      <a:avLst/>
                    </a:prstGeom>
                    <a:noFill/>
                    <a:ln>
                      <a:solidFill>
                        <a:schemeClr val="accent1"/>
                      </a:solidFill>
                    </a:ln>
                  </pic:spPr>
                </pic:pic>
              </a:graphicData>
            </a:graphic>
          </wp:inline>
        </w:drawing>
      </w: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15FD69E6" w:rsidR="006D325E" w:rsidRDefault="006D325E">
      <w:pPr>
        <w:rPr>
          <w:rFonts w:asciiTheme="minorHAnsi" w:hAnsiTheme="minorHAnsi" w:cstheme="minorHAnsi"/>
          <w:b/>
          <w:iCs/>
          <w:u w:val="single"/>
        </w:rPr>
      </w:pP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n-US" w:eastAsia="en-US"/>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CE004F" w:rsidP="00CA3C87">
      <w:pPr>
        <w:rPr>
          <w:rFonts w:asciiTheme="minorHAnsi" w:hAnsiTheme="minorHAnsi" w:cstheme="minorHAnsi"/>
          <w:b/>
          <w:bCs/>
          <w:i/>
          <w:iCs/>
          <w:sz w:val="16"/>
          <w:szCs w:val="16"/>
        </w:rPr>
      </w:pPr>
      <w:hyperlink r:id="rId31"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2"/>
      <w:footerReference w:type="default" r:id="rId33"/>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56DA9" w14:textId="77777777" w:rsidR="00CE004F" w:rsidRDefault="00CE004F" w:rsidP="006502B5">
      <w:r>
        <w:separator/>
      </w:r>
    </w:p>
  </w:endnote>
  <w:endnote w:type="continuationSeparator" w:id="0">
    <w:p w14:paraId="50B23DFC" w14:textId="77777777" w:rsidR="00CE004F" w:rsidRDefault="00CE004F"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398F8897"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3C7DFB">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2A6BBBFD" wp14:editId="0217B1B4">
              <wp:extent cx="445770" cy="5316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0D85DEE4"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CE004F">
          <w:rPr>
            <w:rFonts w:asciiTheme="minorHAnsi" w:hAnsiTheme="minorHAnsi" w:cstheme="minorHAnsi"/>
            <w:b/>
            <w:noProof/>
            <w:color w:val="002060"/>
          </w:rPr>
          <w:t>1</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n-US" w:eastAsia="en-US"/>
          </w:rPr>
          <w:drawing>
            <wp:inline distT="0" distB="0" distL="0" distR="0" wp14:anchorId="3BEAC480" wp14:editId="38812915">
              <wp:extent cx="446617" cy="51467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n-US" w:eastAsia="en-US"/>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1D08FD72"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3C7DFB">
          <w:rPr>
            <w:rFonts w:asciiTheme="minorHAnsi" w:hAnsiTheme="minorHAnsi" w:cstheme="minorHAnsi"/>
            <w:b/>
            <w:noProof/>
            <w:color w:val="002060"/>
            <w:lang w:val="en-US"/>
          </w:rPr>
          <w:t>13</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n-US" w:eastAsia="en-US"/>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D54ED" w14:textId="77777777" w:rsidR="00CE004F" w:rsidRDefault="00CE004F" w:rsidP="006502B5">
      <w:r>
        <w:separator/>
      </w:r>
    </w:p>
  </w:footnote>
  <w:footnote w:type="continuationSeparator" w:id="0">
    <w:p w14:paraId="2DD5FBBF" w14:textId="77777777" w:rsidR="00CE004F" w:rsidRDefault="00CE004F"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0C8E34CD" w14:textId="69C6C24F" w:rsidR="00D115A0" w:rsidRPr="00D115A0" w:rsidRDefault="00D115A0" w:rsidP="00D115A0">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1" w:name="_Hlk68946101"/>
    <w:bookmarkStart w:id="2" w:name="_Hlk68946102"/>
    <w:r>
      <w:rPr>
        <w:noProof/>
        <w:lang w:val="en-US" w:eastAsia="en-US"/>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n-US" w:eastAsia="en-US"/>
      </w:rPr>
      <w:drawing>
        <wp:inline distT="0" distB="0" distL="0" distR="0" wp14:anchorId="1DAAEAD5" wp14:editId="40FFA50D">
          <wp:extent cx="2438400" cy="571500"/>
          <wp:effectExtent l="0" t="0" r="0" b="0"/>
          <wp:docPr id="20" name="Imagen 2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1"/>
    <w:bookmarkEnd w:id="2"/>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n-US" w:eastAsia="en-US"/>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n-US" w:eastAsia="en-US"/>
      </w:rPr>
      <w:drawing>
        <wp:inline distT="0" distB="0" distL="0" distR="0" wp14:anchorId="0A5D6D85" wp14:editId="3D3F2E94">
          <wp:extent cx="2438400" cy="571500"/>
          <wp:effectExtent l="0" t="0" r="0" b="0"/>
          <wp:docPr id="28" name="Imagen 2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n-US" w:eastAsia="en-US"/>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n-US" w:eastAsia="en-US"/>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1585A"/>
    <w:multiLevelType w:val="hybridMultilevel"/>
    <w:tmpl w:val="8F18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6"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1"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6"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0"/>
  </w:num>
  <w:num w:numId="3">
    <w:abstractNumId w:val="11"/>
  </w:num>
  <w:num w:numId="4">
    <w:abstractNumId w:val="0"/>
  </w:num>
  <w:num w:numId="5">
    <w:abstractNumId w:val="13"/>
  </w:num>
  <w:num w:numId="6">
    <w:abstractNumId w:val="16"/>
  </w:num>
  <w:num w:numId="7">
    <w:abstractNumId w:val="15"/>
  </w:num>
  <w:num w:numId="8">
    <w:abstractNumId w:val="9"/>
  </w:num>
  <w:num w:numId="9">
    <w:abstractNumId w:val="14"/>
  </w:num>
  <w:num w:numId="10">
    <w:abstractNumId w:val="5"/>
  </w:num>
  <w:num w:numId="11">
    <w:abstractNumId w:val="12"/>
  </w:num>
  <w:num w:numId="12">
    <w:abstractNumId w:val="4"/>
  </w:num>
  <w:num w:numId="13">
    <w:abstractNumId w:val="2"/>
  </w:num>
  <w:num w:numId="14">
    <w:abstractNumId w:val="6"/>
  </w:num>
  <w:num w:numId="15">
    <w:abstractNumId w:val="8"/>
  </w:num>
  <w:num w:numId="16">
    <w:abstractNumId w:val="17"/>
  </w:num>
  <w:num w:numId="17">
    <w:abstractNumId w:val="18"/>
  </w:num>
  <w:num w:numId="18">
    <w:abstractNumId w:val="7"/>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567"/>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700"/>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2FB7"/>
    <w:rsid w:val="000931DC"/>
    <w:rsid w:val="00093852"/>
    <w:rsid w:val="00093973"/>
    <w:rsid w:val="00093C66"/>
    <w:rsid w:val="00093E91"/>
    <w:rsid w:val="00094185"/>
    <w:rsid w:val="00094297"/>
    <w:rsid w:val="00094571"/>
    <w:rsid w:val="000947F3"/>
    <w:rsid w:val="000948D9"/>
    <w:rsid w:val="00094BAE"/>
    <w:rsid w:val="00094DE1"/>
    <w:rsid w:val="00095047"/>
    <w:rsid w:val="0009539C"/>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59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6B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1D2"/>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A87"/>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F17"/>
    <w:rsid w:val="00182FAF"/>
    <w:rsid w:val="001830A8"/>
    <w:rsid w:val="001831C3"/>
    <w:rsid w:val="001832CC"/>
    <w:rsid w:val="00183414"/>
    <w:rsid w:val="0018356C"/>
    <w:rsid w:val="00183714"/>
    <w:rsid w:val="00183819"/>
    <w:rsid w:val="001839E1"/>
    <w:rsid w:val="00183A33"/>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640"/>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B98"/>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CBA"/>
    <w:rsid w:val="00300DBC"/>
    <w:rsid w:val="00300F73"/>
    <w:rsid w:val="003010FF"/>
    <w:rsid w:val="0030130C"/>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5C1"/>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C7DFB"/>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59E"/>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5064"/>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CFE"/>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0F3"/>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489"/>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2D0"/>
    <w:rsid w:val="005725F8"/>
    <w:rsid w:val="00572688"/>
    <w:rsid w:val="00572745"/>
    <w:rsid w:val="00572C56"/>
    <w:rsid w:val="00572E1C"/>
    <w:rsid w:val="00572FBD"/>
    <w:rsid w:val="0057315C"/>
    <w:rsid w:val="0057325B"/>
    <w:rsid w:val="00573417"/>
    <w:rsid w:val="005734EF"/>
    <w:rsid w:val="0057363C"/>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40"/>
    <w:rsid w:val="00673D91"/>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E77"/>
    <w:rsid w:val="006E1F1A"/>
    <w:rsid w:val="006E21F1"/>
    <w:rsid w:val="006E22EA"/>
    <w:rsid w:val="006E24CF"/>
    <w:rsid w:val="006E2830"/>
    <w:rsid w:val="006E29DA"/>
    <w:rsid w:val="006E2ADD"/>
    <w:rsid w:val="006E2DB3"/>
    <w:rsid w:val="006E2FFB"/>
    <w:rsid w:val="006E31CD"/>
    <w:rsid w:val="006E334E"/>
    <w:rsid w:val="006E3496"/>
    <w:rsid w:val="006E3649"/>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A6E"/>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76A"/>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56AF"/>
    <w:rsid w:val="00795B3B"/>
    <w:rsid w:val="00795D52"/>
    <w:rsid w:val="007960D3"/>
    <w:rsid w:val="00796332"/>
    <w:rsid w:val="0079634E"/>
    <w:rsid w:val="00796578"/>
    <w:rsid w:val="0079696B"/>
    <w:rsid w:val="00797412"/>
    <w:rsid w:val="007978F1"/>
    <w:rsid w:val="007979EE"/>
    <w:rsid w:val="00797B4F"/>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8A"/>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A8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3C1"/>
    <w:rsid w:val="0087290B"/>
    <w:rsid w:val="00872F5F"/>
    <w:rsid w:val="00872FD5"/>
    <w:rsid w:val="00873053"/>
    <w:rsid w:val="00873156"/>
    <w:rsid w:val="0087334C"/>
    <w:rsid w:val="008735C9"/>
    <w:rsid w:val="008737A7"/>
    <w:rsid w:val="0087382E"/>
    <w:rsid w:val="0087386D"/>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034"/>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2"/>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122"/>
    <w:rsid w:val="008B0959"/>
    <w:rsid w:val="008B0A3E"/>
    <w:rsid w:val="008B0AA4"/>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1FD"/>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A5"/>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772"/>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B80"/>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70C"/>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2AB"/>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261"/>
    <w:rsid w:val="009F52E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2FB"/>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4"/>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3EB2"/>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5127"/>
    <w:rsid w:val="00AD56DF"/>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D97"/>
    <w:rsid w:val="00B132CF"/>
    <w:rsid w:val="00B132F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46F"/>
    <w:rsid w:val="00B339AD"/>
    <w:rsid w:val="00B33B57"/>
    <w:rsid w:val="00B33C0C"/>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7A"/>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5C5"/>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7AB"/>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262"/>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4F"/>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9DA"/>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4A8"/>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004"/>
    <w:rsid w:val="00DE65D2"/>
    <w:rsid w:val="00DE6640"/>
    <w:rsid w:val="00DE67F0"/>
    <w:rsid w:val="00DE67F8"/>
    <w:rsid w:val="00DE6844"/>
    <w:rsid w:val="00DE71A4"/>
    <w:rsid w:val="00DE730B"/>
    <w:rsid w:val="00DE7756"/>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7E"/>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527"/>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73"/>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7E6"/>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53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gif"/><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e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emf"/><Relationship Id="rId28" Type="http://schemas.openxmlformats.org/officeDocument/2006/relationships/image" Target="media/image16.gif"/><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hyperlink" Target="https://www.osinergmin.gob.pe/seccion/centro_documental/gart/precios_referencia_banda_precios/PreciosReferencia/Informe-Tecnico-479-2021-GRT.pdf" TargetMode="Externa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emf"/><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3524E-3801-46AC-A936-1E210F6E3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15</Pages>
  <Words>3204</Words>
  <Characters>18265</Characters>
  <Application>Microsoft Office Word</Application>
  <DocSecurity>0</DocSecurity>
  <Lines>152</Lines>
  <Paragraphs>42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user</cp:lastModifiedBy>
  <cp:revision>41</cp:revision>
  <cp:lastPrinted>2022-06-01T14:55:00Z</cp:lastPrinted>
  <dcterms:created xsi:type="dcterms:W3CDTF">2022-11-01T13:40:00Z</dcterms:created>
  <dcterms:modified xsi:type="dcterms:W3CDTF">2022-11-08T17:05:00Z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