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B9876" w14:textId="3CA216CD" w:rsidR="00C80F8A" w:rsidRPr="00352B3A" w:rsidRDefault="00C80F8A" w:rsidP="006106D5">
      <w:pPr>
        <w:pStyle w:val="Ttulo10"/>
        <w:rPr>
          <w:rFonts w:asciiTheme="minorHAnsi" w:hAnsiTheme="minorHAnsi" w:cstheme="minorHAnsi"/>
          <w:sz w:val="32"/>
          <w:szCs w:val="28"/>
          <w:u w:val="single"/>
          <w:lang w:val="it-IT"/>
        </w:rPr>
      </w:pPr>
      <w:r w:rsidRPr="00352B3A">
        <w:rPr>
          <w:rFonts w:asciiTheme="minorHAnsi" w:hAnsiTheme="minorHAnsi" w:cstheme="minorHAnsi"/>
          <w:sz w:val="32"/>
          <w:szCs w:val="28"/>
          <w:u w:val="single"/>
          <w:lang w:val="it-IT"/>
        </w:rPr>
        <w:t xml:space="preserve">INFORME N° PR </w:t>
      </w:r>
      <w:r w:rsidR="002A50E6">
        <w:rPr>
          <w:rFonts w:asciiTheme="minorHAnsi" w:hAnsiTheme="minorHAnsi" w:cstheme="minorHAnsi"/>
          <w:sz w:val="32"/>
          <w:szCs w:val="28"/>
          <w:u w:val="single"/>
          <w:lang w:val="it-IT"/>
        </w:rPr>
        <w:t>-</w:t>
      </w:r>
      <w:r w:rsidRPr="00352B3A">
        <w:rPr>
          <w:rFonts w:asciiTheme="minorHAnsi" w:hAnsiTheme="minorHAnsi" w:cstheme="minorHAnsi"/>
          <w:sz w:val="32"/>
          <w:szCs w:val="28"/>
          <w:u w:val="single"/>
          <w:lang w:val="it-IT"/>
        </w:rPr>
        <w:t xml:space="preserve"> 0</w:t>
      </w:r>
      <w:r w:rsidR="00277E11">
        <w:rPr>
          <w:rFonts w:asciiTheme="minorHAnsi" w:hAnsiTheme="minorHAnsi" w:cstheme="minorHAnsi"/>
          <w:sz w:val="32"/>
          <w:szCs w:val="28"/>
          <w:u w:val="single"/>
          <w:lang w:val="it-IT"/>
        </w:rPr>
        <w:t>6</w:t>
      </w:r>
      <w:r w:rsidRPr="00352B3A">
        <w:rPr>
          <w:rFonts w:asciiTheme="minorHAnsi" w:hAnsiTheme="minorHAnsi" w:cstheme="minorHAnsi"/>
          <w:sz w:val="32"/>
          <w:szCs w:val="28"/>
          <w:u w:val="single"/>
          <w:lang w:val="it-IT"/>
        </w:rPr>
        <w:t>-2023-DGN/GRT</w:t>
      </w:r>
    </w:p>
    <w:p w14:paraId="05C31DA7" w14:textId="0E3F0B92"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757D19CC"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E0700C">
        <w:rPr>
          <w:rFonts w:asciiTheme="minorHAnsi" w:hAnsiTheme="minorHAnsi" w:cstheme="minorHAnsi"/>
          <w:b/>
          <w:bCs/>
          <w:sz w:val="28"/>
          <w:szCs w:val="28"/>
        </w:rPr>
        <w:t>0</w:t>
      </w:r>
      <w:r w:rsidR="00277E11">
        <w:rPr>
          <w:rFonts w:asciiTheme="minorHAnsi" w:hAnsiTheme="minorHAnsi" w:cstheme="minorHAnsi"/>
          <w:b/>
          <w:bCs/>
          <w:sz w:val="28"/>
          <w:szCs w:val="28"/>
        </w:rPr>
        <w:t>6</w:t>
      </w:r>
      <w:r w:rsidR="00D13504" w:rsidRPr="00FB18F8">
        <w:rPr>
          <w:rFonts w:asciiTheme="minorHAnsi" w:hAnsiTheme="minorHAnsi" w:cstheme="minorHAnsi"/>
          <w:b/>
          <w:bCs/>
          <w:sz w:val="28"/>
          <w:szCs w:val="28"/>
        </w:rPr>
        <w:t>/</w:t>
      </w:r>
      <w:r w:rsidR="00C823A9">
        <w:rPr>
          <w:rFonts w:asciiTheme="minorHAnsi" w:hAnsiTheme="minorHAnsi" w:cstheme="minorHAnsi"/>
          <w:b/>
          <w:bCs/>
          <w:sz w:val="28"/>
          <w:szCs w:val="28"/>
        </w:rPr>
        <w:t>0</w:t>
      </w:r>
      <w:r w:rsidR="00277E11">
        <w:rPr>
          <w:rFonts w:asciiTheme="minorHAnsi" w:hAnsiTheme="minorHAnsi" w:cstheme="minorHAnsi"/>
          <w:b/>
          <w:bCs/>
          <w:sz w:val="28"/>
          <w:szCs w:val="28"/>
        </w:rPr>
        <w:t>2</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981FBB">
        <w:rPr>
          <w:rFonts w:asciiTheme="minorHAnsi" w:hAnsiTheme="minorHAnsi" w:cstheme="minorHAnsi"/>
          <w:b/>
          <w:bCs/>
          <w:sz w:val="28"/>
          <w:szCs w:val="28"/>
        </w:rPr>
        <w:t>3</w:t>
      </w:r>
    </w:p>
    <w:p w14:paraId="4828A6AA" w14:textId="77777777" w:rsidR="00613813" w:rsidRPr="00FB18F8" w:rsidRDefault="00613813" w:rsidP="00027D8A">
      <w:pPr>
        <w:jc w:val="center"/>
        <w:rPr>
          <w:rFonts w:asciiTheme="minorHAnsi" w:hAnsiTheme="minorHAnsi" w:cstheme="minorHAnsi"/>
          <w:b/>
          <w:bCs/>
          <w:sz w:val="28"/>
          <w:szCs w:val="28"/>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133D4072" w:rsidR="00E53D92" w:rsidRPr="002B3648" w:rsidRDefault="00277E11"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0430E0">
        <w:rPr>
          <w:noProof/>
          <w:lang w:val="es-PE" w:eastAsia="es-PE"/>
        </w:rPr>
        <w:drawing>
          <wp:inline distT="0" distB="0" distL="0" distR="0" wp14:anchorId="2FDE0CF0" wp14:editId="74A31D83">
            <wp:extent cx="5341620" cy="3406140"/>
            <wp:effectExtent l="0" t="0" r="0" b="381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8"/>
                    <a:stretch>
                      <a:fillRect/>
                    </a:stretch>
                  </pic:blipFill>
                  <pic:spPr>
                    <a:xfrm>
                      <a:off x="0" y="0"/>
                      <a:ext cx="5341620" cy="3406140"/>
                    </a:xfrm>
                    <a:prstGeom prst="rect">
                      <a:avLst/>
                    </a:prstGeom>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352B3A">
      <w:pPr>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5F46842"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 variante Delta del Coronavirus, que retrasó, a nivel global,</w:t>
      </w:r>
      <w:r w:rsidRPr="00470CF5">
        <w:rPr>
          <w:rFonts w:asciiTheme="minorHAnsi" w:hAnsiTheme="minorHAnsi" w:cstheme="minorHAnsi"/>
          <w:sz w:val="22"/>
          <w:szCs w:val="22"/>
        </w:rPr>
        <w:t xml:space="preserve"> la reactivación que habían experimentado los precios del petróleo </w:t>
      </w:r>
      <w:r>
        <w:rPr>
          <w:rFonts w:asciiTheme="minorHAnsi" w:hAnsiTheme="minorHAnsi" w:cstheme="minorHAnsi"/>
          <w:sz w:val="22"/>
          <w:szCs w:val="22"/>
        </w:rPr>
        <w:t>y combustibles a lo largo de</w:t>
      </w:r>
      <w:r w:rsidRPr="00470CF5">
        <w:rPr>
          <w:rFonts w:asciiTheme="minorHAnsi" w:hAnsiTheme="minorHAnsi" w:cstheme="minorHAnsi"/>
          <w:sz w:val="22"/>
          <w:szCs w:val="22"/>
        </w:rPr>
        <w:t xml:space="preserve"> la pandemia.</w:t>
      </w:r>
    </w:p>
    <w:p w14:paraId="6C50A32F"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t xml:space="preserve">  </w:t>
      </w:r>
    </w:p>
    <w:p w14:paraId="6AF34EAE" w14:textId="77777777" w:rsidR="00277E11" w:rsidRDefault="00277E11" w:rsidP="00277E11">
      <w:pPr>
        <w:jc w:val="both"/>
        <w:rPr>
          <w:rFonts w:asciiTheme="minorHAnsi" w:hAnsiTheme="minorHAnsi" w:cstheme="minorHAnsi"/>
          <w:sz w:val="22"/>
          <w:szCs w:val="22"/>
        </w:rPr>
      </w:pPr>
      <w:r>
        <w:rPr>
          <w:rFonts w:asciiTheme="minorHAnsi" w:hAnsiTheme="minorHAnsi" w:cstheme="minorHAnsi"/>
          <w:sz w:val="22"/>
          <w:szCs w:val="22"/>
        </w:rPr>
        <w:t>Durante el primer semestre del año 2022, los precios del petróleo crudo y productos mostraron una tendencia alcista, en medio de la alta volatilidad registrada; mientras que a partir del segundo semestre los precios se movieron dentro de una banda de menor amplitud, con una tendencia a la baja, en el caso del petróleo crudo WTI, el GLP y el Residual 3%. Asimismo, al cierre de la última semana del periodo de evaluación</w:t>
      </w:r>
      <w:r>
        <w:rPr>
          <w:rStyle w:val="Refdenotaalpie"/>
          <w:rFonts w:asciiTheme="minorHAnsi" w:hAnsiTheme="minorHAnsi" w:cstheme="minorHAnsi"/>
          <w:sz w:val="22"/>
          <w:szCs w:val="22"/>
        </w:rPr>
        <w:footnoteReference w:id="2"/>
      </w:r>
      <w:r>
        <w:rPr>
          <w:rFonts w:asciiTheme="minorHAnsi" w:hAnsiTheme="minorHAnsi" w:cstheme="minorHAnsi"/>
          <w:sz w:val="22"/>
          <w:szCs w:val="22"/>
        </w:rPr>
        <w:t>, el precio del crudo WTI se ubicó en</w:t>
      </w:r>
      <w:r w:rsidRPr="00CC0F16">
        <w:rPr>
          <w:rFonts w:asciiTheme="minorHAnsi" w:hAnsiTheme="minorHAnsi" w:cstheme="minorHAnsi"/>
          <w:sz w:val="22"/>
          <w:szCs w:val="22"/>
        </w:rPr>
        <w:t xml:space="preserve"> </w:t>
      </w:r>
      <w:r>
        <w:rPr>
          <w:rFonts w:asciiTheme="minorHAnsi" w:hAnsiTheme="minorHAnsi" w:cstheme="minorHAnsi"/>
          <w:sz w:val="22"/>
          <w:szCs w:val="22"/>
        </w:rPr>
        <w:t xml:space="preserve">75.55 </w:t>
      </w:r>
      <w:r w:rsidRPr="00CC0F16">
        <w:rPr>
          <w:rFonts w:asciiTheme="minorHAnsi" w:hAnsiTheme="minorHAnsi" w:cstheme="minorHAnsi"/>
          <w:sz w:val="22"/>
          <w:szCs w:val="22"/>
        </w:rPr>
        <w:t>US$/</w:t>
      </w:r>
      <w:proofErr w:type="spellStart"/>
      <w:r w:rsidRPr="00CC0F16">
        <w:rPr>
          <w:rFonts w:asciiTheme="minorHAnsi" w:hAnsiTheme="minorHAnsi" w:cstheme="minorHAnsi"/>
          <w:sz w:val="22"/>
          <w:szCs w:val="22"/>
        </w:rPr>
        <w:t>Bl</w:t>
      </w:r>
      <w:proofErr w:type="spellEnd"/>
      <w:r w:rsidRPr="00CC0F16">
        <w:rPr>
          <w:rFonts w:asciiTheme="minorHAnsi" w:hAnsiTheme="minorHAnsi" w:cstheme="minorHAnsi"/>
          <w:sz w:val="22"/>
          <w:szCs w:val="22"/>
        </w:rPr>
        <w:t>, las gasolinas</w:t>
      </w:r>
      <w:r>
        <w:rPr>
          <w:rFonts w:asciiTheme="minorHAnsi" w:hAnsiTheme="minorHAnsi" w:cstheme="minorHAnsi"/>
          <w:sz w:val="22"/>
          <w:szCs w:val="22"/>
        </w:rPr>
        <w:t xml:space="preserve"> registraron un precio superior a 90 US$/</w:t>
      </w:r>
      <w:proofErr w:type="spellStart"/>
      <w:r>
        <w:rPr>
          <w:rFonts w:asciiTheme="minorHAnsi" w:hAnsiTheme="minorHAnsi" w:cstheme="minorHAnsi"/>
          <w:sz w:val="22"/>
          <w:szCs w:val="22"/>
        </w:rPr>
        <w:t>Bl</w:t>
      </w:r>
      <w:proofErr w:type="spellEnd"/>
      <w:r w:rsidRPr="00CC0F16">
        <w:rPr>
          <w:rFonts w:asciiTheme="minorHAnsi" w:hAnsiTheme="minorHAnsi" w:cstheme="minorHAnsi"/>
          <w:sz w:val="22"/>
          <w:szCs w:val="22"/>
        </w:rPr>
        <w:t xml:space="preserve"> </w:t>
      </w:r>
      <w:r>
        <w:rPr>
          <w:rFonts w:asciiTheme="minorHAnsi" w:hAnsiTheme="minorHAnsi" w:cstheme="minorHAnsi"/>
          <w:sz w:val="22"/>
          <w:szCs w:val="22"/>
        </w:rPr>
        <w:t>y los destilados medios registraron</w:t>
      </w:r>
      <w:r w:rsidRPr="00CC0F16">
        <w:rPr>
          <w:rFonts w:asciiTheme="minorHAnsi" w:hAnsiTheme="minorHAnsi" w:cstheme="minorHAnsi"/>
          <w:sz w:val="22"/>
          <w:szCs w:val="22"/>
        </w:rPr>
        <w:t xml:space="preserve"> niveles </w:t>
      </w:r>
      <w:r>
        <w:rPr>
          <w:rFonts w:asciiTheme="minorHAnsi" w:hAnsiTheme="minorHAnsi" w:cstheme="minorHAnsi"/>
          <w:sz w:val="22"/>
          <w:szCs w:val="22"/>
        </w:rPr>
        <w:t>por encima de</w:t>
      </w:r>
      <w:r w:rsidRPr="00CC0F16">
        <w:rPr>
          <w:rFonts w:asciiTheme="minorHAnsi" w:hAnsiTheme="minorHAnsi" w:cstheme="minorHAnsi"/>
          <w:sz w:val="22"/>
          <w:szCs w:val="22"/>
        </w:rPr>
        <w:t xml:space="preserve"> los </w:t>
      </w:r>
      <w:r>
        <w:rPr>
          <w:rFonts w:asciiTheme="minorHAnsi" w:hAnsiTheme="minorHAnsi" w:cstheme="minorHAnsi"/>
          <w:sz w:val="22"/>
          <w:szCs w:val="22"/>
        </w:rPr>
        <w:t>110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Para el mismo periodo, el precio del GLP cerró la semana en 39.07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w:t>
      </w:r>
    </w:p>
    <w:p w14:paraId="131E67D8" w14:textId="77777777" w:rsidR="00277E11" w:rsidRDefault="00277E11" w:rsidP="00277E11">
      <w:pPr>
        <w:ind w:left="284"/>
        <w:jc w:val="both"/>
        <w:rPr>
          <w:rFonts w:asciiTheme="minorHAnsi" w:hAnsiTheme="minorHAnsi" w:cstheme="minorHAnsi"/>
          <w:sz w:val="22"/>
          <w:szCs w:val="22"/>
        </w:rPr>
      </w:pPr>
    </w:p>
    <w:p w14:paraId="10827C0C" w14:textId="77777777" w:rsidR="00277E11" w:rsidRDefault="00277E11" w:rsidP="00277E11">
      <w:pPr>
        <w:jc w:val="both"/>
        <w:rPr>
          <w:rFonts w:asciiTheme="minorHAnsi" w:hAnsiTheme="minorHAnsi" w:cstheme="minorHAnsi"/>
          <w:bCs/>
          <w:sz w:val="22"/>
          <w:szCs w:val="22"/>
        </w:rPr>
      </w:pPr>
      <w:r w:rsidRPr="00431A8E">
        <w:rPr>
          <w:rFonts w:asciiTheme="minorHAnsi" w:hAnsiTheme="minorHAnsi" w:cstheme="minorHAnsi"/>
          <w:sz w:val="22"/>
          <w:szCs w:val="22"/>
        </w:rPr>
        <w:t xml:space="preserve">En las semanas del </w:t>
      </w:r>
      <w:r>
        <w:rPr>
          <w:rFonts w:asciiTheme="minorHAnsi" w:hAnsiTheme="minorHAnsi" w:cstheme="minorHAnsi"/>
          <w:sz w:val="22"/>
          <w:szCs w:val="22"/>
        </w:rPr>
        <w:t>23</w:t>
      </w:r>
      <w:r w:rsidRPr="00431A8E">
        <w:rPr>
          <w:rFonts w:asciiTheme="minorHAnsi" w:hAnsiTheme="minorHAnsi" w:cstheme="minorHAnsi"/>
          <w:sz w:val="22"/>
          <w:szCs w:val="22"/>
        </w:rPr>
        <w:t>.</w:t>
      </w:r>
      <w:r>
        <w:rPr>
          <w:rFonts w:asciiTheme="minorHAnsi" w:hAnsiTheme="minorHAnsi" w:cstheme="minorHAnsi"/>
          <w:sz w:val="22"/>
          <w:szCs w:val="22"/>
        </w:rPr>
        <w:t>01</w:t>
      </w:r>
      <w:r w:rsidRPr="00431A8E">
        <w:rPr>
          <w:rFonts w:asciiTheme="minorHAnsi" w:hAnsiTheme="minorHAnsi" w:cstheme="minorHAnsi"/>
          <w:sz w:val="22"/>
          <w:szCs w:val="22"/>
        </w:rPr>
        <w:t>.202</w:t>
      </w:r>
      <w:r>
        <w:rPr>
          <w:rFonts w:asciiTheme="minorHAnsi" w:hAnsiTheme="minorHAnsi" w:cstheme="minorHAnsi"/>
          <w:sz w:val="22"/>
          <w:szCs w:val="22"/>
        </w:rPr>
        <w:t>3</w:t>
      </w:r>
      <w:r w:rsidRPr="00431A8E">
        <w:rPr>
          <w:rFonts w:asciiTheme="minorHAnsi" w:hAnsiTheme="minorHAnsi" w:cstheme="minorHAnsi"/>
          <w:sz w:val="22"/>
          <w:szCs w:val="22"/>
        </w:rPr>
        <w:t xml:space="preserve"> al </w:t>
      </w:r>
      <w:r>
        <w:rPr>
          <w:rFonts w:asciiTheme="minorHAnsi" w:hAnsiTheme="minorHAnsi" w:cstheme="minorHAnsi"/>
          <w:sz w:val="22"/>
          <w:szCs w:val="22"/>
        </w:rPr>
        <w:t>03</w:t>
      </w:r>
      <w:r w:rsidRPr="00431A8E">
        <w:rPr>
          <w:rFonts w:asciiTheme="minorHAnsi" w:hAnsiTheme="minorHAnsi" w:cstheme="minorHAnsi"/>
          <w:sz w:val="22"/>
          <w:szCs w:val="22"/>
        </w:rPr>
        <w:t>.0</w:t>
      </w:r>
      <w:r>
        <w:rPr>
          <w:rFonts w:asciiTheme="minorHAnsi" w:hAnsiTheme="minorHAnsi" w:cstheme="minorHAnsi"/>
          <w:sz w:val="22"/>
          <w:szCs w:val="22"/>
        </w:rPr>
        <w:t>2</w:t>
      </w:r>
      <w:r w:rsidRPr="00431A8E">
        <w:rPr>
          <w:rFonts w:asciiTheme="minorHAnsi" w:hAnsiTheme="minorHAnsi" w:cstheme="minorHAnsi"/>
          <w:sz w:val="22"/>
          <w:szCs w:val="22"/>
        </w:rPr>
        <w:t>.202</w:t>
      </w:r>
      <w:r>
        <w:rPr>
          <w:rFonts w:asciiTheme="minorHAnsi" w:hAnsiTheme="minorHAnsi" w:cstheme="minorHAnsi"/>
          <w:sz w:val="22"/>
          <w:szCs w:val="22"/>
        </w:rPr>
        <w:t>3</w:t>
      </w:r>
      <w:r w:rsidRPr="00431A8E">
        <w:rPr>
          <w:rFonts w:asciiTheme="minorHAnsi" w:hAnsiTheme="minorHAnsi" w:cstheme="minorHAnsi"/>
          <w:sz w:val="22"/>
          <w:szCs w:val="22"/>
        </w:rPr>
        <w:t>, los principales factores que incidieron en la variación de los precios del petróleo crudo y combustibles fueron los siguientes:</w:t>
      </w:r>
    </w:p>
    <w:p w14:paraId="78DDA322" w14:textId="77777777" w:rsidR="00277E11" w:rsidRPr="004A4F55" w:rsidRDefault="00277E11" w:rsidP="00277E11">
      <w:pPr>
        <w:ind w:left="709"/>
        <w:rPr>
          <w:rFonts w:asciiTheme="minorHAnsi" w:hAnsiTheme="minorHAnsi" w:cstheme="minorHAnsi"/>
          <w:bCs/>
          <w:sz w:val="22"/>
          <w:szCs w:val="22"/>
        </w:rPr>
      </w:pPr>
    </w:p>
    <w:p w14:paraId="69C85A31" w14:textId="77777777" w:rsidR="00277E11" w:rsidRPr="000430E0" w:rsidRDefault="00277E11" w:rsidP="00277E11">
      <w:pPr>
        <w:pStyle w:val="Prrafodelista"/>
        <w:numPr>
          <w:ilvl w:val="0"/>
          <w:numId w:val="13"/>
        </w:numPr>
        <w:ind w:left="426"/>
        <w:contextualSpacing/>
        <w:jc w:val="both"/>
        <w:rPr>
          <w:rFonts w:asciiTheme="minorHAnsi" w:hAnsiTheme="minorHAnsi" w:cstheme="minorHAnsi"/>
          <w:b/>
          <w:sz w:val="22"/>
          <w:szCs w:val="22"/>
        </w:rPr>
      </w:pPr>
      <w:r w:rsidRPr="000430E0">
        <w:rPr>
          <w:rFonts w:asciiTheme="minorHAnsi" w:hAnsiTheme="minorHAnsi" w:cstheme="minorHAnsi"/>
          <w:b/>
          <w:sz w:val="22"/>
          <w:szCs w:val="22"/>
        </w:rPr>
        <w:t>El aumento de los inventarios de crudo, gasolinas y destilados; así como la reducción de las existencias de propano, al 27 de enero del 2023.</w:t>
      </w:r>
    </w:p>
    <w:p w14:paraId="4638F9F8" w14:textId="77777777" w:rsidR="00277E11" w:rsidRPr="000430E0" w:rsidRDefault="00277E11" w:rsidP="00277E11">
      <w:pPr>
        <w:pStyle w:val="Prrafodelista"/>
        <w:ind w:left="426"/>
        <w:jc w:val="both"/>
        <w:rPr>
          <w:rFonts w:asciiTheme="minorHAnsi" w:hAnsiTheme="minorHAnsi" w:cstheme="minorHAnsi"/>
          <w:sz w:val="22"/>
          <w:szCs w:val="22"/>
        </w:rPr>
      </w:pPr>
    </w:p>
    <w:p w14:paraId="12DA75B7" w14:textId="77777777" w:rsidR="00277E11" w:rsidRPr="000430E0" w:rsidRDefault="00277E11" w:rsidP="00277E11">
      <w:pPr>
        <w:pStyle w:val="Prrafodelista"/>
        <w:ind w:left="426"/>
        <w:jc w:val="both"/>
        <w:rPr>
          <w:rFonts w:asciiTheme="minorHAnsi" w:hAnsiTheme="minorHAnsi" w:cstheme="minorHAnsi"/>
          <w:sz w:val="22"/>
          <w:szCs w:val="22"/>
        </w:rPr>
      </w:pPr>
      <w:r w:rsidRPr="000430E0">
        <w:rPr>
          <w:rFonts w:asciiTheme="minorHAnsi" w:hAnsiTheme="minorHAnsi" w:cstheme="minorHAnsi"/>
          <w:sz w:val="22"/>
          <w:szCs w:val="22"/>
        </w:rPr>
        <w:t>Los inventarios de petróleo subieron 4,1 millones de barriles, registrando un total de 452,7 millones de barriles, un 4% por encima de la media de los últimos 5 años en esta época del año.</w:t>
      </w:r>
    </w:p>
    <w:p w14:paraId="61E2A00E" w14:textId="77777777" w:rsidR="00277E11" w:rsidRPr="000430E0" w:rsidRDefault="00277E11" w:rsidP="00277E11">
      <w:pPr>
        <w:pStyle w:val="Prrafodelista"/>
        <w:ind w:left="426"/>
        <w:jc w:val="both"/>
        <w:rPr>
          <w:rFonts w:asciiTheme="minorHAnsi" w:hAnsiTheme="minorHAnsi" w:cstheme="minorHAnsi"/>
          <w:sz w:val="22"/>
          <w:szCs w:val="22"/>
        </w:rPr>
      </w:pPr>
    </w:p>
    <w:p w14:paraId="4E232A3A" w14:textId="77777777" w:rsidR="00277E11" w:rsidRPr="000430E0" w:rsidRDefault="00277E11" w:rsidP="00277E11">
      <w:pPr>
        <w:pStyle w:val="Prrafodelista"/>
        <w:ind w:left="426"/>
        <w:jc w:val="both"/>
        <w:rPr>
          <w:rFonts w:asciiTheme="minorHAnsi" w:hAnsiTheme="minorHAnsi" w:cstheme="minorHAnsi"/>
          <w:sz w:val="22"/>
          <w:szCs w:val="22"/>
        </w:rPr>
      </w:pPr>
      <w:r w:rsidRPr="000430E0">
        <w:rPr>
          <w:rFonts w:asciiTheme="minorHAnsi" w:hAnsiTheme="minorHAnsi" w:cstheme="minorHAnsi"/>
          <w:sz w:val="22"/>
          <w:szCs w:val="22"/>
        </w:rPr>
        <w:t>Las existencias de gasolina se incrementaron en 2,6 millones de barriles, reportando un total de 234,6 millones de barriles; mientras los inventarios de destilados, que incluyen al diésel y al combustible para calefacción, aumentaron 2,3 millones de barriles, con un total de 117,6 millones de barriles. Finalmente, las existencias de propano se redujeron 2,44 millones de barriles, ubicándose en los 73,18 millones de barriles.</w:t>
      </w:r>
    </w:p>
    <w:p w14:paraId="3617D78D" w14:textId="77777777" w:rsidR="00277E11" w:rsidRPr="000430E0" w:rsidRDefault="00277E11" w:rsidP="00277E11">
      <w:pPr>
        <w:pStyle w:val="Prrafodelista"/>
        <w:ind w:left="426"/>
        <w:jc w:val="both"/>
        <w:rPr>
          <w:rFonts w:asciiTheme="minorHAnsi" w:hAnsiTheme="minorHAnsi" w:cstheme="minorHAnsi"/>
          <w:sz w:val="22"/>
          <w:szCs w:val="22"/>
        </w:rPr>
      </w:pPr>
    </w:p>
    <w:p w14:paraId="4BB505F4" w14:textId="77777777" w:rsidR="00277E11" w:rsidRPr="000430E0" w:rsidRDefault="00277E11" w:rsidP="00277E11">
      <w:pPr>
        <w:pStyle w:val="Prrafodelista"/>
        <w:numPr>
          <w:ilvl w:val="0"/>
          <w:numId w:val="13"/>
        </w:numPr>
        <w:ind w:left="426"/>
        <w:contextualSpacing/>
        <w:jc w:val="both"/>
        <w:rPr>
          <w:rFonts w:asciiTheme="minorHAnsi" w:hAnsiTheme="minorHAnsi" w:cstheme="minorHAnsi"/>
          <w:b/>
          <w:bCs/>
          <w:sz w:val="22"/>
          <w:szCs w:val="22"/>
        </w:rPr>
      </w:pPr>
      <w:r w:rsidRPr="000430E0">
        <w:rPr>
          <w:rFonts w:asciiTheme="minorHAnsi" w:hAnsiTheme="minorHAnsi" w:cstheme="minorHAnsi"/>
          <w:b/>
          <w:bCs/>
          <w:sz w:val="22"/>
          <w:szCs w:val="22"/>
        </w:rPr>
        <w:t>Las preocupaciones por el alza de las tasas de interés en Estados Unidos, después de la publicación de los sólidos datos de empleo en dicho país.</w:t>
      </w:r>
    </w:p>
    <w:p w14:paraId="7AB23149" w14:textId="77777777" w:rsidR="00277E11" w:rsidRPr="000430E0" w:rsidRDefault="00277E11" w:rsidP="00277E11">
      <w:pPr>
        <w:pStyle w:val="Prrafodelista"/>
        <w:ind w:left="426"/>
        <w:jc w:val="both"/>
        <w:rPr>
          <w:rFonts w:asciiTheme="minorHAnsi" w:hAnsiTheme="minorHAnsi" w:cstheme="minorHAnsi"/>
          <w:sz w:val="22"/>
          <w:szCs w:val="22"/>
        </w:rPr>
      </w:pPr>
    </w:p>
    <w:p w14:paraId="2119C0F2" w14:textId="77777777" w:rsidR="00277E11" w:rsidRPr="000430E0" w:rsidRDefault="00277E11" w:rsidP="00277E11">
      <w:pPr>
        <w:pStyle w:val="NormalWeb"/>
        <w:shd w:val="clear" w:color="auto" w:fill="FFFFFF"/>
        <w:spacing w:before="0" w:beforeAutospacing="0" w:after="180" w:afterAutospacing="0"/>
        <w:ind w:left="426"/>
        <w:jc w:val="both"/>
        <w:rPr>
          <w:rFonts w:asciiTheme="minorHAnsi" w:eastAsia="Calibri" w:hAnsiTheme="minorHAnsi" w:cstheme="minorHAnsi"/>
          <w:sz w:val="22"/>
          <w:szCs w:val="22"/>
          <w:lang w:eastAsia="en-US"/>
        </w:rPr>
      </w:pPr>
      <w:r w:rsidRPr="000430E0">
        <w:rPr>
          <w:rFonts w:asciiTheme="minorHAnsi" w:eastAsia="Calibri" w:hAnsiTheme="minorHAnsi" w:cstheme="minorHAnsi"/>
          <w:sz w:val="22"/>
          <w:szCs w:val="22"/>
          <w:lang w:eastAsia="en-US"/>
        </w:rPr>
        <w:t xml:space="preserve">El crecimiento del empleo en Estados Unidos se aceleró significativamente en enero 2023, en el contexto de un mercado laboral resistente, no obstante, se espera que una mayor moderación de las ganancias salariales tranquilice a la Reserva Federal en su lucha frente la inflación. Phil </w:t>
      </w:r>
      <w:proofErr w:type="spellStart"/>
      <w:r w:rsidRPr="000430E0">
        <w:rPr>
          <w:rFonts w:asciiTheme="minorHAnsi" w:eastAsia="Calibri" w:hAnsiTheme="minorHAnsi" w:cstheme="minorHAnsi"/>
          <w:sz w:val="22"/>
          <w:szCs w:val="22"/>
          <w:lang w:eastAsia="en-US"/>
        </w:rPr>
        <w:t>Flynn</w:t>
      </w:r>
      <w:proofErr w:type="spellEnd"/>
      <w:r w:rsidRPr="000430E0">
        <w:rPr>
          <w:rFonts w:asciiTheme="minorHAnsi" w:eastAsia="Calibri" w:hAnsiTheme="minorHAnsi" w:cstheme="minorHAnsi"/>
          <w:sz w:val="22"/>
          <w:szCs w:val="22"/>
          <w:lang w:eastAsia="en-US"/>
        </w:rPr>
        <w:t xml:space="preserve">, analista de Price </w:t>
      </w:r>
      <w:proofErr w:type="spellStart"/>
      <w:r w:rsidRPr="000430E0">
        <w:rPr>
          <w:rFonts w:asciiTheme="minorHAnsi" w:eastAsia="Calibri" w:hAnsiTheme="minorHAnsi" w:cstheme="minorHAnsi"/>
          <w:sz w:val="22"/>
          <w:szCs w:val="22"/>
          <w:lang w:eastAsia="en-US"/>
        </w:rPr>
        <w:t>Futures</w:t>
      </w:r>
      <w:proofErr w:type="spellEnd"/>
      <w:r w:rsidRPr="000430E0">
        <w:rPr>
          <w:rFonts w:asciiTheme="minorHAnsi" w:eastAsia="Calibri" w:hAnsiTheme="minorHAnsi" w:cstheme="minorHAnsi"/>
          <w:sz w:val="22"/>
          <w:szCs w:val="22"/>
          <w:lang w:eastAsia="en-US"/>
        </w:rPr>
        <w:t xml:space="preserve"> </w:t>
      </w:r>
      <w:proofErr w:type="spellStart"/>
      <w:r w:rsidRPr="000430E0">
        <w:rPr>
          <w:rFonts w:asciiTheme="minorHAnsi" w:eastAsia="Calibri" w:hAnsiTheme="minorHAnsi" w:cstheme="minorHAnsi"/>
          <w:sz w:val="22"/>
          <w:szCs w:val="22"/>
          <w:lang w:eastAsia="en-US"/>
        </w:rPr>
        <w:t>Group</w:t>
      </w:r>
      <w:proofErr w:type="spellEnd"/>
      <w:r w:rsidRPr="000430E0">
        <w:rPr>
          <w:rFonts w:asciiTheme="minorHAnsi" w:eastAsia="Calibri" w:hAnsiTheme="minorHAnsi" w:cstheme="minorHAnsi"/>
          <w:sz w:val="22"/>
          <w:szCs w:val="22"/>
          <w:lang w:eastAsia="en-US"/>
        </w:rPr>
        <w:t>, señaló:</w:t>
      </w:r>
    </w:p>
    <w:p w14:paraId="740BCE77" w14:textId="77777777" w:rsidR="00277E11" w:rsidRPr="000430E0" w:rsidRDefault="00277E11" w:rsidP="00277E11">
      <w:pPr>
        <w:pStyle w:val="NormalWeb"/>
        <w:shd w:val="clear" w:color="auto" w:fill="FFFFFF"/>
        <w:spacing w:before="0" w:beforeAutospacing="0" w:after="180" w:afterAutospacing="0"/>
        <w:ind w:left="426"/>
        <w:jc w:val="both"/>
        <w:rPr>
          <w:rFonts w:asciiTheme="minorHAnsi" w:eastAsia="Calibri" w:hAnsiTheme="minorHAnsi" w:cstheme="minorHAnsi"/>
          <w:sz w:val="22"/>
          <w:szCs w:val="22"/>
          <w:lang w:eastAsia="en-US"/>
        </w:rPr>
      </w:pPr>
      <w:r w:rsidRPr="000430E0">
        <w:rPr>
          <w:rFonts w:asciiTheme="minorHAnsi" w:eastAsia="Calibri" w:hAnsiTheme="minorHAnsi" w:cstheme="minorHAnsi"/>
          <w:sz w:val="22"/>
          <w:szCs w:val="22"/>
          <w:lang w:eastAsia="en-US"/>
        </w:rPr>
        <w:t>“El mercado no puede decidir si debería estar nervioso por una recesión o más preocupado por la agresividad de la Reserva Federal con las tasas de interés.”</w:t>
      </w:r>
    </w:p>
    <w:p w14:paraId="03FCA12C" w14:textId="77777777" w:rsidR="00277E11" w:rsidRPr="000430E0" w:rsidRDefault="00277E11" w:rsidP="00277E11">
      <w:pPr>
        <w:pStyle w:val="NormalWeb"/>
        <w:shd w:val="clear" w:color="auto" w:fill="FFFFFF"/>
        <w:spacing w:before="0" w:beforeAutospacing="0" w:after="180" w:afterAutospacing="0"/>
        <w:ind w:left="426"/>
        <w:jc w:val="both"/>
        <w:rPr>
          <w:rFonts w:asciiTheme="minorHAnsi" w:hAnsiTheme="minorHAnsi" w:cstheme="minorHAnsi"/>
          <w:sz w:val="22"/>
          <w:szCs w:val="22"/>
        </w:rPr>
      </w:pPr>
      <w:r w:rsidRPr="000430E0">
        <w:rPr>
          <w:rFonts w:asciiTheme="minorHAnsi" w:eastAsia="Calibri" w:hAnsiTheme="minorHAnsi" w:cstheme="minorHAnsi"/>
          <w:sz w:val="22"/>
          <w:szCs w:val="22"/>
          <w:lang w:eastAsia="en-US"/>
        </w:rPr>
        <w:t xml:space="preserve">El Banco Central estadounidense redujo los aumentos de sus tasas de interés respecto a las del año pasado, sin embargo, los responsables políticos también previeron que serían necesarios “continuos aumentos” de los costos de endeudamiento. En este sentido, </w:t>
      </w:r>
      <w:r w:rsidRPr="000430E0">
        <w:rPr>
          <w:rFonts w:asciiTheme="minorHAnsi" w:eastAsia="Calibri" w:hAnsiTheme="minorHAnsi" w:cstheme="minorHAnsi"/>
          <w:sz w:val="22"/>
          <w:szCs w:val="22"/>
          <w:lang w:eastAsia="en-US"/>
        </w:rPr>
        <w:br/>
        <w:t xml:space="preserve">es probable que las subidas de tasas de interés en 2023 pesen sobre las economías </w:t>
      </w:r>
      <w:r w:rsidRPr="000430E0">
        <w:rPr>
          <w:rFonts w:asciiTheme="minorHAnsi" w:eastAsia="Calibri" w:hAnsiTheme="minorHAnsi" w:cstheme="minorHAnsi"/>
          <w:sz w:val="22"/>
          <w:szCs w:val="22"/>
          <w:lang w:eastAsia="en-US"/>
        </w:rPr>
        <w:lastRenderedPageBreak/>
        <w:t>estadounidense y europea, aumentando los temores a una ralentización económica y a una reducción de la demanda de combustibles.</w:t>
      </w:r>
    </w:p>
    <w:p w14:paraId="0DBFC4DE" w14:textId="77777777" w:rsidR="00277E11" w:rsidRPr="000430E0" w:rsidRDefault="00277E11" w:rsidP="00277E11">
      <w:pPr>
        <w:pStyle w:val="Prrafodelista"/>
        <w:numPr>
          <w:ilvl w:val="0"/>
          <w:numId w:val="13"/>
        </w:numPr>
        <w:ind w:left="426"/>
        <w:contextualSpacing/>
        <w:jc w:val="both"/>
        <w:rPr>
          <w:rFonts w:asciiTheme="minorHAnsi" w:hAnsiTheme="minorHAnsi" w:cstheme="minorHAnsi"/>
          <w:b/>
          <w:bCs/>
          <w:sz w:val="22"/>
          <w:szCs w:val="22"/>
        </w:rPr>
      </w:pPr>
      <w:r w:rsidRPr="000430E0">
        <w:rPr>
          <w:rFonts w:asciiTheme="minorHAnsi" w:hAnsiTheme="minorHAnsi" w:cstheme="minorHAnsi"/>
          <w:b/>
          <w:bCs/>
          <w:sz w:val="22"/>
          <w:szCs w:val="22"/>
        </w:rPr>
        <w:t xml:space="preserve">Las expectativas de crecimiento de la demanda en China, a raíz de la reapertura de sus fronteras y la relajación de las restricciones para combatir el COVID </w:t>
      </w:r>
    </w:p>
    <w:p w14:paraId="10F02EC0" w14:textId="77777777" w:rsidR="00277E11" w:rsidRPr="000430E0" w:rsidRDefault="00277E11" w:rsidP="00277E11">
      <w:pPr>
        <w:pStyle w:val="Prrafodelista"/>
        <w:ind w:left="426"/>
        <w:jc w:val="both"/>
        <w:rPr>
          <w:rFonts w:asciiTheme="minorHAnsi" w:hAnsiTheme="minorHAnsi" w:cstheme="minorHAnsi"/>
          <w:b/>
          <w:bCs/>
          <w:sz w:val="22"/>
          <w:szCs w:val="22"/>
        </w:rPr>
      </w:pPr>
    </w:p>
    <w:p w14:paraId="693E34C5" w14:textId="77777777" w:rsidR="00277E11" w:rsidRPr="000430E0" w:rsidRDefault="00277E11" w:rsidP="00277E11">
      <w:pPr>
        <w:pStyle w:val="Prrafodelista"/>
        <w:ind w:left="426"/>
        <w:jc w:val="both"/>
        <w:rPr>
          <w:rFonts w:asciiTheme="minorHAnsi" w:hAnsiTheme="minorHAnsi" w:cstheme="minorHAnsi"/>
          <w:sz w:val="22"/>
          <w:szCs w:val="22"/>
        </w:rPr>
      </w:pPr>
      <w:r w:rsidRPr="000430E0">
        <w:rPr>
          <w:rFonts w:asciiTheme="minorHAnsi" w:hAnsiTheme="minorHAnsi" w:cstheme="minorHAnsi"/>
          <w:sz w:val="22"/>
          <w:szCs w:val="22"/>
        </w:rPr>
        <w:t>Analistas del mercado señalaron un fuerte aumento del tráfico en las 15 ciudades más grandes de China</w:t>
      </w:r>
      <w:r>
        <w:rPr>
          <w:rFonts w:asciiTheme="minorHAnsi" w:hAnsiTheme="minorHAnsi" w:cstheme="minorHAnsi"/>
          <w:sz w:val="22"/>
          <w:szCs w:val="22"/>
        </w:rPr>
        <w:t>, debido a</w:t>
      </w:r>
      <w:r w:rsidRPr="000430E0">
        <w:rPr>
          <w:rFonts w:asciiTheme="minorHAnsi" w:hAnsiTheme="minorHAnsi" w:cstheme="minorHAnsi"/>
          <w:sz w:val="22"/>
          <w:szCs w:val="22"/>
        </w:rPr>
        <w:t xml:space="preserve"> las vacaciones del Año Nuevo Lunar.</w:t>
      </w:r>
    </w:p>
    <w:p w14:paraId="127B4C2D" w14:textId="77777777" w:rsidR="00277E11" w:rsidRPr="000430E0" w:rsidRDefault="00277E11" w:rsidP="00277E11">
      <w:pPr>
        <w:pStyle w:val="Prrafodelista"/>
        <w:ind w:left="426"/>
        <w:jc w:val="both"/>
        <w:rPr>
          <w:rFonts w:asciiTheme="minorHAnsi" w:hAnsiTheme="minorHAnsi" w:cstheme="minorHAnsi"/>
          <w:b/>
          <w:bCs/>
          <w:sz w:val="22"/>
          <w:szCs w:val="22"/>
        </w:rPr>
      </w:pPr>
    </w:p>
    <w:p w14:paraId="1F260F53" w14:textId="77777777" w:rsidR="00277E11" w:rsidRPr="000430E0" w:rsidRDefault="00277E11" w:rsidP="00277E11">
      <w:pPr>
        <w:pStyle w:val="Prrafodelista"/>
        <w:ind w:left="426"/>
        <w:jc w:val="both"/>
        <w:rPr>
          <w:rFonts w:asciiTheme="minorHAnsi" w:hAnsiTheme="minorHAnsi" w:cstheme="minorHAnsi"/>
          <w:sz w:val="22"/>
          <w:szCs w:val="22"/>
        </w:rPr>
      </w:pPr>
      <w:r w:rsidRPr="000430E0">
        <w:rPr>
          <w:rFonts w:asciiTheme="minorHAnsi" w:hAnsiTheme="minorHAnsi" w:cstheme="minorHAnsi"/>
          <w:sz w:val="22"/>
          <w:szCs w:val="22"/>
        </w:rPr>
        <w:t>La Agencia Internacional de la Energía (AIE) estima que el levantamiento de las restricciones por el COVID en China impulsará la demanda mundial de petróleo en el año 2023 a un nuevo máximo histórico, mientras que los precios máximos impuestos a los productos de Rusia como sanción, podrían mermar la oferta.</w:t>
      </w:r>
    </w:p>
    <w:p w14:paraId="1226A6BE" w14:textId="77777777" w:rsidR="00277E11" w:rsidRPr="000430E0" w:rsidRDefault="00277E11" w:rsidP="00277E11">
      <w:pPr>
        <w:pStyle w:val="Prrafodelista"/>
        <w:ind w:left="426"/>
        <w:jc w:val="both"/>
        <w:rPr>
          <w:rFonts w:asciiTheme="minorHAnsi" w:hAnsiTheme="minorHAnsi" w:cstheme="minorHAnsi"/>
          <w:sz w:val="22"/>
          <w:szCs w:val="22"/>
        </w:rPr>
      </w:pPr>
    </w:p>
    <w:p w14:paraId="6FD7745A" w14:textId="77777777" w:rsidR="00277E11" w:rsidRPr="000430E0" w:rsidRDefault="00277E11" w:rsidP="00277E11">
      <w:pPr>
        <w:pStyle w:val="Prrafodelista"/>
        <w:ind w:left="426"/>
        <w:jc w:val="both"/>
        <w:rPr>
          <w:rFonts w:asciiTheme="minorHAnsi" w:hAnsiTheme="minorHAnsi" w:cstheme="minorHAnsi"/>
          <w:sz w:val="22"/>
          <w:szCs w:val="22"/>
        </w:rPr>
      </w:pPr>
      <w:r w:rsidRPr="000430E0">
        <w:rPr>
          <w:rFonts w:asciiTheme="minorHAnsi" w:hAnsiTheme="minorHAnsi" w:cstheme="minorHAnsi"/>
          <w:sz w:val="22"/>
          <w:szCs w:val="22"/>
        </w:rPr>
        <w:t>De otro lado, pese a la incertidumbre, la OPEP espera que la demanda en China se eleve un 3,48%, hasta los 15,27 millones de barriles por día, con lo que China se consolidaría como el segundo país que más consume crudo, después de Estados Unidos.</w:t>
      </w:r>
    </w:p>
    <w:p w14:paraId="37979CC7" w14:textId="77777777" w:rsidR="00277E11" w:rsidRPr="000430E0" w:rsidRDefault="00277E11" w:rsidP="00277E11">
      <w:pPr>
        <w:pStyle w:val="Prrafodelista"/>
        <w:ind w:left="426"/>
        <w:jc w:val="both"/>
        <w:rPr>
          <w:rFonts w:asciiTheme="minorHAnsi" w:hAnsiTheme="minorHAnsi" w:cstheme="minorHAnsi"/>
          <w:sz w:val="22"/>
          <w:szCs w:val="22"/>
        </w:rPr>
      </w:pPr>
    </w:p>
    <w:p w14:paraId="4E665057" w14:textId="77777777" w:rsidR="00277E11" w:rsidRPr="000430E0" w:rsidRDefault="00277E11" w:rsidP="00277E11">
      <w:pPr>
        <w:pStyle w:val="Prrafodelista"/>
        <w:ind w:left="426"/>
        <w:jc w:val="both"/>
        <w:rPr>
          <w:rFonts w:asciiTheme="minorHAnsi" w:hAnsiTheme="minorHAnsi" w:cstheme="minorHAnsi"/>
          <w:sz w:val="22"/>
          <w:szCs w:val="22"/>
        </w:rPr>
      </w:pPr>
    </w:p>
    <w:p w14:paraId="4624EF79" w14:textId="77777777" w:rsidR="00277E11" w:rsidRPr="000430E0" w:rsidRDefault="00277E11" w:rsidP="00277E11">
      <w:pPr>
        <w:pStyle w:val="Prrafodelista"/>
        <w:numPr>
          <w:ilvl w:val="0"/>
          <w:numId w:val="13"/>
        </w:numPr>
        <w:ind w:left="426"/>
        <w:contextualSpacing/>
        <w:jc w:val="both"/>
        <w:rPr>
          <w:rFonts w:asciiTheme="minorHAnsi" w:hAnsiTheme="minorHAnsi" w:cstheme="minorHAnsi"/>
          <w:b/>
          <w:bCs/>
          <w:sz w:val="22"/>
          <w:szCs w:val="22"/>
        </w:rPr>
      </w:pPr>
      <w:r w:rsidRPr="000430E0">
        <w:rPr>
          <w:rFonts w:asciiTheme="minorHAnsi" w:hAnsiTheme="minorHAnsi" w:cstheme="minorHAnsi"/>
          <w:b/>
          <w:bCs/>
          <w:sz w:val="22"/>
          <w:szCs w:val="22"/>
        </w:rPr>
        <w:t>La visión optimista de la OPEP sobre el crecimiento de la demanda petrolera en 2023 a un nivel de 101,8 millones de barriles por día.</w:t>
      </w:r>
    </w:p>
    <w:p w14:paraId="1203D4F1" w14:textId="77777777" w:rsidR="00277E11" w:rsidRPr="000430E0" w:rsidRDefault="00277E11" w:rsidP="00277E11">
      <w:pPr>
        <w:pStyle w:val="Prrafodelista"/>
        <w:ind w:left="426"/>
        <w:jc w:val="both"/>
        <w:rPr>
          <w:rFonts w:asciiTheme="minorHAnsi" w:hAnsiTheme="minorHAnsi" w:cstheme="minorHAnsi"/>
          <w:b/>
          <w:bCs/>
          <w:sz w:val="22"/>
          <w:szCs w:val="22"/>
        </w:rPr>
      </w:pPr>
    </w:p>
    <w:p w14:paraId="380CEF2D" w14:textId="77777777" w:rsidR="00277E11" w:rsidRPr="000430E0" w:rsidRDefault="00277E11" w:rsidP="00277E11">
      <w:pPr>
        <w:pStyle w:val="Prrafodelista"/>
        <w:ind w:left="426"/>
        <w:jc w:val="both"/>
        <w:rPr>
          <w:rFonts w:asciiTheme="minorHAnsi" w:hAnsiTheme="minorHAnsi" w:cstheme="minorHAnsi"/>
          <w:sz w:val="22"/>
          <w:szCs w:val="22"/>
        </w:rPr>
      </w:pPr>
      <w:r w:rsidRPr="000430E0">
        <w:rPr>
          <w:rFonts w:asciiTheme="minorHAnsi" w:hAnsiTheme="minorHAnsi" w:cstheme="minorHAnsi"/>
          <w:sz w:val="22"/>
          <w:szCs w:val="22"/>
        </w:rPr>
        <w:t>En el informe mensual de la OPEP, de enero 2023, se calcula que el mundo consumirá este 2023 unos 101,8 millones de barriles de crudo al día (</w:t>
      </w:r>
      <w:proofErr w:type="spellStart"/>
      <w:r w:rsidRPr="000430E0">
        <w:rPr>
          <w:rFonts w:asciiTheme="minorHAnsi" w:hAnsiTheme="minorHAnsi" w:cstheme="minorHAnsi"/>
          <w:sz w:val="22"/>
          <w:szCs w:val="22"/>
        </w:rPr>
        <w:t>mbd</w:t>
      </w:r>
      <w:proofErr w:type="spellEnd"/>
      <w:r w:rsidRPr="000430E0">
        <w:rPr>
          <w:rFonts w:asciiTheme="minorHAnsi" w:hAnsiTheme="minorHAnsi" w:cstheme="minorHAnsi"/>
          <w:sz w:val="22"/>
          <w:szCs w:val="22"/>
        </w:rPr>
        <w:t>), sin cambios desde sus estimaciones de diciembre 2022, bajo la advertencia de que esta previsión de la demanda está sujeta a muchas incertidumbres, como la evolución económica mundial, los cambios en las políticas para combatir el COVID y las tensiones geopolíticas en curso. Este nivel de demanda implica una subida del 2,2% respecto a la demanda del año 2022, siendo China e India los países que más influirán en el mencionado aumento.</w:t>
      </w:r>
    </w:p>
    <w:p w14:paraId="63407214" w14:textId="77777777" w:rsidR="00277E11" w:rsidRPr="000430E0" w:rsidRDefault="00277E11" w:rsidP="00277E11">
      <w:pPr>
        <w:pStyle w:val="Prrafodelista"/>
        <w:ind w:left="426"/>
        <w:jc w:val="both"/>
        <w:rPr>
          <w:rFonts w:asciiTheme="minorHAnsi" w:hAnsiTheme="minorHAnsi" w:cstheme="minorHAnsi"/>
          <w:sz w:val="22"/>
          <w:szCs w:val="22"/>
        </w:rPr>
      </w:pPr>
    </w:p>
    <w:p w14:paraId="3A655636" w14:textId="77777777" w:rsidR="00277E11" w:rsidRPr="000430E0" w:rsidRDefault="00277E11" w:rsidP="00277E11">
      <w:pPr>
        <w:pStyle w:val="Prrafodelista"/>
        <w:ind w:left="426"/>
        <w:jc w:val="both"/>
        <w:rPr>
          <w:rFonts w:asciiTheme="minorHAnsi" w:hAnsiTheme="minorHAnsi" w:cstheme="minorHAnsi"/>
          <w:sz w:val="22"/>
          <w:szCs w:val="22"/>
        </w:rPr>
      </w:pPr>
      <w:r w:rsidRPr="000430E0">
        <w:rPr>
          <w:rFonts w:asciiTheme="minorHAnsi" w:hAnsiTheme="minorHAnsi" w:cstheme="minorHAnsi"/>
          <w:sz w:val="22"/>
          <w:szCs w:val="22"/>
        </w:rPr>
        <w:t>Según la previsión de la OPEP, entre los países industrializados de Europa, América y Asia, integrados en la Organización para la Cooperación y Desarrollo Económico (OCDE), la subida de la demanda será en 2023, del 0,72%, menos de un tercio del aumento experimentado el año pasado. Respecto a Europa, el informe advierte que la inflación eleva el riesgo de una recesión y que la demanda de crudo podría estancarse en los dos primeros trimestres del 2023.</w:t>
      </w:r>
    </w:p>
    <w:p w14:paraId="5CA93380" w14:textId="77777777" w:rsidR="00277E11" w:rsidRPr="000430E0" w:rsidRDefault="00277E11" w:rsidP="00277E11">
      <w:pPr>
        <w:pStyle w:val="Prrafodelista"/>
        <w:ind w:left="426"/>
        <w:jc w:val="both"/>
        <w:rPr>
          <w:rFonts w:asciiTheme="minorHAnsi" w:hAnsiTheme="minorHAnsi" w:cstheme="minorHAnsi"/>
          <w:sz w:val="22"/>
          <w:szCs w:val="22"/>
        </w:rPr>
      </w:pPr>
    </w:p>
    <w:p w14:paraId="6229A631" w14:textId="77777777" w:rsidR="00277E11" w:rsidRPr="000430E0" w:rsidRDefault="00277E11" w:rsidP="00277E11">
      <w:pPr>
        <w:pStyle w:val="Prrafodelista"/>
        <w:ind w:left="426"/>
        <w:jc w:val="both"/>
        <w:rPr>
          <w:rFonts w:asciiTheme="minorHAnsi" w:hAnsiTheme="minorHAnsi" w:cstheme="minorHAnsi"/>
          <w:sz w:val="22"/>
          <w:szCs w:val="22"/>
        </w:rPr>
      </w:pPr>
      <w:r w:rsidRPr="000430E0">
        <w:rPr>
          <w:rFonts w:asciiTheme="minorHAnsi" w:hAnsiTheme="minorHAnsi" w:cstheme="minorHAnsi"/>
          <w:sz w:val="22"/>
          <w:szCs w:val="22"/>
        </w:rPr>
        <w:t>En Estados Unidos, el aumento de la demanda en el primer y segundo trimestres del 2023 estará impulsada principalmente por el diésel y el combustible de aviación. Para América Latina, la OPEP espera una ralentización del crecimiento económico.</w:t>
      </w:r>
    </w:p>
    <w:p w14:paraId="72D986D5" w14:textId="77777777" w:rsidR="00277E11" w:rsidRPr="000430E0" w:rsidRDefault="00277E11" w:rsidP="00277E11">
      <w:pPr>
        <w:pStyle w:val="Prrafodelista"/>
        <w:ind w:left="426"/>
        <w:jc w:val="both"/>
        <w:rPr>
          <w:rFonts w:asciiTheme="minorHAnsi" w:hAnsiTheme="minorHAnsi" w:cstheme="minorHAnsi"/>
          <w:sz w:val="22"/>
          <w:szCs w:val="22"/>
        </w:rPr>
      </w:pPr>
    </w:p>
    <w:p w14:paraId="121A24BF" w14:textId="758B14CD" w:rsidR="00AD6299" w:rsidRDefault="00277E11" w:rsidP="00277E11">
      <w:pPr>
        <w:pStyle w:val="Prrafodelista"/>
        <w:ind w:left="426"/>
        <w:jc w:val="both"/>
        <w:rPr>
          <w:rFonts w:asciiTheme="minorHAnsi" w:hAnsiTheme="minorHAnsi" w:cstheme="minorHAnsi"/>
          <w:sz w:val="22"/>
          <w:szCs w:val="22"/>
        </w:rPr>
      </w:pPr>
      <w:r w:rsidRPr="000430E0">
        <w:rPr>
          <w:rFonts w:asciiTheme="minorHAnsi" w:hAnsiTheme="minorHAnsi" w:cstheme="minorHAnsi"/>
          <w:sz w:val="22"/>
          <w:szCs w:val="22"/>
        </w:rPr>
        <w:t>En su reunión del 4 de diciembre, los miembros de la OPEP acordaron mantener sus objetivos de producción de petróleo, que consideran el recorte de la producción en 2 millones de barriles diarios (bpd), alrededor del 2% de la demanda mundial, desde noviembre 2022 hasta finales de 2023</w:t>
      </w:r>
      <w:r w:rsidR="0091224C" w:rsidRPr="00704228">
        <w:rPr>
          <w:rFonts w:asciiTheme="minorHAnsi" w:hAnsiTheme="minorHAnsi" w:cstheme="minorHAnsi"/>
          <w:sz w:val="22"/>
          <w:szCs w:val="22"/>
        </w:rPr>
        <w:t>.</w:t>
      </w:r>
    </w:p>
    <w:p w14:paraId="73A9FEEC" w14:textId="2D0862D3" w:rsidR="00277E11" w:rsidRDefault="00277E11" w:rsidP="00277E11">
      <w:pPr>
        <w:pStyle w:val="Prrafodelista"/>
        <w:ind w:left="426"/>
        <w:jc w:val="both"/>
        <w:rPr>
          <w:rFonts w:asciiTheme="minorHAnsi" w:hAnsiTheme="minorHAnsi" w:cstheme="minorHAnsi"/>
          <w:sz w:val="22"/>
          <w:szCs w:val="22"/>
        </w:rPr>
      </w:pPr>
    </w:p>
    <w:p w14:paraId="35C40F58" w14:textId="77777777" w:rsidR="00277E11" w:rsidRDefault="00277E11" w:rsidP="00277E11">
      <w:pPr>
        <w:pStyle w:val="Prrafodelista"/>
        <w:ind w:left="426"/>
        <w:jc w:val="both"/>
        <w:rPr>
          <w:rFonts w:asciiTheme="minorHAnsi" w:hAnsiTheme="minorHAnsi" w:cstheme="minorHAnsi"/>
          <w:sz w:val="22"/>
          <w:szCs w:val="22"/>
        </w:rPr>
      </w:pPr>
    </w:p>
    <w:p w14:paraId="2369B158" w14:textId="77777777" w:rsidR="00973DE9" w:rsidRPr="00AD6299" w:rsidRDefault="00973DE9" w:rsidP="00973DE9">
      <w:pPr>
        <w:ind w:left="426"/>
        <w:jc w:val="both"/>
        <w:rPr>
          <w:rFonts w:asciiTheme="minorHAnsi" w:hAnsiTheme="minorHAnsi" w:cstheme="minorHAnsi"/>
          <w:sz w:val="22"/>
          <w:szCs w:val="22"/>
        </w:rPr>
      </w:pPr>
    </w:p>
    <w:p w14:paraId="0B18F734" w14:textId="7A0F3A7D" w:rsidR="007F6458" w:rsidRPr="007F6458" w:rsidRDefault="007F6458" w:rsidP="007F6458">
      <w:pPr>
        <w:ind w:left="426"/>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lastRenderedPageBreak/>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proofErr w:type="spellStart"/>
      <w:r w:rsidR="00FD6B4B" w:rsidRPr="00FD6B4B">
        <w:rPr>
          <w:rFonts w:asciiTheme="minorHAnsi" w:hAnsiTheme="minorHAnsi" w:cstheme="minorHAnsi"/>
          <w:sz w:val="22"/>
          <w:szCs w:val="22"/>
        </w:rPr>
        <w:t>Diesel</w:t>
      </w:r>
      <w:proofErr w:type="spellEnd"/>
      <w:r w:rsidR="00FD6B4B" w:rsidRPr="00FD6B4B">
        <w:rPr>
          <w:rFonts w:asciiTheme="minorHAnsi" w:hAnsiTheme="minorHAnsi" w:cstheme="minorHAnsi"/>
          <w:sz w:val="22"/>
          <w:szCs w:val="22"/>
        </w:rPr>
        <w:t xml:space="preserve">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590C6561" w:rsidR="0074476A"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5EFC9D28" w14:textId="77777777" w:rsidR="004D4B7D" w:rsidRDefault="004D4B7D" w:rsidP="004D4B7D">
      <w:pPr>
        <w:pStyle w:val="Prrafodelista"/>
        <w:rPr>
          <w:rFonts w:asciiTheme="minorHAnsi" w:hAnsiTheme="minorHAnsi" w:cstheme="minorHAnsi"/>
          <w:sz w:val="22"/>
          <w:szCs w:val="22"/>
        </w:rPr>
      </w:pPr>
    </w:p>
    <w:p w14:paraId="58929CEF" w14:textId="3C6B5028" w:rsidR="004D4B7D" w:rsidRDefault="004D4B7D" w:rsidP="004D4B7D">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Mediante Resolución N”074-2022-OS/GRT, se fijaron, entre otros, las Bandas de Precios y los Márgenes Comerciales para el Petróleo Industrial N°6 utilizado en actividades de generación eléctrica en sistemas eléctricos Aislados, con vigencia a partir del 30 de diciembre de 2022 hasta el 23 de febrero de 2023.</w:t>
      </w:r>
    </w:p>
    <w:p w14:paraId="45AAA73A" w14:textId="273014A8"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0A45E724" w14:textId="77777777" w:rsidR="004D4B7D" w:rsidRPr="00562D12" w:rsidRDefault="004D4B7D" w:rsidP="004D4B7D">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17</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29</w:t>
      </w:r>
      <w:r w:rsidRPr="0020425C">
        <w:rPr>
          <w:rFonts w:asciiTheme="minorHAnsi" w:hAnsiTheme="minorHAnsi" w:cstheme="minorHAnsi"/>
          <w:sz w:val="22"/>
          <w:szCs w:val="22"/>
        </w:rPr>
        <w:t xml:space="preserve"> de </w:t>
      </w:r>
      <w:r>
        <w:rPr>
          <w:rFonts w:asciiTheme="minorHAnsi" w:hAnsiTheme="minorHAnsi" w:cstheme="minorHAnsi"/>
          <w:sz w:val="22"/>
          <w:szCs w:val="22"/>
        </w:rPr>
        <w:t>diciembre</w:t>
      </w:r>
      <w:r w:rsidRPr="0020425C">
        <w:rPr>
          <w:rFonts w:asciiTheme="minorHAnsi" w:hAnsiTheme="minorHAnsi" w:cstheme="minorHAnsi"/>
          <w:sz w:val="22"/>
          <w:szCs w:val="22"/>
        </w:rPr>
        <w:t xml:space="preserve"> de 2022, se modificó el numeral 1.1 del artículo 1 del Decreto 002 </w:t>
      </w:r>
      <w:r>
        <w:rPr>
          <w:rFonts w:asciiTheme="minorHAnsi" w:hAnsiTheme="minorHAnsi" w:cstheme="minorHAnsi"/>
          <w:sz w:val="22"/>
          <w:szCs w:val="22"/>
        </w:rPr>
        <w:t xml:space="preserve">extendiendo la inclusión del </w:t>
      </w:r>
      <w:r w:rsidRPr="0020425C">
        <w:rPr>
          <w:rFonts w:asciiTheme="minorHAnsi" w:hAnsiTheme="minorHAnsi" w:cstheme="minorHAnsi"/>
          <w:sz w:val="22"/>
          <w:szCs w:val="22"/>
        </w:rPr>
        <w:t>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marzo</w:t>
      </w:r>
      <w:r w:rsidRPr="0020425C">
        <w:rPr>
          <w:rFonts w:asciiTheme="minorHAnsi" w:hAnsiTheme="minorHAnsi" w:cstheme="minorHAnsi"/>
          <w:sz w:val="22"/>
          <w:szCs w:val="22"/>
        </w:rPr>
        <w:t xml:space="preserve"> de 202</w:t>
      </w:r>
      <w:r>
        <w:rPr>
          <w:rFonts w:asciiTheme="minorHAnsi" w:hAnsiTheme="minorHAnsi" w:cstheme="minorHAnsi"/>
          <w:sz w:val="22"/>
          <w:szCs w:val="22"/>
        </w:rPr>
        <w:t>3.</w:t>
      </w:r>
    </w:p>
    <w:p w14:paraId="7A953DAE" w14:textId="77777777" w:rsidR="004D4B7D" w:rsidRDefault="004D4B7D" w:rsidP="0074476A">
      <w:pPr>
        <w:pStyle w:val="Textonotapie"/>
        <w:tabs>
          <w:tab w:val="left" w:pos="709"/>
        </w:tabs>
        <w:spacing w:before="0" w:after="0"/>
        <w:ind w:left="568"/>
        <w:rPr>
          <w:rFonts w:asciiTheme="minorHAnsi" w:hAnsiTheme="minorHAnsi" w:cstheme="minorHAnsi"/>
          <w:sz w:val="22"/>
          <w:szCs w:val="22"/>
        </w:rPr>
      </w:pPr>
    </w:p>
    <w:p w14:paraId="24F917D0" w14:textId="77777777" w:rsidR="004D4B7D" w:rsidRDefault="009F0937" w:rsidP="003D1BCE">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4D4B7D">
        <w:rPr>
          <w:rFonts w:asciiTheme="minorHAnsi" w:hAnsiTheme="minorHAnsi" w:cstheme="minorHAnsi"/>
          <w:sz w:val="22"/>
          <w:szCs w:val="22"/>
        </w:rPr>
        <w:t>Mediante Resolución N° 0</w:t>
      </w:r>
      <w:r w:rsidR="004D4B7D" w:rsidRPr="004D4B7D">
        <w:rPr>
          <w:rFonts w:asciiTheme="minorHAnsi" w:hAnsiTheme="minorHAnsi" w:cstheme="minorHAnsi"/>
          <w:sz w:val="22"/>
          <w:szCs w:val="22"/>
        </w:rPr>
        <w:t>03</w:t>
      </w:r>
      <w:r w:rsidRPr="004D4B7D">
        <w:rPr>
          <w:rFonts w:asciiTheme="minorHAnsi" w:hAnsiTheme="minorHAnsi" w:cstheme="minorHAnsi"/>
          <w:sz w:val="22"/>
          <w:szCs w:val="22"/>
        </w:rPr>
        <w:t>-202</w:t>
      </w:r>
      <w:r w:rsidR="004D4B7D" w:rsidRPr="004D4B7D">
        <w:rPr>
          <w:rFonts w:asciiTheme="minorHAnsi" w:hAnsiTheme="minorHAnsi" w:cstheme="minorHAnsi"/>
          <w:sz w:val="22"/>
          <w:szCs w:val="22"/>
        </w:rPr>
        <w:t>3</w:t>
      </w:r>
      <w:r w:rsidRPr="004D4B7D">
        <w:rPr>
          <w:rFonts w:asciiTheme="minorHAnsi" w:hAnsiTheme="minorHAnsi" w:cstheme="minorHAnsi"/>
          <w:sz w:val="22"/>
          <w:szCs w:val="22"/>
        </w:rPr>
        <w:t>-OS/GRT, se fijaron la</w:t>
      </w:r>
      <w:r w:rsidR="00952F32" w:rsidRPr="004D4B7D">
        <w:rPr>
          <w:rFonts w:asciiTheme="minorHAnsi" w:hAnsiTheme="minorHAnsi" w:cstheme="minorHAnsi"/>
          <w:sz w:val="22"/>
          <w:szCs w:val="22"/>
        </w:rPr>
        <w:t>s</w:t>
      </w:r>
      <w:r w:rsidRPr="004D4B7D">
        <w:rPr>
          <w:rFonts w:asciiTheme="minorHAnsi" w:hAnsiTheme="minorHAnsi" w:cstheme="minorHAnsi"/>
          <w:sz w:val="22"/>
          <w:szCs w:val="22"/>
        </w:rPr>
        <w:t xml:space="preserve"> Bandas de Precios y los Márgenes Comerciales para</w:t>
      </w:r>
      <w:r w:rsidR="0079038D" w:rsidRPr="004D4B7D">
        <w:rPr>
          <w:rFonts w:asciiTheme="minorHAnsi" w:hAnsiTheme="minorHAnsi" w:cstheme="minorHAnsi"/>
          <w:sz w:val="22"/>
          <w:szCs w:val="22"/>
        </w:rPr>
        <w:t xml:space="preserve"> el </w:t>
      </w:r>
      <w:r w:rsidR="004D4B7D" w:rsidRPr="004D4B7D">
        <w:rPr>
          <w:rFonts w:asciiTheme="minorHAnsi" w:hAnsiTheme="minorHAnsi" w:cstheme="minorHAnsi"/>
          <w:sz w:val="22"/>
          <w:szCs w:val="22"/>
        </w:rPr>
        <w:t xml:space="preserve">Gas Licuado de Petróleo destinado a envasado (GLP-E), el Gas Licuado de Petróleo destinado a granel (GLP-G) y </w:t>
      </w:r>
      <w:r w:rsidR="0079038D" w:rsidRPr="004D4B7D">
        <w:rPr>
          <w:rFonts w:asciiTheme="minorHAnsi" w:hAnsiTheme="minorHAnsi" w:cstheme="minorHAnsi"/>
          <w:sz w:val="22"/>
          <w:szCs w:val="22"/>
        </w:rPr>
        <w:t>Diésel B5 destinado al uso vehicular</w:t>
      </w:r>
      <w:r w:rsidR="00A526AB" w:rsidRPr="004D4B7D">
        <w:rPr>
          <w:rFonts w:asciiTheme="minorHAnsi" w:hAnsiTheme="minorHAnsi" w:cstheme="minorHAnsi"/>
          <w:sz w:val="22"/>
          <w:szCs w:val="22"/>
        </w:rPr>
        <w:t xml:space="preserve"> </w:t>
      </w:r>
      <w:r w:rsidR="009C0925" w:rsidRPr="004D4B7D">
        <w:rPr>
          <w:rFonts w:asciiTheme="minorHAnsi" w:hAnsiTheme="minorHAnsi" w:cstheme="minorHAnsi"/>
          <w:sz w:val="22"/>
          <w:szCs w:val="22"/>
        </w:rPr>
        <w:t xml:space="preserve">con vigencia desde el </w:t>
      </w:r>
      <w:r w:rsidR="004D4B7D" w:rsidRPr="004D4B7D">
        <w:rPr>
          <w:rFonts w:asciiTheme="minorHAnsi" w:hAnsiTheme="minorHAnsi" w:cstheme="minorHAnsi"/>
          <w:sz w:val="22"/>
          <w:szCs w:val="22"/>
        </w:rPr>
        <w:t>27</w:t>
      </w:r>
      <w:r w:rsidR="009C0925" w:rsidRPr="004D4B7D">
        <w:rPr>
          <w:rFonts w:asciiTheme="minorHAnsi" w:hAnsiTheme="minorHAnsi" w:cstheme="minorHAnsi"/>
          <w:sz w:val="22"/>
          <w:szCs w:val="22"/>
        </w:rPr>
        <w:t xml:space="preserve"> de </w:t>
      </w:r>
      <w:r w:rsidR="004D4B7D" w:rsidRPr="004D4B7D">
        <w:rPr>
          <w:rFonts w:asciiTheme="minorHAnsi" w:hAnsiTheme="minorHAnsi" w:cstheme="minorHAnsi"/>
          <w:sz w:val="22"/>
          <w:szCs w:val="22"/>
        </w:rPr>
        <w:t>enero</w:t>
      </w:r>
      <w:r w:rsidR="009C0925" w:rsidRPr="004D4B7D">
        <w:rPr>
          <w:rFonts w:asciiTheme="minorHAnsi" w:hAnsiTheme="minorHAnsi" w:cstheme="minorHAnsi"/>
          <w:sz w:val="22"/>
          <w:szCs w:val="22"/>
        </w:rPr>
        <w:t xml:space="preserve"> hasta el jueves 2</w:t>
      </w:r>
      <w:r w:rsidR="004D4B7D" w:rsidRPr="004D4B7D">
        <w:rPr>
          <w:rFonts w:asciiTheme="minorHAnsi" w:hAnsiTheme="minorHAnsi" w:cstheme="minorHAnsi"/>
          <w:sz w:val="22"/>
          <w:szCs w:val="22"/>
        </w:rPr>
        <w:t>3</w:t>
      </w:r>
      <w:r w:rsidR="009C0925" w:rsidRPr="004D4B7D">
        <w:rPr>
          <w:rFonts w:asciiTheme="minorHAnsi" w:hAnsiTheme="minorHAnsi" w:cstheme="minorHAnsi"/>
          <w:sz w:val="22"/>
          <w:szCs w:val="22"/>
        </w:rPr>
        <w:t xml:space="preserve"> de </w:t>
      </w:r>
      <w:r w:rsidR="004D4B7D" w:rsidRPr="004D4B7D">
        <w:rPr>
          <w:rFonts w:asciiTheme="minorHAnsi" w:hAnsiTheme="minorHAnsi" w:cstheme="minorHAnsi"/>
          <w:sz w:val="22"/>
          <w:szCs w:val="22"/>
        </w:rPr>
        <w:t>febrer</w:t>
      </w:r>
      <w:r w:rsidR="009C0925" w:rsidRPr="004D4B7D">
        <w:rPr>
          <w:rFonts w:asciiTheme="minorHAnsi" w:hAnsiTheme="minorHAnsi" w:cstheme="minorHAnsi"/>
          <w:sz w:val="22"/>
          <w:szCs w:val="22"/>
        </w:rPr>
        <w:t>o de 2023.</w:t>
      </w:r>
    </w:p>
    <w:p w14:paraId="394E0522" w14:textId="57921E4E" w:rsidR="00162126" w:rsidRDefault="009C0925" w:rsidP="004D4B7D">
      <w:pPr>
        <w:pStyle w:val="Textonotapie"/>
        <w:tabs>
          <w:tab w:val="left" w:pos="709"/>
        </w:tabs>
        <w:spacing w:before="0" w:after="0"/>
        <w:ind w:left="568"/>
        <w:rPr>
          <w:rFonts w:asciiTheme="minorHAnsi" w:hAnsiTheme="minorHAnsi" w:cstheme="minorHAnsi"/>
          <w:sz w:val="22"/>
          <w:szCs w:val="22"/>
        </w:rPr>
      </w:pPr>
      <w:r w:rsidRPr="004D4B7D">
        <w:rPr>
          <w:rFonts w:asciiTheme="minorHAnsi" w:hAnsiTheme="minorHAnsi" w:cstheme="minorHAnsi"/>
          <w:sz w:val="22"/>
          <w:szCs w:val="22"/>
        </w:rPr>
        <w:t xml:space="preserve"> </w:t>
      </w:r>
    </w:p>
    <w:p w14:paraId="304D497A" w14:textId="735D0B62" w:rsidR="00277E11" w:rsidRDefault="00277E11" w:rsidP="00277E11">
      <w:pPr>
        <w:pStyle w:val="Sangradetextonormal"/>
        <w:numPr>
          <w:ilvl w:val="0"/>
          <w:numId w:val="16"/>
        </w:numPr>
        <w:ind w:left="568" w:hanging="426"/>
        <w:rPr>
          <w:rFonts w:asciiTheme="minorHAnsi" w:hAnsiTheme="minorHAnsi" w:cstheme="minorHAnsi"/>
          <w:sz w:val="22"/>
          <w:szCs w:val="22"/>
        </w:rPr>
      </w:pPr>
      <w:r w:rsidRPr="00300844">
        <w:rPr>
          <w:rFonts w:asciiTheme="minorHAnsi" w:hAnsiTheme="minorHAnsi" w:cstheme="minorHAnsi"/>
          <w:sz w:val="22"/>
          <w:szCs w:val="22"/>
        </w:rPr>
        <w:lastRenderedPageBreak/>
        <w:t>Teniendo en cuenta las Bandas de Precios y los Márgenes Comerciales de los combustibles establecidos mediante la Resoluci</w:t>
      </w:r>
      <w:r>
        <w:rPr>
          <w:rFonts w:asciiTheme="minorHAnsi" w:hAnsiTheme="minorHAnsi" w:cstheme="minorHAnsi"/>
          <w:sz w:val="22"/>
          <w:szCs w:val="22"/>
        </w:rPr>
        <w:t xml:space="preserve">ón </w:t>
      </w:r>
      <w:r w:rsidRPr="00300844">
        <w:rPr>
          <w:rFonts w:asciiTheme="minorHAnsi" w:hAnsiTheme="minorHAnsi" w:cstheme="minorHAnsi"/>
          <w:sz w:val="22"/>
          <w:szCs w:val="22"/>
        </w:rPr>
        <w:t>de la Gerencia de Regulación Tarifaria Osinergmin N° 0</w:t>
      </w:r>
      <w:r>
        <w:rPr>
          <w:rFonts w:asciiTheme="minorHAnsi" w:hAnsiTheme="minorHAnsi" w:cstheme="minorHAnsi"/>
          <w:sz w:val="22"/>
          <w:szCs w:val="22"/>
        </w:rPr>
        <w:t>74</w:t>
      </w:r>
      <w:r w:rsidRPr="00300844">
        <w:rPr>
          <w:rFonts w:asciiTheme="minorHAnsi" w:hAnsiTheme="minorHAnsi" w:cstheme="minorHAnsi"/>
          <w:sz w:val="22"/>
          <w:szCs w:val="22"/>
        </w:rPr>
        <w:t xml:space="preserve">-2022-OS/GRT, el MINEM publicó los Factores de Aportación y/o Compensación vigentes desde el </w:t>
      </w:r>
      <w:r>
        <w:rPr>
          <w:rFonts w:asciiTheme="minorHAnsi" w:hAnsiTheme="minorHAnsi" w:cstheme="minorHAnsi"/>
          <w:sz w:val="22"/>
          <w:szCs w:val="22"/>
        </w:rPr>
        <w:t xml:space="preserve">martes </w:t>
      </w:r>
      <w:r>
        <w:rPr>
          <w:rFonts w:asciiTheme="minorHAnsi" w:hAnsiTheme="minorHAnsi" w:cstheme="minorHAnsi"/>
          <w:sz w:val="22"/>
          <w:szCs w:val="22"/>
        </w:rPr>
        <w:t>31 de enero</w:t>
      </w:r>
      <w:r w:rsidRPr="00300844">
        <w:rPr>
          <w:rFonts w:asciiTheme="minorHAnsi" w:hAnsiTheme="minorHAnsi" w:cstheme="minorHAnsi"/>
          <w:sz w:val="22"/>
          <w:szCs w:val="22"/>
        </w:rPr>
        <w:t xml:space="preserve"> al </w:t>
      </w:r>
      <w:r>
        <w:rPr>
          <w:rFonts w:asciiTheme="minorHAnsi" w:hAnsiTheme="minorHAnsi" w:cstheme="minorHAnsi"/>
          <w:sz w:val="22"/>
          <w:szCs w:val="22"/>
        </w:rPr>
        <w:t xml:space="preserve">lunes </w:t>
      </w:r>
      <w:r>
        <w:rPr>
          <w:rFonts w:asciiTheme="minorHAnsi" w:hAnsiTheme="minorHAnsi" w:cstheme="minorHAnsi"/>
          <w:sz w:val="22"/>
          <w:szCs w:val="22"/>
        </w:rPr>
        <w:t>06</w:t>
      </w:r>
      <w:r w:rsidRPr="00300844">
        <w:rPr>
          <w:rFonts w:asciiTheme="minorHAnsi" w:hAnsiTheme="minorHAnsi" w:cstheme="minorHAnsi"/>
          <w:sz w:val="22"/>
          <w:szCs w:val="22"/>
        </w:rPr>
        <w:t xml:space="preserve"> de </w:t>
      </w:r>
      <w:r>
        <w:rPr>
          <w:rFonts w:asciiTheme="minorHAnsi" w:hAnsiTheme="minorHAnsi" w:cstheme="minorHAnsi"/>
          <w:sz w:val="22"/>
          <w:szCs w:val="22"/>
        </w:rPr>
        <w:t>febrero</w:t>
      </w:r>
      <w:r w:rsidRPr="00300844">
        <w:rPr>
          <w:rFonts w:asciiTheme="minorHAnsi" w:hAnsiTheme="minorHAnsi" w:cstheme="minorHAnsi"/>
          <w:sz w:val="22"/>
          <w:szCs w:val="22"/>
        </w:rPr>
        <w:t xml:space="preserve"> de 202</w:t>
      </w:r>
      <w:r>
        <w:rPr>
          <w:rFonts w:asciiTheme="minorHAnsi" w:hAnsiTheme="minorHAnsi" w:cstheme="minorHAnsi"/>
          <w:sz w:val="22"/>
          <w:szCs w:val="22"/>
        </w:rPr>
        <w:t>3</w:t>
      </w:r>
      <w:r w:rsidRPr="00300844">
        <w:rPr>
          <w:rFonts w:asciiTheme="minorHAnsi" w:hAnsiTheme="minorHAnsi" w:cstheme="minorHAnsi"/>
          <w:sz w:val="22"/>
          <w:szCs w:val="22"/>
        </w:rPr>
        <w:t>.</w:t>
      </w:r>
    </w:p>
    <w:p w14:paraId="20088CF0" w14:textId="77777777" w:rsidR="00277E11" w:rsidRDefault="00277E11" w:rsidP="00277E11">
      <w:pPr>
        <w:pStyle w:val="Prrafodelista"/>
        <w:rPr>
          <w:rFonts w:asciiTheme="minorHAnsi" w:hAnsiTheme="minorHAnsi" w:cstheme="minorHAnsi"/>
          <w:sz w:val="22"/>
          <w:szCs w:val="22"/>
        </w:rPr>
      </w:pPr>
    </w:p>
    <w:p w14:paraId="157D0B3E" w14:textId="130D8849" w:rsidR="00352B3A" w:rsidRPr="004D4B7D" w:rsidRDefault="00277E11" w:rsidP="00277E11">
      <w:pPr>
        <w:pStyle w:val="Sangradetextonormal"/>
        <w:numPr>
          <w:ilvl w:val="0"/>
          <w:numId w:val="16"/>
        </w:numPr>
        <w:ind w:left="568" w:hanging="426"/>
        <w:rPr>
          <w:rFonts w:asciiTheme="minorHAnsi" w:hAnsiTheme="minorHAnsi" w:cstheme="minorHAnsi"/>
          <w:sz w:val="22"/>
          <w:szCs w:val="22"/>
        </w:rPr>
      </w:pPr>
      <w:r w:rsidRPr="00232A32">
        <w:rPr>
          <w:rFonts w:asciiTheme="minorHAnsi" w:hAnsiTheme="minorHAnsi" w:cstheme="minorHAnsi"/>
          <w:sz w:val="22"/>
          <w:szCs w:val="22"/>
        </w:rPr>
        <w:t xml:space="preserve">El día </w:t>
      </w:r>
      <w:r>
        <w:rPr>
          <w:rFonts w:asciiTheme="minorHAnsi" w:hAnsiTheme="minorHAnsi" w:cstheme="minorHAnsi"/>
          <w:sz w:val="22"/>
          <w:szCs w:val="22"/>
        </w:rPr>
        <w:t>01</w:t>
      </w:r>
      <w:r w:rsidRPr="00232A32">
        <w:rPr>
          <w:rFonts w:asciiTheme="minorHAnsi" w:hAnsiTheme="minorHAnsi" w:cstheme="minorHAnsi"/>
          <w:sz w:val="22"/>
          <w:szCs w:val="22"/>
        </w:rPr>
        <w:t>.</w:t>
      </w:r>
      <w:r>
        <w:rPr>
          <w:rFonts w:asciiTheme="minorHAnsi" w:hAnsiTheme="minorHAnsi" w:cstheme="minorHAnsi"/>
          <w:sz w:val="22"/>
          <w:szCs w:val="22"/>
        </w:rPr>
        <w:t>02</w:t>
      </w:r>
      <w:r w:rsidRPr="00232A32">
        <w:rPr>
          <w:rFonts w:asciiTheme="minorHAnsi" w:hAnsiTheme="minorHAnsi" w:cstheme="minorHAnsi"/>
          <w:sz w:val="22"/>
          <w:szCs w:val="22"/>
        </w:rPr>
        <w:t>.202</w:t>
      </w:r>
      <w:r>
        <w:rPr>
          <w:rFonts w:asciiTheme="minorHAnsi" w:hAnsiTheme="minorHAnsi" w:cstheme="minorHAnsi"/>
          <w:sz w:val="22"/>
          <w:szCs w:val="22"/>
        </w:rPr>
        <w:t>3</w:t>
      </w:r>
      <w:r w:rsidRPr="00232A32">
        <w:rPr>
          <w:rFonts w:asciiTheme="minorHAnsi" w:hAnsiTheme="minorHAnsi" w:cstheme="minorHAnsi"/>
          <w:sz w:val="22"/>
          <w:szCs w:val="22"/>
        </w:rPr>
        <w:t>, PETROPERÚ publicó su lista de precios de venta de combustibles. Se registraron variaciones en los precios de las gasolinas de 97 (+0.</w:t>
      </w:r>
      <w:r>
        <w:rPr>
          <w:rFonts w:asciiTheme="minorHAnsi" w:hAnsiTheme="minorHAnsi" w:cstheme="minorHAnsi"/>
          <w:sz w:val="22"/>
          <w:szCs w:val="22"/>
        </w:rPr>
        <w:t>64</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95 (+0.</w:t>
      </w:r>
      <w:r>
        <w:rPr>
          <w:rFonts w:asciiTheme="minorHAnsi" w:hAnsiTheme="minorHAnsi" w:cstheme="minorHAnsi"/>
          <w:sz w:val="22"/>
          <w:szCs w:val="22"/>
        </w:rPr>
        <w:t>65</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90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65</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84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66</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octanos, los gasoholes de 97 (+0.</w:t>
      </w:r>
      <w:r>
        <w:rPr>
          <w:rFonts w:asciiTheme="minorHAnsi" w:hAnsiTheme="minorHAnsi" w:cstheme="minorHAnsi"/>
          <w:sz w:val="22"/>
          <w:szCs w:val="22"/>
        </w:rPr>
        <w:t>55</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95(+0.</w:t>
      </w:r>
      <w:r>
        <w:rPr>
          <w:rFonts w:asciiTheme="minorHAnsi" w:hAnsiTheme="minorHAnsi" w:cstheme="minorHAnsi"/>
          <w:sz w:val="22"/>
          <w:szCs w:val="22"/>
        </w:rPr>
        <w:t>55</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90(+0.</w:t>
      </w:r>
      <w:r>
        <w:rPr>
          <w:rFonts w:asciiTheme="minorHAnsi" w:hAnsiTheme="minorHAnsi" w:cstheme="minorHAnsi"/>
          <w:sz w:val="22"/>
          <w:szCs w:val="22"/>
        </w:rPr>
        <w:t>55</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84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62</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xml:space="preserve">) octanos, así como en el </w:t>
      </w:r>
      <w:proofErr w:type="spellStart"/>
      <w:r w:rsidRPr="00232A32">
        <w:rPr>
          <w:rFonts w:asciiTheme="minorHAnsi" w:hAnsiTheme="minorHAnsi" w:cstheme="minorHAnsi"/>
          <w:sz w:val="22"/>
          <w:szCs w:val="22"/>
        </w:rPr>
        <w:t>Diesel</w:t>
      </w:r>
      <w:proofErr w:type="spellEnd"/>
      <w:r w:rsidRPr="00232A32">
        <w:rPr>
          <w:rFonts w:asciiTheme="minorHAnsi" w:hAnsiTheme="minorHAnsi" w:cstheme="minorHAnsi"/>
          <w:sz w:val="22"/>
          <w:szCs w:val="22"/>
        </w:rPr>
        <w:t xml:space="preserve"> B5(</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41</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los residuales R6(</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30</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R500(</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28</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w:t>
      </w:r>
      <w:r>
        <w:rPr>
          <w:rFonts w:asciiTheme="minorHAnsi" w:hAnsiTheme="minorHAnsi" w:cstheme="minorHAnsi"/>
          <w:sz w:val="22"/>
          <w:szCs w:val="22"/>
        </w:rPr>
        <w:t>.</w:t>
      </w:r>
      <w:r w:rsidR="004D4B7D" w:rsidRPr="004D4B7D">
        <w:rPr>
          <w:rFonts w:asciiTheme="minorHAnsi" w:hAnsiTheme="minorHAnsi" w:cstheme="minorHAnsi"/>
          <w:sz w:val="22"/>
          <w:szCs w:val="22"/>
        </w:rPr>
        <w:t xml:space="preserve"> </w:t>
      </w:r>
    </w:p>
    <w:p w14:paraId="2C4AC7AC" w14:textId="75DAD3FE" w:rsidR="009D32AB" w:rsidRPr="00232A32" w:rsidRDefault="00300844" w:rsidP="00352B3A">
      <w:pPr>
        <w:pStyle w:val="Sangradetextonormal"/>
        <w:rPr>
          <w:rFonts w:asciiTheme="minorHAnsi" w:hAnsiTheme="minorHAnsi" w:cstheme="minorHAnsi"/>
          <w:sz w:val="22"/>
          <w:szCs w:val="22"/>
        </w:rPr>
      </w:pPr>
      <w:r w:rsidRPr="00232A32">
        <w:rPr>
          <w:rFonts w:asciiTheme="minorHAnsi" w:hAnsiTheme="minorHAnsi" w:cstheme="minorHAnsi"/>
          <w:sz w:val="22"/>
          <w:szCs w:val="22"/>
        </w:rPr>
        <w:br w:type="page"/>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5312B21B" w14:textId="77777777" w:rsidR="00352B3A" w:rsidRDefault="00352B3A">
      <w:pPr>
        <w:rPr>
          <w:rFonts w:asciiTheme="minorHAnsi" w:hAnsiTheme="minorHAnsi" w:cstheme="minorHAnsi"/>
          <w:sz w:val="22"/>
          <w:szCs w:val="22"/>
        </w:rPr>
      </w:pPr>
    </w:p>
    <w:p w14:paraId="2516A28A" w14:textId="67CA32FB"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68171A31" w14:textId="7AFCD708"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 la composición porcentual de los Precios de Referencia de Combustibles, durante e</w:t>
      </w:r>
      <w:r w:rsidR="009D3604">
        <w:rPr>
          <w:rFonts w:asciiTheme="minorHAnsi" w:hAnsiTheme="minorHAnsi" w:cstheme="minorHAnsi"/>
          <w:sz w:val="22"/>
          <w:szCs w:val="22"/>
        </w:rPr>
        <w:t xml:space="preserve">l periodo comprendido entre el </w:t>
      </w:r>
      <w:r w:rsidR="00277E11">
        <w:rPr>
          <w:rFonts w:asciiTheme="minorHAnsi" w:hAnsiTheme="minorHAnsi" w:cstheme="minorHAnsi"/>
          <w:sz w:val="22"/>
          <w:szCs w:val="22"/>
        </w:rPr>
        <w:t>23</w:t>
      </w:r>
      <w:r>
        <w:rPr>
          <w:rFonts w:asciiTheme="minorHAnsi" w:hAnsiTheme="minorHAnsi" w:cstheme="minorHAnsi"/>
          <w:sz w:val="22"/>
          <w:szCs w:val="22"/>
        </w:rPr>
        <w:t xml:space="preserve">/01/2023 y el </w:t>
      </w:r>
      <w:r w:rsidR="00277E11">
        <w:rPr>
          <w:rFonts w:asciiTheme="minorHAnsi" w:hAnsiTheme="minorHAnsi" w:cstheme="minorHAnsi"/>
          <w:sz w:val="22"/>
          <w:szCs w:val="22"/>
        </w:rPr>
        <w:t>03</w:t>
      </w:r>
      <w:r>
        <w:rPr>
          <w:rFonts w:asciiTheme="minorHAnsi" w:hAnsiTheme="minorHAnsi" w:cstheme="minorHAnsi"/>
          <w:sz w:val="22"/>
          <w:szCs w:val="22"/>
        </w:rPr>
        <w:t>/0</w:t>
      </w:r>
      <w:r w:rsidR="00277E11">
        <w:rPr>
          <w:rFonts w:asciiTheme="minorHAnsi" w:hAnsiTheme="minorHAnsi" w:cstheme="minorHAnsi"/>
          <w:sz w:val="22"/>
          <w:szCs w:val="22"/>
        </w:rPr>
        <w:t>2</w:t>
      </w:r>
      <w:r>
        <w:rPr>
          <w:rFonts w:asciiTheme="minorHAnsi" w:hAnsiTheme="minorHAnsi" w:cstheme="minorHAnsi"/>
          <w:sz w:val="22"/>
          <w:szCs w:val="22"/>
        </w:rPr>
        <w:t>/2023, se muestra en la Gráfica N°2.</w:t>
      </w:r>
    </w:p>
    <w:p w14:paraId="5BC0A457" w14:textId="7777777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 </w:t>
      </w:r>
    </w:p>
    <w:p w14:paraId="086D8755" w14:textId="6D4BD6E3" w:rsidR="00A86191" w:rsidRPr="00884871" w:rsidRDefault="00A86191" w:rsidP="00A86191">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Pr="00884871">
        <w:rPr>
          <w:rFonts w:ascii="Calibri" w:hAnsi="Calibri" w:cs="Arial"/>
          <w:b/>
          <w:bCs/>
          <w:i/>
          <w:sz w:val="22"/>
          <w:szCs w:val="22"/>
          <w:lang w:eastAsia="es-PE"/>
        </w:rPr>
        <w:t>Composición del Precio de Referencia</w:t>
      </w:r>
      <w:r>
        <w:rPr>
          <w:rFonts w:ascii="Calibri" w:hAnsi="Calibri" w:cs="Arial"/>
          <w:b/>
          <w:bCs/>
          <w:i/>
          <w:sz w:val="22"/>
          <w:szCs w:val="22"/>
          <w:lang w:eastAsia="es-PE"/>
        </w:rPr>
        <w:t xml:space="preserve"> </w:t>
      </w:r>
      <w:r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w:t>
      </w:r>
      <w:r w:rsidR="00277E11">
        <w:rPr>
          <w:rFonts w:ascii="Calibri" w:hAnsi="Calibri" w:cs="Arial"/>
          <w:b/>
          <w:bCs/>
          <w:i/>
          <w:sz w:val="22"/>
          <w:szCs w:val="22"/>
          <w:lang w:eastAsia="es-PE"/>
        </w:rPr>
        <w:t>, al 03</w:t>
      </w:r>
      <w:r>
        <w:rPr>
          <w:rFonts w:ascii="Calibri" w:hAnsi="Calibri" w:cs="Arial"/>
          <w:b/>
          <w:bCs/>
          <w:i/>
          <w:sz w:val="22"/>
          <w:szCs w:val="22"/>
          <w:lang w:eastAsia="es-PE"/>
        </w:rPr>
        <w:t>-0</w:t>
      </w:r>
      <w:r w:rsidR="00277E11">
        <w:rPr>
          <w:rFonts w:ascii="Calibri" w:hAnsi="Calibri" w:cs="Arial"/>
          <w:b/>
          <w:bCs/>
          <w:i/>
          <w:sz w:val="22"/>
          <w:szCs w:val="22"/>
          <w:lang w:eastAsia="es-PE"/>
        </w:rPr>
        <w:t>2</w:t>
      </w:r>
      <w:r>
        <w:rPr>
          <w:rFonts w:ascii="Calibri" w:hAnsi="Calibri" w:cs="Arial"/>
          <w:b/>
          <w:bCs/>
          <w:i/>
          <w:sz w:val="22"/>
          <w:szCs w:val="22"/>
          <w:lang w:eastAsia="es-PE"/>
        </w:rPr>
        <w:t>-23</w:t>
      </w:r>
      <w:r w:rsidRPr="00884871">
        <w:rPr>
          <w:rFonts w:ascii="Calibri" w:hAnsi="Calibri" w:cs="Arial"/>
          <w:b/>
          <w:bCs/>
          <w:i/>
          <w:sz w:val="22"/>
          <w:szCs w:val="22"/>
          <w:lang w:eastAsia="es-PE"/>
        </w:rPr>
        <w:t>, en %</w:t>
      </w:r>
    </w:p>
    <w:p w14:paraId="6CED86AB" w14:textId="4038471B" w:rsidR="00A86191" w:rsidRPr="00CC2A8A" w:rsidRDefault="00277E11" w:rsidP="00A86191">
      <w:pPr>
        <w:pBdr>
          <w:top w:val="single" w:sz="4" w:space="1" w:color="auto"/>
          <w:bottom w:val="single" w:sz="4" w:space="1" w:color="auto"/>
        </w:pBdr>
        <w:rPr>
          <w:rFonts w:ascii="Calibri" w:hAnsi="Calibri" w:cs="Arial"/>
          <w:bCs/>
          <w:sz w:val="32"/>
          <w:szCs w:val="32"/>
        </w:rPr>
      </w:pPr>
      <w:r w:rsidRPr="005072D9">
        <w:rPr>
          <w:noProof/>
          <w:lang w:val="es-PE" w:eastAsia="es-PE"/>
        </w:rPr>
        <w:drawing>
          <wp:inline distT="0" distB="0" distL="0" distR="0" wp14:anchorId="4A0CA209" wp14:editId="1AFF4345">
            <wp:extent cx="5490845" cy="2922905"/>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pic:nvPicPr>
                  <pic:blipFill>
                    <a:blip r:embed="rId13"/>
                    <a:stretch>
                      <a:fillRect/>
                    </a:stretch>
                  </pic:blipFill>
                  <pic:spPr>
                    <a:xfrm>
                      <a:off x="0" y="0"/>
                      <a:ext cx="5490845" cy="2922905"/>
                    </a:xfrm>
                    <a:prstGeom prst="rect">
                      <a:avLst/>
                    </a:prstGeom>
                  </pic:spPr>
                </pic:pic>
              </a:graphicData>
            </a:graphic>
          </wp:inline>
        </w:drawing>
      </w:r>
    </w:p>
    <w:p w14:paraId="6F543033" w14:textId="58F09ADD" w:rsidR="00A86191" w:rsidRPr="001A4F79" w:rsidRDefault="00A86191" w:rsidP="00A86191">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sidR="00AF3F44">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Elaboración: Propia</w:t>
      </w:r>
    </w:p>
    <w:p w14:paraId="0BCA0BE4" w14:textId="77777777" w:rsidR="00A86191" w:rsidRPr="001A4F79" w:rsidRDefault="00A86191" w:rsidP="00A86191">
      <w:pPr>
        <w:spacing w:line="276" w:lineRule="auto"/>
        <w:rPr>
          <w:rFonts w:ascii="Calibri" w:eastAsia="Calibri" w:hAnsi="Calibri"/>
          <w:sz w:val="22"/>
          <w:szCs w:val="22"/>
        </w:rPr>
      </w:pPr>
    </w:p>
    <w:p w14:paraId="5187EED7"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 El Precio FOB y el Flete desde el mercado relevante al Callao, son los componentes que tienen un mayor impacto en el comportamiento de los precios de referencia de los combustibles.</w:t>
      </w:r>
    </w:p>
    <w:p w14:paraId="66E28CE3"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 xml:space="preserve">  </w:t>
      </w:r>
    </w:p>
    <w:p w14:paraId="2EDB6123" w14:textId="77777777" w:rsidR="00277E11" w:rsidRDefault="00277E11" w:rsidP="00277E11">
      <w:pPr>
        <w:jc w:val="both"/>
        <w:rPr>
          <w:rFonts w:asciiTheme="minorHAnsi" w:hAnsiTheme="minorHAnsi" w:cstheme="minorHAnsi"/>
          <w:sz w:val="22"/>
          <w:szCs w:val="22"/>
        </w:rPr>
      </w:pPr>
      <w:r w:rsidRPr="00061BE1">
        <w:rPr>
          <w:rFonts w:asciiTheme="minorHAnsi" w:hAnsiTheme="minorHAnsi" w:cstheme="minorHAnsi"/>
          <w:sz w:val="22"/>
          <w:szCs w:val="22"/>
        </w:rPr>
        <w:t xml:space="preserve">En la Gráfica N°2, se aprecia que el Precio FOB se ubicó en </w:t>
      </w:r>
      <w:r>
        <w:rPr>
          <w:rFonts w:asciiTheme="minorHAnsi" w:hAnsiTheme="minorHAnsi" w:cstheme="minorHAnsi"/>
          <w:sz w:val="22"/>
          <w:szCs w:val="22"/>
        </w:rPr>
        <w:t>79</w:t>
      </w:r>
      <w:r w:rsidRPr="00061BE1">
        <w:rPr>
          <w:rFonts w:asciiTheme="minorHAnsi" w:hAnsiTheme="minorHAnsi" w:cstheme="minorHAnsi"/>
          <w:sz w:val="22"/>
          <w:szCs w:val="22"/>
        </w:rPr>
        <w:t>% del precio de referencia del GLP</w:t>
      </w:r>
      <w:r>
        <w:rPr>
          <w:rFonts w:asciiTheme="minorHAnsi" w:hAnsiTheme="minorHAnsi" w:cstheme="minorHAnsi"/>
          <w:sz w:val="22"/>
          <w:szCs w:val="22"/>
        </w:rPr>
        <w:t xml:space="preserve">, 88% del precio de referencia de los biocombustibles, 79% del precio de los residuales R6 y R500; y fue igual o </w:t>
      </w:r>
      <w:r w:rsidRPr="00061BE1">
        <w:rPr>
          <w:rFonts w:asciiTheme="minorHAnsi" w:hAnsiTheme="minorHAnsi" w:cstheme="minorHAnsi"/>
          <w:sz w:val="22"/>
          <w:szCs w:val="22"/>
        </w:rPr>
        <w:t xml:space="preserve">superior al </w:t>
      </w:r>
      <w:r>
        <w:rPr>
          <w:rFonts w:asciiTheme="minorHAnsi" w:hAnsiTheme="minorHAnsi" w:cstheme="minorHAnsi"/>
          <w:sz w:val="22"/>
          <w:szCs w:val="22"/>
        </w:rPr>
        <w:t>91</w:t>
      </w:r>
      <w:r w:rsidRPr="00061BE1">
        <w:rPr>
          <w:rFonts w:asciiTheme="minorHAnsi" w:hAnsiTheme="minorHAnsi" w:cstheme="minorHAnsi"/>
          <w:sz w:val="22"/>
          <w:szCs w:val="22"/>
        </w:rPr>
        <w:t>% del precio de referencia de los demás combustibles.</w:t>
      </w:r>
      <w:r>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Pr>
          <w:rFonts w:asciiTheme="minorHAnsi" w:hAnsiTheme="minorHAnsi" w:cstheme="minorHAnsi"/>
          <w:sz w:val="22"/>
          <w:szCs w:val="22"/>
        </w:rPr>
        <w:t xml:space="preserve"> FOB </w:t>
      </w:r>
      <w:r w:rsidRPr="00E14E7E">
        <w:rPr>
          <w:rFonts w:asciiTheme="minorHAnsi" w:hAnsiTheme="minorHAnsi" w:cstheme="minorHAnsi"/>
          <w:sz w:val="22"/>
          <w:szCs w:val="22"/>
        </w:rPr>
        <w:t>incluye</w:t>
      </w:r>
      <w:r>
        <w:rPr>
          <w:rFonts w:asciiTheme="minorHAnsi" w:hAnsiTheme="minorHAnsi" w:cstheme="minorHAnsi"/>
          <w:sz w:val="22"/>
          <w:szCs w:val="22"/>
        </w:rPr>
        <w:t xml:space="preserve"> la tarifa “Terminalling” del GLP; el descuento por concepto de RVO, aplicado al precio de las Gasolinas y Diésel 2; y</w:t>
      </w:r>
      <w:r w:rsidRPr="00E14E7E">
        <w:rPr>
          <w:rFonts w:asciiTheme="minorHAnsi" w:hAnsiTheme="minorHAnsi" w:cstheme="minorHAnsi"/>
          <w:sz w:val="22"/>
          <w:szCs w:val="22"/>
        </w:rPr>
        <w:t xml:space="preserve"> </w:t>
      </w:r>
      <w:r>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Pr>
          <w:rFonts w:asciiTheme="minorHAnsi" w:hAnsiTheme="minorHAnsi" w:cstheme="minorHAnsi"/>
          <w:sz w:val="22"/>
          <w:szCs w:val="22"/>
        </w:rPr>
        <w:t xml:space="preserve"> de calidad para las G</w:t>
      </w:r>
      <w:r w:rsidRPr="00E14E7E">
        <w:rPr>
          <w:rFonts w:asciiTheme="minorHAnsi" w:hAnsiTheme="minorHAnsi" w:cstheme="minorHAnsi"/>
          <w:sz w:val="22"/>
          <w:szCs w:val="22"/>
        </w:rPr>
        <w:t>asolinas,</w:t>
      </w:r>
      <w:r>
        <w:rPr>
          <w:rFonts w:asciiTheme="minorHAnsi" w:hAnsiTheme="minorHAnsi" w:cstheme="minorHAnsi"/>
          <w:sz w:val="22"/>
          <w:szCs w:val="22"/>
        </w:rPr>
        <w:t xml:space="preserve"> D</w:t>
      </w:r>
      <w:r w:rsidRPr="00E14E7E">
        <w:rPr>
          <w:rFonts w:asciiTheme="minorHAnsi" w:hAnsiTheme="minorHAnsi" w:cstheme="minorHAnsi"/>
          <w:sz w:val="22"/>
          <w:szCs w:val="22"/>
        </w:rPr>
        <w:t>iésel</w:t>
      </w:r>
      <w:r>
        <w:rPr>
          <w:rFonts w:asciiTheme="minorHAnsi" w:hAnsiTheme="minorHAnsi" w:cstheme="minorHAnsi"/>
          <w:sz w:val="22"/>
          <w:szCs w:val="22"/>
        </w:rPr>
        <w:t xml:space="preserve"> y R</w:t>
      </w:r>
      <w:r w:rsidRPr="00E14E7E">
        <w:rPr>
          <w:rFonts w:asciiTheme="minorHAnsi" w:hAnsiTheme="minorHAnsi" w:cstheme="minorHAnsi"/>
          <w:sz w:val="22"/>
          <w:szCs w:val="22"/>
        </w:rPr>
        <w:t xml:space="preserve">esidual 500. </w:t>
      </w:r>
    </w:p>
    <w:p w14:paraId="312A5601" w14:textId="77777777" w:rsidR="00277E11" w:rsidRDefault="00277E11" w:rsidP="00277E11">
      <w:pPr>
        <w:jc w:val="both"/>
        <w:rPr>
          <w:rFonts w:asciiTheme="minorHAnsi" w:hAnsiTheme="minorHAnsi" w:cstheme="minorHAnsi"/>
          <w:sz w:val="22"/>
          <w:szCs w:val="22"/>
        </w:rPr>
      </w:pPr>
      <w:r>
        <w:rPr>
          <w:rFonts w:asciiTheme="minorHAnsi" w:hAnsiTheme="minorHAnsi" w:cstheme="minorHAnsi"/>
          <w:sz w:val="22"/>
          <w:szCs w:val="22"/>
        </w:rPr>
        <w:t xml:space="preserve">A continuación, se presenta una descripción del cálculo del Precio FOB de los Combustibles, indicando los valores obtenidos para cada uno de sus componentes al 03 de febrero 2023. </w:t>
      </w:r>
    </w:p>
    <w:p w14:paraId="10F1A0B6" w14:textId="4032397B" w:rsidR="00AF3F44" w:rsidRDefault="00277E11" w:rsidP="00277E11">
      <w:pPr>
        <w:jc w:val="both"/>
        <w:rPr>
          <w:rFonts w:asciiTheme="minorHAnsi" w:hAnsiTheme="minorHAnsi" w:cstheme="minorHAnsi"/>
          <w:sz w:val="22"/>
          <w:szCs w:val="22"/>
        </w:rPr>
      </w:pPr>
      <w:r>
        <w:rPr>
          <w:rFonts w:asciiTheme="minorHAnsi" w:hAnsiTheme="minorHAnsi" w:cstheme="minorHAnsi"/>
          <w:sz w:val="22"/>
          <w:szCs w:val="22"/>
        </w:rPr>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el descuento por RVO y los ajustes de calidad corresponden al promedio de las diez últimas cotizaciones diarias publicadas por Argus</w:t>
      </w:r>
      <w:r w:rsidR="00AF3F44">
        <w:rPr>
          <w:rFonts w:asciiTheme="minorHAnsi" w:hAnsiTheme="minorHAnsi" w:cstheme="minorHAnsi"/>
          <w:sz w:val="22"/>
          <w:szCs w:val="22"/>
        </w:rPr>
        <w:t>.</w:t>
      </w:r>
    </w:p>
    <w:p w14:paraId="3F95B49B" w14:textId="77777777" w:rsidR="00C80F8A" w:rsidRPr="00003F04" w:rsidRDefault="00C80F8A" w:rsidP="00F85D23">
      <w:pPr>
        <w:jc w:val="both"/>
        <w:rPr>
          <w:rFonts w:asciiTheme="minorHAnsi" w:hAnsiTheme="minorHAnsi" w:cstheme="minorHAnsi"/>
          <w:sz w:val="22"/>
          <w:szCs w:val="22"/>
        </w:rPr>
      </w:pPr>
    </w:p>
    <w:p w14:paraId="7DBFCB6E" w14:textId="77777777" w:rsidR="00277E11" w:rsidRDefault="00277E11" w:rsidP="00277E11">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Precio FOB del GLP</w:t>
      </w:r>
    </w:p>
    <w:p w14:paraId="41EC45E1" w14:textId="77777777" w:rsidR="00277E11" w:rsidRPr="00265D45" w:rsidRDefault="00277E11" w:rsidP="00277E11">
      <w:pPr>
        <w:pStyle w:val="Prrafodelista"/>
        <w:ind w:left="426" w:hanging="426"/>
        <w:jc w:val="both"/>
        <w:rPr>
          <w:rFonts w:asciiTheme="minorHAnsi" w:hAnsiTheme="minorHAnsi" w:cstheme="minorHAnsi"/>
          <w:b/>
          <w:sz w:val="22"/>
          <w:szCs w:val="22"/>
          <w:u w:val="single"/>
        </w:rPr>
      </w:pPr>
    </w:p>
    <w:p w14:paraId="20419997" w14:textId="77777777" w:rsidR="00277E11" w:rsidRPr="006E3A77" w:rsidRDefault="00277E11" w:rsidP="00277E11">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Fue determinado, considerando la mezcla típica del GLP comercializado en nuestro país, cuya composición propano/butano es de 70%/30%.</w:t>
      </w:r>
    </w:p>
    <w:p w14:paraId="0FADE8F6" w14:textId="77777777" w:rsidR="00277E11" w:rsidRPr="006E3A77" w:rsidRDefault="00277E11" w:rsidP="00277E11">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Pr="006E3A77">
        <w:rPr>
          <w:rFonts w:asciiTheme="minorHAnsi" w:hAnsiTheme="minorHAnsi" w:cstheme="minorHAnsi"/>
          <w:sz w:val="22"/>
          <w:szCs w:val="22"/>
        </w:rPr>
        <w:t xml:space="preserve">: Calculado en base al promedio de las 10 últimas cotizaciones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 propano refrigerado publicadas</w:t>
      </w:r>
      <w:r>
        <w:rPr>
          <w:rFonts w:asciiTheme="minorHAnsi" w:hAnsiTheme="minorHAnsi" w:cstheme="minorHAnsi"/>
          <w:sz w:val="22"/>
          <w:szCs w:val="22"/>
        </w:rPr>
        <w:t xml:space="preserve"> por Argus</w:t>
      </w:r>
      <w:r w:rsidRPr="006E3A77">
        <w:rPr>
          <w:rFonts w:asciiTheme="minorHAnsi" w:hAnsiTheme="minorHAnsi" w:cstheme="minorHAnsi"/>
          <w:sz w:val="22"/>
          <w:szCs w:val="22"/>
        </w:rPr>
        <w:t xml:space="preserve">, igual a </w:t>
      </w:r>
      <w:r>
        <w:rPr>
          <w:rFonts w:asciiTheme="minorHAnsi" w:hAnsiTheme="minorHAnsi" w:cstheme="minorHAnsi"/>
          <w:sz w:val="22"/>
          <w:szCs w:val="22"/>
        </w:rPr>
        <w:t>10.10</w:t>
      </w:r>
      <w:r w:rsidRPr="006E3A77">
        <w:rPr>
          <w:rFonts w:asciiTheme="minorHAnsi" w:hAnsiTheme="minorHAnsi" w:cstheme="minorHAnsi"/>
          <w:sz w:val="22"/>
          <w:szCs w:val="22"/>
        </w:rPr>
        <w:t xml:space="preserve"> cent$/galón. Para obtener la tarifa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del GLP a temperatura ambiente, usamos la siguiente ecuación: </w:t>
      </w:r>
    </w:p>
    <w:p w14:paraId="1DCED433" w14:textId="77777777" w:rsidR="00277E11" w:rsidRPr="006E3A77" w:rsidRDefault="00277E11" w:rsidP="00277E11">
      <w:pPr>
        <w:pStyle w:val="Prrafodelista"/>
        <w:ind w:left="426" w:hanging="426"/>
        <w:jc w:val="center"/>
        <w:rPr>
          <w:rFonts w:asciiTheme="minorHAnsi" w:hAnsiTheme="minorHAnsi" w:cstheme="minorHAnsi"/>
          <w:sz w:val="22"/>
          <w:szCs w:val="22"/>
          <w:lang w:val="es-MX"/>
        </w:rPr>
      </w:pPr>
    </w:p>
    <w:p w14:paraId="22AF7029" w14:textId="77777777" w:rsidR="00277E11" w:rsidRPr="006E3A77" w:rsidRDefault="00277E11" w:rsidP="00277E11">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Pr>
          <w:rFonts w:asciiTheme="minorHAnsi" w:hAnsiTheme="minorHAnsi" w:cstheme="minorHAnsi"/>
          <w:sz w:val="22"/>
          <w:szCs w:val="22"/>
          <w:lang w:val="en-US"/>
        </w:rPr>
        <w:t>10.10</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xml:space="preserve">* (521.74/729.23) = </w:t>
      </w:r>
      <w:r>
        <w:rPr>
          <w:rFonts w:asciiTheme="minorHAnsi" w:hAnsiTheme="minorHAnsi" w:cstheme="minorHAnsi"/>
          <w:sz w:val="22"/>
          <w:szCs w:val="22"/>
          <w:lang w:val="en-US"/>
        </w:rPr>
        <w:t>7.23</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p>
    <w:p w14:paraId="3F6EA13F" w14:textId="77777777" w:rsidR="00277E11" w:rsidRPr="006E3A77" w:rsidRDefault="00277E11" w:rsidP="00277E11">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Pr>
          <w:rFonts w:asciiTheme="minorHAnsi" w:hAnsiTheme="minorHAnsi" w:cstheme="minorHAnsi"/>
          <w:sz w:val="22"/>
          <w:szCs w:val="22"/>
          <w:lang w:val="en-US"/>
        </w:rPr>
        <w:t>3.04</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122CCB40" w14:textId="77777777" w:rsidR="00277E11" w:rsidRPr="006E3A77" w:rsidRDefault="00277E11" w:rsidP="00277E11">
      <w:pPr>
        <w:pStyle w:val="Prrafodelista"/>
        <w:ind w:left="426" w:hanging="426"/>
        <w:jc w:val="center"/>
        <w:rPr>
          <w:rFonts w:asciiTheme="minorHAnsi" w:hAnsiTheme="minorHAnsi" w:cstheme="minorHAnsi"/>
          <w:sz w:val="22"/>
          <w:szCs w:val="22"/>
          <w:lang w:val="en-US"/>
        </w:rPr>
      </w:pPr>
    </w:p>
    <w:p w14:paraId="5B7E162A" w14:textId="77777777" w:rsidR="00277E11" w:rsidRPr="006E3A77" w:rsidRDefault="00277E11" w:rsidP="00277E11">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 las Gasolinas:</w:t>
      </w:r>
    </w:p>
    <w:p w14:paraId="0F2520C7" w14:textId="77777777" w:rsidR="00277E11" w:rsidRPr="006E3A77" w:rsidRDefault="00277E11" w:rsidP="00277E11">
      <w:pPr>
        <w:ind w:left="426" w:hanging="426"/>
        <w:jc w:val="both"/>
        <w:rPr>
          <w:rFonts w:asciiTheme="minorHAnsi" w:hAnsiTheme="minorHAnsi" w:cstheme="minorHAnsi"/>
          <w:b/>
          <w:sz w:val="22"/>
          <w:szCs w:val="22"/>
          <w:u w:val="single"/>
        </w:rPr>
      </w:pPr>
    </w:p>
    <w:p w14:paraId="1E672BC4" w14:textId="77777777" w:rsidR="00277E11" w:rsidRPr="006E3A77" w:rsidRDefault="00277E11" w:rsidP="00277E11">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las gasolinas de 97 y 95 octanos, corresponde al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calculado a partir de la mezcla de las gasolinas CBOB 97 y CBOB 93; mientras que, para las gasolinas de 90 y 84 octanos,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 la gasolina CBOB 87.</w:t>
      </w:r>
    </w:p>
    <w:p w14:paraId="7706BDE4" w14:textId="77777777" w:rsidR="00277E11" w:rsidRPr="006E3A77" w:rsidRDefault="00277E11" w:rsidP="00277E11">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Pr>
          <w:rFonts w:asciiTheme="minorHAnsi" w:hAnsiTheme="minorHAnsi" w:cstheme="minorHAnsi"/>
          <w:sz w:val="22"/>
          <w:szCs w:val="22"/>
        </w:rPr>
        <w:t>8.28</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58AFBCCD" w14:textId="77777777" w:rsidR="00277E11" w:rsidRPr="006E3A77" w:rsidRDefault="00277E11" w:rsidP="00277E11">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Pr>
          <w:rFonts w:asciiTheme="minorHAnsi" w:hAnsiTheme="minorHAnsi" w:cstheme="minorHAnsi"/>
          <w:sz w:val="22"/>
          <w:szCs w:val="22"/>
        </w:rPr>
        <w:t xml:space="preserve">2.76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Pr>
          <w:rFonts w:asciiTheme="minorHAnsi" w:hAnsiTheme="minorHAnsi" w:cstheme="minorHAnsi"/>
          <w:sz w:val="22"/>
          <w:szCs w:val="22"/>
        </w:rPr>
        <w:t>2.29</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68EAF0BE" w14:textId="77777777" w:rsidR="00277E11" w:rsidRPr="006E3A77" w:rsidRDefault="00277E11" w:rsidP="00277E11">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Pr>
          <w:rFonts w:asciiTheme="minorHAnsi" w:hAnsiTheme="minorHAnsi" w:cstheme="minorHAnsi"/>
          <w:sz w:val="22"/>
          <w:szCs w:val="22"/>
        </w:rPr>
        <w:t>1.53</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90 octanos y un ajuste de </w:t>
      </w:r>
      <w:r>
        <w:rPr>
          <w:rFonts w:asciiTheme="minorHAnsi" w:hAnsiTheme="minorHAnsi" w:cstheme="minorHAnsi"/>
          <w:sz w:val="22"/>
          <w:szCs w:val="22"/>
        </w:rPr>
        <w:t xml:space="preserve">-8.25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84 octanos.</w:t>
      </w:r>
    </w:p>
    <w:p w14:paraId="182294EC" w14:textId="77777777" w:rsidR="00277E11" w:rsidRPr="006E3A77" w:rsidRDefault="00277E11" w:rsidP="00277E11">
      <w:pPr>
        <w:ind w:left="426" w:hanging="426"/>
        <w:jc w:val="both"/>
        <w:rPr>
          <w:rFonts w:asciiTheme="minorHAnsi" w:hAnsiTheme="minorHAnsi" w:cstheme="minorHAnsi"/>
          <w:sz w:val="22"/>
          <w:szCs w:val="22"/>
          <w:u w:val="single"/>
        </w:rPr>
      </w:pPr>
    </w:p>
    <w:p w14:paraId="01B7EACB" w14:textId="77777777" w:rsidR="00277E11" w:rsidRPr="006E3A77" w:rsidRDefault="00277E11" w:rsidP="00277E11">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del Diésel:</w:t>
      </w:r>
    </w:p>
    <w:p w14:paraId="07B7250C" w14:textId="77777777" w:rsidR="00277E11" w:rsidRPr="006E3A77" w:rsidRDefault="00277E11" w:rsidP="00277E11">
      <w:pPr>
        <w:ind w:left="426" w:hanging="426"/>
        <w:jc w:val="both"/>
        <w:rPr>
          <w:rFonts w:asciiTheme="minorHAnsi" w:hAnsiTheme="minorHAnsi" w:cstheme="minorHAnsi"/>
          <w:b/>
          <w:sz w:val="22"/>
          <w:szCs w:val="22"/>
          <w:u w:val="single"/>
        </w:rPr>
      </w:pPr>
    </w:p>
    <w:p w14:paraId="1814F2CA" w14:textId="77777777" w:rsidR="00277E11" w:rsidRPr="006E3A77" w:rsidRDefault="00277E11" w:rsidP="00277E11">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contenido de azufre, se toma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Ultra </w:t>
      </w:r>
      <w:proofErr w:type="spellStart"/>
      <w:r w:rsidRPr="006E3A77">
        <w:rPr>
          <w:rFonts w:asciiTheme="minorHAnsi" w:hAnsiTheme="minorHAnsi" w:cstheme="minorHAnsi"/>
          <w:sz w:val="22"/>
          <w:szCs w:val="22"/>
        </w:rPr>
        <w:t>Sulfur</w:t>
      </w:r>
      <w:proofErr w:type="spellEnd"/>
      <w:r w:rsidRPr="006E3A77">
        <w:rPr>
          <w:rFonts w:asciiTheme="minorHAnsi" w:hAnsiTheme="minorHAnsi" w:cstheme="minorHAnsi"/>
          <w:sz w:val="22"/>
          <w:szCs w:val="22"/>
        </w:rPr>
        <w:t xml:space="preserve"> Diésel. Para el Diésel con alto contenido de azufre, se considera el Gasoil N°2, sin RVO.</w:t>
      </w:r>
    </w:p>
    <w:p w14:paraId="76B2E70B" w14:textId="77777777" w:rsidR="00277E11" w:rsidRPr="006E3A77" w:rsidRDefault="00277E11" w:rsidP="00277E11">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Pr>
          <w:rFonts w:asciiTheme="minorHAnsi" w:hAnsiTheme="minorHAnsi" w:cstheme="minorHAnsi"/>
          <w:sz w:val="22"/>
          <w:szCs w:val="22"/>
        </w:rPr>
        <w:t xml:space="preserve">8.28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48568060" w14:textId="77777777" w:rsidR="00277E11" w:rsidRPr="006E3A77" w:rsidRDefault="00277E11" w:rsidP="00277E11">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987D059" w14:textId="77777777" w:rsidR="00277E11" w:rsidRPr="006E3A77" w:rsidRDefault="00277E11" w:rsidP="00277E11">
      <w:pPr>
        <w:ind w:left="426" w:hanging="426"/>
        <w:jc w:val="both"/>
        <w:rPr>
          <w:rFonts w:asciiTheme="minorHAnsi" w:hAnsiTheme="minorHAnsi" w:cstheme="minorHAnsi"/>
          <w:b/>
          <w:sz w:val="22"/>
          <w:szCs w:val="22"/>
          <w:u w:val="single"/>
        </w:rPr>
      </w:pPr>
    </w:p>
    <w:p w14:paraId="2A50A845" w14:textId="77777777" w:rsidR="00277E11" w:rsidRPr="006E3A77" w:rsidRDefault="00277E11" w:rsidP="00277E11">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 los Petróleos Industriales:</w:t>
      </w:r>
    </w:p>
    <w:p w14:paraId="735432E9" w14:textId="77777777" w:rsidR="00277E11" w:rsidRPr="006E3A77" w:rsidRDefault="00277E11" w:rsidP="00277E11">
      <w:pPr>
        <w:ind w:left="426" w:hanging="426"/>
        <w:jc w:val="both"/>
        <w:rPr>
          <w:rFonts w:asciiTheme="minorHAnsi" w:hAnsiTheme="minorHAnsi" w:cstheme="minorHAnsi"/>
          <w:b/>
          <w:sz w:val="22"/>
          <w:szCs w:val="22"/>
          <w:u w:val="single"/>
        </w:rPr>
      </w:pPr>
    </w:p>
    <w:p w14:paraId="0031F84E" w14:textId="77777777" w:rsidR="00277E11" w:rsidRPr="006E3A77" w:rsidRDefault="00277E11" w:rsidP="00277E11">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500, se considera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180F6BEE" w14:textId="77777777" w:rsidR="00277E11" w:rsidRDefault="00277E11" w:rsidP="00277E11">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Pr>
          <w:rFonts w:asciiTheme="minorHAnsi" w:hAnsiTheme="minorHAnsi" w:cstheme="minorHAnsi"/>
          <w:sz w:val="22"/>
          <w:szCs w:val="22"/>
        </w:rPr>
        <w:t>0.51</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22AC47A8" w14:textId="77777777" w:rsidR="00277E11" w:rsidRPr="006E3A77" w:rsidRDefault="00277E11" w:rsidP="00277E11">
      <w:pPr>
        <w:pStyle w:val="Prrafodelista"/>
        <w:ind w:left="851"/>
        <w:jc w:val="both"/>
        <w:rPr>
          <w:rFonts w:asciiTheme="minorHAnsi" w:hAnsiTheme="minorHAnsi" w:cstheme="minorHAnsi"/>
          <w:sz w:val="22"/>
          <w:szCs w:val="22"/>
        </w:rPr>
      </w:pPr>
    </w:p>
    <w:p w14:paraId="117F1B95" w14:textId="4645B0BC" w:rsidR="00F85D23" w:rsidRPr="00B45C03" w:rsidRDefault="00277E11" w:rsidP="00277E11">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Los resultados del cálculo del Precio FOB y de los demás componentes que forman parte de los Precios de Referencia de Combustibles, se muestran en la Tabla N°1</w:t>
      </w:r>
      <w:r w:rsidR="007A4646" w:rsidRPr="006E3A77">
        <w:rPr>
          <w:rFonts w:asciiTheme="minorHAnsi" w:hAnsiTheme="minorHAnsi" w:cstheme="minorHAnsi"/>
          <w:sz w:val="22"/>
          <w:szCs w:val="22"/>
        </w:rPr>
        <w:t>.</w:t>
      </w:r>
    </w:p>
    <w:p w14:paraId="52F1DBA2" w14:textId="77777777" w:rsidR="00F85D23" w:rsidRDefault="00F85D23" w:rsidP="004F74EE">
      <w:pPr>
        <w:jc w:val="both"/>
        <w:rPr>
          <w:rFonts w:ascii="Arial" w:hAnsi="Arial" w:cs="Arial"/>
          <w:sz w:val="22"/>
          <w:szCs w:val="22"/>
          <w:u w:val="single"/>
          <w:lang w:eastAsia="en-US"/>
        </w:rPr>
      </w:pPr>
    </w:p>
    <w:p w14:paraId="260CC5BA" w14:textId="77777777" w:rsidR="00352B3A" w:rsidRDefault="00352B3A" w:rsidP="004F74EE">
      <w:pPr>
        <w:jc w:val="both"/>
        <w:rPr>
          <w:rFonts w:ascii="Arial" w:hAnsi="Arial" w:cs="Arial"/>
          <w:sz w:val="22"/>
          <w:szCs w:val="22"/>
          <w:u w:val="single"/>
          <w:lang w:eastAsia="en-US"/>
        </w:rPr>
      </w:pPr>
    </w:p>
    <w:p w14:paraId="49B933A4" w14:textId="77777777" w:rsidR="00352B3A" w:rsidRDefault="00352B3A" w:rsidP="004F74EE">
      <w:pPr>
        <w:jc w:val="both"/>
        <w:rPr>
          <w:rFonts w:ascii="Arial" w:hAnsi="Arial" w:cs="Arial"/>
          <w:sz w:val="22"/>
          <w:szCs w:val="22"/>
          <w:u w:val="single"/>
          <w:lang w:eastAsia="en-US"/>
        </w:rPr>
      </w:pPr>
    </w:p>
    <w:p w14:paraId="5451DFF8" w14:textId="530A35A7" w:rsidR="00352B3A" w:rsidRPr="00F85D23" w:rsidRDefault="00352B3A" w:rsidP="004F74EE">
      <w:pPr>
        <w:jc w:val="both"/>
        <w:rPr>
          <w:rFonts w:ascii="Arial" w:hAnsi="Arial" w:cs="Arial"/>
          <w:sz w:val="22"/>
          <w:szCs w:val="22"/>
          <w:u w:val="single"/>
          <w:lang w:eastAsia="en-US"/>
        </w:rPr>
        <w:sectPr w:rsidR="00352B3A" w:rsidRPr="00F85D23" w:rsidSect="002A50E6">
          <w:headerReference w:type="default" r:id="rId14"/>
          <w:footerReference w:type="default" r:id="rId15"/>
          <w:headerReference w:type="first" r:id="rId16"/>
          <w:footerReference w:type="first" r:id="rId17"/>
          <w:type w:val="continuous"/>
          <w:pgSz w:w="11907" w:h="16840" w:code="9"/>
          <w:pgMar w:top="1560" w:right="1559" w:bottom="1134"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5508A32B" w:rsidR="004F74EE" w:rsidRDefault="00277E11" w:rsidP="004F74EE">
      <w:pPr>
        <w:pBdr>
          <w:top w:val="single" w:sz="4" w:space="1" w:color="auto"/>
          <w:bottom w:val="single" w:sz="4" w:space="1" w:color="auto"/>
        </w:pBdr>
        <w:jc w:val="center"/>
        <w:rPr>
          <w:rFonts w:ascii="Calibri" w:hAnsi="Calibri" w:cs="Calibri"/>
          <w:sz w:val="22"/>
          <w:szCs w:val="22"/>
          <w:lang w:val="es-PE" w:eastAsia="en-US"/>
        </w:rPr>
      </w:pPr>
      <w:r w:rsidRPr="00CA733F">
        <w:rPr>
          <w:noProof/>
          <w:lang w:val="es-PE" w:eastAsia="es-PE"/>
        </w:rPr>
        <w:drawing>
          <wp:inline distT="0" distB="0" distL="0" distR="0" wp14:anchorId="4768945E" wp14:editId="430D5C39">
            <wp:extent cx="8173085" cy="2957195"/>
            <wp:effectExtent l="0" t="0" r="0" b="0"/>
            <wp:docPr id="9" name="Picture 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10;&#10;Description automatically generated"/>
                    <pic:cNvPicPr/>
                  </pic:nvPicPr>
                  <pic:blipFill>
                    <a:blip r:embed="rId18"/>
                    <a:stretch>
                      <a:fillRect/>
                    </a:stretch>
                  </pic:blipFill>
                  <pic:spPr>
                    <a:xfrm>
                      <a:off x="0" y="0"/>
                      <a:ext cx="8173085" cy="2957195"/>
                    </a:xfrm>
                    <a:prstGeom prst="rect">
                      <a:avLst/>
                    </a:prstGeom>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5A1B861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6CF4620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(9) El Precio de Referencia del </w:t>
            </w:r>
            <w:proofErr w:type="spellStart"/>
            <w:r w:rsidRPr="00352553">
              <w:rPr>
                <w:rFonts w:asciiTheme="minorHAnsi" w:hAnsiTheme="minorHAnsi" w:cstheme="minorHAnsi"/>
                <w:i/>
                <w:iCs/>
                <w:sz w:val="18"/>
                <w:szCs w:val="18"/>
                <w:lang w:val="es-MX" w:eastAsia="en-US"/>
              </w:rPr>
              <w:t>Diesel</w:t>
            </w:r>
            <w:proofErr w:type="spellEnd"/>
            <w:r w:rsidRPr="00352553">
              <w:rPr>
                <w:rFonts w:asciiTheme="minorHAnsi" w:hAnsiTheme="minorHAnsi" w:cstheme="minorHAnsi"/>
                <w:i/>
                <w:iCs/>
                <w:sz w:val="18"/>
                <w:szCs w:val="18"/>
                <w:lang w:val="es-MX" w:eastAsia="en-US"/>
              </w:rPr>
              <w:t xml:space="preserve">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52B3A">
          <w:footerReference w:type="default" r:id="rId19"/>
          <w:headerReference w:type="first" r:id="rId20"/>
          <w:type w:val="nextColumn"/>
          <w:pgSz w:w="16840" w:h="11907" w:orient="landscape" w:code="9"/>
          <w:pgMar w:top="1843" w:right="2268" w:bottom="1276"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7010D">
        <w:trPr>
          <w:trHeight w:val="5052"/>
        </w:trPr>
        <w:tc>
          <w:tcPr>
            <w:tcW w:w="5693" w:type="dxa"/>
            <w:tcBorders>
              <w:top w:val="single" w:sz="4" w:space="0" w:color="auto"/>
              <w:bottom w:val="single" w:sz="4" w:space="0" w:color="auto"/>
            </w:tcBorders>
            <w:shd w:val="clear" w:color="auto" w:fill="auto"/>
          </w:tcPr>
          <w:p w14:paraId="5FE1CE67" w14:textId="242E40F1" w:rsidR="00F85D23" w:rsidRPr="002B3648" w:rsidRDefault="00277E11" w:rsidP="00FB4E04">
            <w:pPr>
              <w:ind w:left="-618" w:right="-654"/>
              <w:jc w:val="center"/>
              <w:rPr>
                <w:rFonts w:asciiTheme="minorHAnsi" w:hAnsiTheme="minorHAnsi" w:cstheme="minorHAnsi"/>
              </w:rPr>
            </w:pPr>
            <w:r>
              <w:rPr>
                <w:noProof/>
                <w:lang w:val="es-PE" w:eastAsia="es-PE"/>
              </w:rPr>
              <w:drawing>
                <wp:inline distT="0" distB="0" distL="0" distR="0" wp14:anchorId="1D7E10A8" wp14:editId="0851ABDD">
                  <wp:extent cx="3526155" cy="2895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26155" cy="2895600"/>
                          </a:xfrm>
                          <a:prstGeom prst="rect">
                            <a:avLst/>
                          </a:prstGeom>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F7010D">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737A2E1E" w:rsidR="00EF5671" w:rsidRPr="00CE793E" w:rsidRDefault="00277E11" w:rsidP="00FB4E04">
            <w:pPr>
              <w:ind w:left="-634" w:right="-654"/>
              <w:jc w:val="center"/>
              <w:rPr>
                <w:rFonts w:asciiTheme="minorHAnsi" w:hAnsiTheme="minorHAnsi" w:cstheme="minorHAnsi"/>
                <w:lang w:val="es-MX"/>
              </w:rPr>
            </w:pPr>
            <w:r>
              <w:rPr>
                <w:noProof/>
                <w:lang w:val="es-PE" w:eastAsia="es-PE"/>
              </w:rPr>
              <w:drawing>
                <wp:inline distT="0" distB="0" distL="0" distR="0" wp14:anchorId="3148267E" wp14:editId="37F97156">
                  <wp:extent cx="5462270" cy="2493818"/>
                  <wp:effectExtent l="0" t="0" r="508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71446" cy="2498007"/>
                          </a:xfrm>
                          <a:prstGeom prst="rect">
                            <a:avLst/>
                          </a:prstGeom>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025CF820" w:rsidR="000A6BC2" w:rsidRPr="00737F8F" w:rsidRDefault="00277E11"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D20FB0">
        <w:rPr>
          <w:noProof/>
          <w:lang w:val="es-PE" w:eastAsia="es-PE"/>
        </w:rPr>
        <w:drawing>
          <wp:inline distT="0" distB="0" distL="0" distR="0" wp14:anchorId="43A7960D" wp14:editId="0F3453EF">
            <wp:extent cx="5608320" cy="2148840"/>
            <wp:effectExtent l="0" t="0" r="0" b="3810"/>
            <wp:docPr id="25" name="Picture 2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Table&#10;&#10;Description automatically generated"/>
                    <pic:cNvPicPr/>
                  </pic:nvPicPr>
                  <pic:blipFill>
                    <a:blip r:embed="rId23"/>
                    <a:stretch>
                      <a:fillRect/>
                    </a:stretch>
                  </pic:blipFill>
                  <pic:spPr>
                    <a:xfrm>
                      <a:off x="0" y="0"/>
                      <a:ext cx="5608320" cy="2148840"/>
                    </a:xfrm>
                    <a:prstGeom prst="rect">
                      <a:avLst/>
                    </a:prstGeom>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293ACBF1" w:rsidR="005C4A97" w:rsidRDefault="00277E11" w:rsidP="00604758">
      <w:pPr>
        <w:spacing w:line="0" w:lineRule="atLeast"/>
        <w:ind w:right="-567"/>
        <w:jc w:val="both"/>
        <w:rPr>
          <w:rFonts w:asciiTheme="minorHAnsi" w:hAnsiTheme="minorHAnsi" w:cstheme="minorHAnsi"/>
          <w:i/>
          <w:sz w:val="18"/>
          <w:szCs w:val="18"/>
        </w:rPr>
      </w:pPr>
      <w:r w:rsidRPr="0027422C">
        <w:rPr>
          <w:noProof/>
          <w:lang w:val="es-PE" w:eastAsia="es-PE"/>
        </w:rPr>
        <w:drawing>
          <wp:inline distT="0" distB="0" distL="0" distR="0" wp14:anchorId="4FAE92E0" wp14:editId="1BB01C34">
            <wp:extent cx="5848913" cy="2355012"/>
            <wp:effectExtent l="0" t="0" r="0" b="762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4"/>
                    <a:stretch>
                      <a:fillRect/>
                    </a:stretch>
                  </pic:blipFill>
                  <pic:spPr>
                    <a:xfrm>
                      <a:off x="0" y="0"/>
                      <a:ext cx="5855573" cy="2357693"/>
                    </a:xfrm>
                    <a:prstGeom prst="rect">
                      <a:avLst/>
                    </a:prstGeom>
                  </pic:spPr>
                </pic:pic>
              </a:graphicData>
            </a:graphic>
          </wp:inline>
        </w:drawing>
      </w:r>
    </w:p>
    <w:p w14:paraId="6C3D2D4D" w14:textId="1027E1CA" w:rsidR="00475D7F" w:rsidRPr="002B3648" w:rsidRDefault="00946505" w:rsidP="006220EA">
      <w:pPr>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6220EA">
      <w:pPr>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27ECA753" w:rsidR="007B04A3" w:rsidRPr="00C2751F" w:rsidRDefault="00277E11" w:rsidP="00C2751F">
      <w:pPr>
        <w:spacing w:line="0" w:lineRule="atLeast"/>
        <w:ind w:right="-567"/>
        <w:jc w:val="both"/>
        <w:rPr>
          <w:noProof/>
          <w:lang w:val="es-PE" w:eastAsia="es-PE"/>
        </w:rPr>
      </w:pPr>
      <w:r w:rsidRPr="0027422C">
        <w:rPr>
          <w:noProof/>
          <w:lang w:val="es-PE" w:eastAsia="es-PE"/>
        </w:rPr>
        <w:drawing>
          <wp:inline distT="0" distB="0" distL="0" distR="0" wp14:anchorId="3CDBE99A" wp14:editId="3C950D68">
            <wp:extent cx="5849699" cy="7341079"/>
            <wp:effectExtent l="0" t="0" r="0" b="0"/>
            <wp:docPr id="27" name="Picture 27"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10;&#10;Description automatically generated with low confidence"/>
                    <pic:cNvPicPr/>
                  </pic:nvPicPr>
                  <pic:blipFill>
                    <a:blip r:embed="rId25"/>
                    <a:stretch>
                      <a:fillRect/>
                    </a:stretch>
                  </pic:blipFill>
                  <pic:spPr>
                    <a:xfrm>
                      <a:off x="0" y="0"/>
                      <a:ext cx="5850945" cy="7342642"/>
                    </a:xfrm>
                    <a:prstGeom prst="rect">
                      <a:avLst/>
                    </a:prstGeom>
                  </pic:spPr>
                </pic:pic>
              </a:graphicData>
            </a:graphic>
          </wp:inline>
        </w:drawing>
      </w:r>
    </w:p>
    <w:p w14:paraId="6E7D3449" w14:textId="77777777" w:rsidR="00C80F8A" w:rsidRPr="00C2751F" w:rsidRDefault="00DC168B" w:rsidP="00C2751F">
      <w:pPr>
        <w:jc w:val="both"/>
        <w:rPr>
          <w:rFonts w:asciiTheme="minorHAnsi" w:hAnsiTheme="minorHAnsi" w:cstheme="minorHAnsi"/>
          <w:i/>
          <w:iCs/>
          <w:sz w:val="16"/>
          <w:szCs w:val="16"/>
        </w:rPr>
      </w:pPr>
      <w:r w:rsidRPr="00DC168B">
        <w:rPr>
          <w:rFonts w:asciiTheme="minorHAnsi" w:hAnsiTheme="minorHAnsi" w:cstheme="minorHAnsi"/>
          <w:i/>
          <w:iCs/>
          <w:sz w:val="16"/>
          <w:szCs w:val="16"/>
        </w:rPr>
        <w:t xml:space="preserve"> </w:t>
      </w:r>
      <w:r w:rsidR="0022589A">
        <w:rPr>
          <w:rFonts w:asciiTheme="minorHAnsi" w:hAnsiTheme="minorHAnsi" w:cstheme="minorHAnsi"/>
          <w:i/>
          <w:iCs/>
          <w:sz w:val="16"/>
          <w:szCs w:val="16"/>
        </w:rPr>
        <w:t xml:space="preserve">   </w:t>
      </w:r>
      <w:r w:rsidRPr="002B3648">
        <w:rPr>
          <w:rFonts w:asciiTheme="minorHAnsi" w:hAnsiTheme="minorHAnsi" w:cstheme="minorHAnsi"/>
          <w:i/>
          <w:iCs/>
          <w:sz w:val="16"/>
          <w:szCs w:val="16"/>
        </w:rPr>
        <w:t>Fuente</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034F5B">
        <w:rPr>
          <w:rFonts w:asciiTheme="minorHAnsi" w:hAnsiTheme="minorHAnsi" w:cstheme="minorHAnsi"/>
          <w:i/>
          <w:iCs/>
          <w:sz w:val="16"/>
          <w:szCs w:val="16"/>
        </w:rPr>
        <w:t xml:space="preserve"> </w:t>
      </w:r>
      <w:r w:rsidR="009011EA">
        <w:rPr>
          <w:rFonts w:asciiTheme="minorHAnsi" w:hAnsiTheme="minorHAnsi" w:cstheme="minorHAnsi"/>
          <w:i/>
          <w:iCs/>
          <w:sz w:val="16"/>
          <w:szCs w:val="16"/>
        </w:rPr>
        <w:t>y Petroperú</w:t>
      </w:r>
    </w:p>
    <w:p w14:paraId="1667552F" w14:textId="298AC37A" w:rsidR="00C80F8A" w:rsidRDefault="00C80F8A" w:rsidP="00C2751F">
      <w:pPr>
        <w:jc w:val="both"/>
        <w:rPr>
          <w:rFonts w:asciiTheme="minorHAnsi" w:hAnsiTheme="minorHAnsi" w:cstheme="minorHAnsi"/>
          <w:i/>
          <w:iCs/>
          <w:sz w:val="16"/>
          <w:szCs w:val="16"/>
        </w:rPr>
      </w:pPr>
    </w:p>
    <w:p w14:paraId="4B79F497" w14:textId="77777777" w:rsidR="00C80F8A" w:rsidRDefault="00C80F8A" w:rsidP="00C2751F">
      <w:pPr>
        <w:jc w:val="both"/>
        <w:rPr>
          <w:rFonts w:asciiTheme="minorHAnsi" w:hAnsiTheme="minorHAnsi" w:cstheme="minorHAnsi"/>
          <w:i/>
          <w:iCs/>
          <w:sz w:val="16"/>
          <w:szCs w:val="16"/>
        </w:rPr>
      </w:pPr>
    </w:p>
    <w:p w14:paraId="2B78D4FE" w14:textId="290F6DFB" w:rsidR="00C80F8A" w:rsidRPr="00C2751F" w:rsidRDefault="00C2751F" w:rsidP="00C2751F">
      <w:pPr>
        <w:jc w:val="both"/>
        <w:rPr>
          <w:rFonts w:asciiTheme="minorHAnsi" w:hAnsiTheme="minorHAnsi" w:cstheme="minorHAnsi"/>
          <w:i/>
          <w:iCs/>
          <w:sz w:val="16"/>
          <w:szCs w:val="16"/>
        </w:rPr>
      </w:pPr>
      <w:r>
        <w:rPr>
          <w:rFonts w:asciiTheme="minorHAnsi" w:hAnsiTheme="minorHAnsi" w:cstheme="minorHAnsi"/>
          <w:i/>
          <w:iCs/>
          <w:sz w:val="16"/>
          <w:szCs w:val="16"/>
        </w:rPr>
        <w:t xml:space="preserve"> </w:t>
      </w:r>
      <w:r w:rsidR="00C80F8A" w:rsidRPr="00C2751F">
        <w:rPr>
          <w:rFonts w:asciiTheme="minorHAnsi" w:hAnsiTheme="minorHAnsi" w:cstheme="minorHAnsi"/>
          <w:i/>
          <w:iCs/>
          <w:sz w:val="16"/>
          <w:szCs w:val="16"/>
        </w:rPr>
        <w:t>MMC / MMT / ASC</w:t>
      </w:r>
    </w:p>
    <w:p w14:paraId="094AB2C7" w14:textId="77777777" w:rsidR="00C80F8A" w:rsidRDefault="00C80F8A" w:rsidP="00C2751F">
      <w:pPr>
        <w:jc w:val="both"/>
        <w:rPr>
          <w:rFonts w:asciiTheme="minorHAnsi" w:hAnsiTheme="minorHAnsi" w:cstheme="minorHAnsi"/>
          <w:i/>
          <w:iCs/>
          <w:sz w:val="16"/>
          <w:szCs w:val="16"/>
        </w:rPr>
      </w:pPr>
    </w:p>
    <w:p w14:paraId="57C88BDA"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00F47A69" w14:textId="4CB85CAF" w:rsidR="00DB4BFD" w:rsidRDefault="00DB4BFD" w:rsidP="00550489">
      <w:pPr>
        <w:pStyle w:val="xl37"/>
        <w:spacing w:before="0" w:beforeAutospacing="0" w:after="0" w:afterAutospacing="0"/>
        <w:ind w:left="-851"/>
        <w:rPr>
          <w:rFonts w:asciiTheme="minorHAnsi" w:hAnsiTheme="minorHAnsi" w:cstheme="minorHAnsi"/>
          <w:b w:val="0"/>
          <w:i/>
          <w:iCs/>
          <w:sz w:val="16"/>
          <w:szCs w:val="16"/>
        </w:rPr>
      </w:pPr>
      <w:r>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31252B3F" w14:textId="130FE821" w:rsidR="009D445C" w:rsidRDefault="00277E11" w:rsidP="00214BFB">
      <w:pPr>
        <w:jc w:val="center"/>
        <w:rPr>
          <w:rFonts w:asciiTheme="minorHAnsi" w:hAnsiTheme="minorHAnsi" w:cstheme="minorHAnsi"/>
          <w:sz w:val="22"/>
          <w:szCs w:val="22"/>
        </w:rPr>
      </w:pPr>
      <w:r>
        <w:rPr>
          <w:noProof/>
          <w:lang w:val="es-PE" w:eastAsia="es-PE"/>
        </w:rPr>
        <w:drawing>
          <wp:inline distT="0" distB="0" distL="0" distR="0" wp14:anchorId="6448EEE3" wp14:editId="5D015D72">
            <wp:extent cx="4480161" cy="2392045"/>
            <wp:effectExtent l="19050" t="19050" r="15875" b="27305"/>
            <wp:docPr id="31" name="Picture 31"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94547" cy="2399726"/>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626949A8" w:rsidR="00243B98" w:rsidRDefault="007428C7" w:rsidP="00214BFB">
      <w:pPr>
        <w:jc w:val="center"/>
        <w:rPr>
          <w:rFonts w:asciiTheme="minorHAnsi" w:hAnsiTheme="minorHAnsi" w:cstheme="minorHAnsi"/>
          <w:sz w:val="22"/>
          <w:szCs w:val="22"/>
        </w:rPr>
      </w:pPr>
      <w:r>
        <w:rPr>
          <w:noProof/>
          <w:lang w:val="es-PE" w:eastAsia="es-PE"/>
        </w:rPr>
        <w:drawing>
          <wp:inline distT="0" distB="0" distL="0" distR="0" wp14:anchorId="7C3BA9FD" wp14:editId="17F547B3">
            <wp:extent cx="4484370" cy="2394292"/>
            <wp:effectExtent l="19050" t="19050" r="11430" b="25400"/>
            <wp:docPr id="32" name="Picture 32"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00311" cy="2402803"/>
                    </a:xfrm>
                    <a:prstGeom prst="rect">
                      <a:avLst/>
                    </a:prstGeom>
                    <a:noFill/>
                    <a:ln>
                      <a:solidFill>
                        <a:schemeClr val="accent1"/>
                      </a:solidFill>
                    </a:ln>
                  </pic:spPr>
                </pic:pic>
              </a:graphicData>
            </a:graphic>
          </wp:inline>
        </w:drawing>
      </w:r>
    </w:p>
    <w:p w14:paraId="105484E7" w14:textId="433F83E1" w:rsidR="00536E42" w:rsidRDefault="00536E42" w:rsidP="00214BFB">
      <w:pPr>
        <w:jc w:val="center"/>
        <w:rPr>
          <w:rFonts w:asciiTheme="minorHAnsi" w:hAnsiTheme="minorHAnsi" w:cstheme="minorHAnsi"/>
          <w:sz w:val="22"/>
          <w:szCs w:val="22"/>
        </w:rPr>
      </w:pPr>
    </w:p>
    <w:p w14:paraId="76B31578" w14:textId="7EE63065" w:rsidR="00536E42" w:rsidRDefault="007428C7" w:rsidP="00214BFB">
      <w:pPr>
        <w:jc w:val="center"/>
        <w:rPr>
          <w:rFonts w:asciiTheme="minorHAnsi" w:hAnsiTheme="minorHAnsi" w:cstheme="minorHAnsi"/>
          <w:sz w:val="22"/>
          <w:szCs w:val="22"/>
        </w:rPr>
      </w:pPr>
      <w:r>
        <w:rPr>
          <w:noProof/>
          <w:lang w:val="es-PE" w:eastAsia="es-PE"/>
        </w:rPr>
        <w:drawing>
          <wp:inline distT="0" distB="0" distL="0" distR="0" wp14:anchorId="5FDB7C6A" wp14:editId="0240D3BD">
            <wp:extent cx="4531301" cy="2419350"/>
            <wp:effectExtent l="19050" t="19050" r="3175" b="0"/>
            <wp:docPr id="33" name="Picture 33"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45388" cy="2426871"/>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65622147" w:rsidR="005932D3" w:rsidRDefault="007428C7" w:rsidP="00214BFB">
      <w:pPr>
        <w:jc w:val="center"/>
        <w:rPr>
          <w:rFonts w:asciiTheme="minorHAnsi" w:hAnsiTheme="minorHAnsi" w:cstheme="minorHAnsi"/>
          <w:sz w:val="22"/>
          <w:szCs w:val="22"/>
        </w:rPr>
      </w:pPr>
      <w:bookmarkStart w:id="3" w:name="_GoBack"/>
      <w:r>
        <w:rPr>
          <w:noProof/>
          <w:lang w:val="es-PE" w:eastAsia="es-PE"/>
        </w:rPr>
        <w:lastRenderedPageBreak/>
        <w:drawing>
          <wp:inline distT="0" distB="0" distL="0" distR="0" wp14:anchorId="00A38DD1" wp14:editId="25C0A0E8">
            <wp:extent cx="4540053" cy="2424023"/>
            <wp:effectExtent l="19050" t="19050" r="13335" b="14605"/>
            <wp:docPr id="6" name="Picture 6"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 propane/propylen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59275" cy="2434286"/>
                    </a:xfrm>
                    <a:prstGeom prst="rect">
                      <a:avLst/>
                    </a:prstGeom>
                    <a:noFill/>
                    <a:ln>
                      <a:solidFill>
                        <a:schemeClr val="accent1"/>
                      </a:solidFill>
                    </a:ln>
                  </pic:spPr>
                </pic:pic>
              </a:graphicData>
            </a:graphic>
          </wp:inline>
        </w:drawing>
      </w:r>
      <w:bookmarkEnd w:id="3"/>
    </w:p>
    <w:p w14:paraId="3F332F86" w14:textId="25B4D9B7" w:rsidR="00352B3A" w:rsidRDefault="00352B3A" w:rsidP="00AF2226">
      <w:pPr>
        <w:ind w:left="993"/>
        <w:jc w:val="both"/>
        <w:rPr>
          <w:rFonts w:asciiTheme="minorHAnsi" w:hAnsiTheme="minorHAnsi" w:cstheme="minorHAnsi"/>
          <w:b/>
          <w:bCs/>
          <w:i/>
          <w:iCs/>
          <w:sz w:val="16"/>
          <w:szCs w:val="16"/>
        </w:rPr>
      </w:pPr>
    </w:p>
    <w:p w14:paraId="524B68A0" w14:textId="77777777" w:rsidR="00352B3A" w:rsidRDefault="00352B3A" w:rsidP="00AF2226">
      <w:pPr>
        <w:ind w:left="993"/>
        <w:jc w:val="both"/>
        <w:rPr>
          <w:rFonts w:asciiTheme="minorHAnsi" w:hAnsiTheme="minorHAnsi" w:cstheme="minorHAnsi"/>
          <w:b/>
          <w:bCs/>
          <w:i/>
          <w:iCs/>
          <w:sz w:val="16"/>
          <w:szCs w:val="16"/>
        </w:rPr>
      </w:pPr>
    </w:p>
    <w:p w14:paraId="53A6F8F3" w14:textId="77777777" w:rsidR="00352B3A" w:rsidRDefault="00352B3A" w:rsidP="00AF2226">
      <w:pPr>
        <w:ind w:left="993"/>
        <w:jc w:val="both"/>
        <w:rPr>
          <w:rFonts w:asciiTheme="minorHAnsi" w:hAnsiTheme="minorHAnsi" w:cstheme="minorHAnsi"/>
          <w:b/>
          <w:bCs/>
          <w:i/>
          <w:iCs/>
          <w:sz w:val="16"/>
          <w:szCs w:val="16"/>
        </w:rPr>
      </w:pPr>
    </w:p>
    <w:p w14:paraId="46A4838E" w14:textId="77777777" w:rsidR="00352B3A" w:rsidRDefault="00352B3A" w:rsidP="00AF2226">
      <w:pPr>
        <w:ind w:left="993"/>
        <w:jc w:val="both"/>
        <w:rPr>
          <w:rFonts w:asciiTheme="minorHAnsi" w:hAnsiTheme="minorHAnsi" w:cstheme="minorHAnsi"/>
          <w:b/>
          <w:bCs/>
          <w:i/>
          <w:iCs/>
          <w:sz w:val="16"/>
          <w:szCs w:val="16"/>
        </w:rPr>
      </w:pPr>
    </w:p>
    <w:p w14:paraId="2F148D3D" w14:textId="77777777" w:rsidR="00352B3A" w:rsidRDefault="00352B3A" w:rsidP="00AF2226">
      <w:pPr>
        <w:ind w:left="993"/>
        <w:jc w:val="both"/>
        <w:rPr>
          <w:rFonts w:asciiTheme="minorHAnsi" w:hAnsiTheme="minorHAnsi" w:cstheme="minorHAnsi"/>
          <w:b/>
          <w:bCs/>
          <w:i/>
          <w:iCs/>
          <w:sz w:val="16"/>
          <w:szCs w:val="16"/>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7A61CEAE" w:rsidR="006D325E" w:rsidRDefault="006D325E" w:rsidP="00C5246D">
      <w:pPr>
        <w:jc w:val="cente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7428C7"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352B3A">
      <w:headerReference w:type="default" r:id="rId33"/>
      <w:footerReference w:type="default" r:id="rId34"/>
      <w:type w:val="continuous"/>
      <w:pgSz w:w="11907" w:h="16839" w:code="9"/>
      <w:pgMar w:top="1760" w:right="1134" w:bottom="851"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851B" w14:textId="77777777" w:rsidR="005D35A5" w:rsidRDefault="005D35A5" w:rsidP="006502B5">
      <w:r>
        <w:separator/>
      </w:r>
    </w:p>
  </w:endnote>
  <w:endnote w:type="continuationSeparator" w:id="0">
    <w:p w14:paraId="485BDBC3" w14:textId="77777777" w:rsidR="005D35A5" w:rsidRDefault="005D35A5"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6F38DA98"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7428C7">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38558054"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7428C7">
          <w:rPr>
            <w:rFonts w:asciiTheme="minorHAnsi" w:hAnsiTheme="minorHAnsi" w:cstheme="minorHAnsi"/>
            <w:b/>
            <w:noProof/>
            <w:color w:val="002060"/>
          </w:rPr>
          <w:t>9</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5A93B76E"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7428C7">
          <w:rPr>
            <w:rFonts w:asciiTheme="minorHAnsi" w:hAnsiTheme="minorHAnsi" w:cstheme="minorHAnsi"/>
            <w:b/>
            <w:noProof/>
            <w:color w:val="002060"/>
            <w:lang w:val="en-US"/>
          </w:rPr>
          <w:t>14</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A38D1" w14:textId="77777777" w:rsidR="005D35A5" w:rsidRDefault="005D35A5" w:rsidP="006502B5">
      <w:r>
        <w:separator/>
      </w:r>
    </w:p>
  </w:footnote>
  <w:footnote w:type="continuationSeparator" w:id="0">
    <w:p w14:paraId="1D118DD4" w14:textId="77777777" w:rsidR="005D35A5" w:rsidRDefault="005D35A5"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5F998E4B" w14:textId="77777777" w:rsidR="00277E11" w:rsidRPr="00D115A0" w:rsidRDefault="00277E11" w:rsidP="00277E11">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41268" w14:textId="77777777" w:rsidR="00352B3A" w:rsidRDefault="00FF1622" w:rsidP="00FF1622">
    <w:pPr>
      <w:pStyle w:val="Encabezado"/>
      <w:tabs>
        <w:tab w:val="clear" w:pos="8838"/>
        <w:tab w:val="right" w:pos="8646"/>
      </w:tabs>
      <w:ind w:left="-1418"/>
      <w:rPr>
        <w:noProof/>
        <w:lang w:val="es-PE" w:eastAsia="es-PE"/>
      </w:rPr>
    </w:pPr>
    <w:bookmarkStart w:id="1" w:name="_Hlk68946101"/>
    <w:bookmarkStart w:id="2" w:name="_Hlk68946102"/>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7B123DA5" w14:textId="77777777" w:rsidTr="00EC58B2">
      <w:trPr>
        <w:trHeight w:val="1275"/>
      </w:trPr>
      <w:tc>
        <w:tcPr>
          <w:tcW w:w="4679" w:type="dxa"/>
          <w:vAlign w:val="center"/>
        </w:tcPr>
        <w:p w14:paraId="3392DBCD"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05D3CC72" wp14:editId="2956DB4D">
                <wp:extent cx="1955165" cy="362585"/>
                <wp:effectExtent l="0" t="0" r="6985"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4070DE8"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3DAD4D3B"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C78A301" w14:textId="2CE2DE4F" w:rsidR="00352B3A" w:rsidRPr="00352B3A" w:rsidRDefault="00352B3A" w:rsidP="00277E11">
          <w:pPr>
            <w:jc w:val="center"/>
            <w:rPr>
              <w:rFonts w:ascii="Calibri" w:hAnsi="Calibri" w:cs="Calibri"/>
              <w:sz w:val="26"/>
              <w:szCs w:val="26"/>
              <w:lang w:val="it-IT"/>
            </w:rPr>
          </w:pPr>
          <w:r w:rsidRPr="00352B3A">
            <w:rPr>
              <w:rFonts w:ascii="Calibri" w:hAnsi="Calibri" w:cs="Calibri"/>
              <w:b/>
              <w:sz w:val="26"/>
              <w:szCs w:val="26"/>
              <w:lang w:val="it-IT"/>
            </w:rPr>
            <w:t>Informe N° PR- 0</w:t>
          </w:r>
          <w:r w:rsidR="00277E11">
            <w:rPr>
              <w:rFonts w:ascii="Calibri" w:hAnsi="Calibri" w:cs="Calibri"/>
              <w:b/>
              <w:sz w:val="26"/>
              <w:szCs w:val="26"/>
              <w:lang w:val="it-IT"/>
            </w:rPr>
            <w:t>6</w:t>
          </w:r>
          <w:r w:rsidRPr="00352B3A">
            <w:rPr>
              <w:rFonts w:ascii="Calibri" w:hAnsi="Calibri" w:cs="Calibri"/>
              <w:b/>
              <w:sz w:val="26"/>
              <w:szCs w:val="26"/>
              <w:lang w:val="it-IT"/>
            </w:rPr>
            <w:t>-2023-DGN/GRT</w:t>
          </w:r>
        </w:p>
      </w:tc>
    </w:tr>
  </w:tbl>
  <w:p w14:paraId="5441F31C" w14:textId="732C610D" w:rsidR="00FF1622" w:rsidRPr="00352B3A" w:rsidRDefault="00FF1622" w:rsidP="00FF1622">
    <w:pPr>
      <w:pStyle w:val="Encabezado"/>
      <w:tabs>
        <w:tab w:val="clear" w:pos="8838"/>
        <w:tab w:val="right" w:pos="8646"/>
      </w:tabs>
      <w:ind w:left="-1418"/>
      <w:rPr>
        <w:lang w:val="it-IT"/>
      </w:rPr>
    </w:pPr>
    <w:r w:rsidRPr="00352B3A">
      <w:rPr>
        <w:noProof/>
        <w:lang w:val="it-IT" w:eastAsia="es-PE"/>
      </w:rPr>
      <w:t xml:space="preserve">                                    </w:t>
    </w:r>
    <w:r w:rsidR="005A0113" w:rsidRPr="00352B3A">
      <w:rPr>
        <w:noProof/>
        <w:lang w:val="it-IT" w:eastAsia="es-PE"/>
      </w:rPr>
      <w:t xml:space="preserve">                               </w:t>
    </w:r>
  </w:p>
  <w:bookmarkEnd w:id="1"/>
  <w:bookmarkEnd w:id="2"/>
  <w:p w14:paraId="1C9A32BF" w14:textId="4E046723" w:rsidR="004F74EE" w:rsidRPr="00376371" w:rsidRDefault="004F74EE" w:rsidP="00352553">
    <w:pPr>
      <w:tabs>
        <w:tab w:val="left" w:pos="2120"/>
        <w:tab w:val="right" w:pos="8364"/>
      </w:tabs>
      <w:ind w:right="283"/>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DE5AB" w14:textId="77777777" w:rsidR="00352B3A" w:rsidRDefault="00FD404B" w:rsidP="005A0113">
    <w:pPr>
      <w:pStyle w:val="Encabezado"/>
      <w:tabs>
        <w:tab w:val="clear" w:pos="8838"/>
        <w:tab w:val="right" w:pos="426"/>
      </w:tabs>
      <w:ind w:left="-1276"/>
      <w:rPr>
        <w:noProof/>
        <w:lang w:val="en-US" w:eastAsia="en-US"/>
      </w:rPr>
    </w:pPr>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D3EEF13" w14:textId="77777777" w:rsidTr="00352B3A">
      <w:trPr>
        <w:trHeight w:val="1275"/>
      </w:trPr>
      <w:tc>
        <w:tcPr>
          <w:tcW w:w="4679" w:type="dxa"/>
          <w:vAlign w:val="center"/>
        </w:tcPr>
        <w:p w14:paraId="542012AA" w14:textId="53FA8649"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45E0977B" wp14:editId="1E2A3330">
                <wp:extent cx="1955165" cy="362585"/>
                <wp:effectExtent l="0" t="0" r="6985" b="0"/>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6D78DA73"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50614DAF"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FEE1F98" w14:textId="6C1CE808" w:rsidR="00352B3A" w:rsidRPr="00352B3A" w:rsidRDefault="00C823A9" w:rsidP="00277E11">
          <w:pPr>
            <w:jc w:val="center"/>
            <w:rPr>
              <w:rFonts w:ascii="Calibri" w:hAnsi="Calibri" w:cs="Calibri"/>
              <w:sz w:val="26"/>
              <w:szCs w:val="26"/>
              <w:lang w:val="it-IT"/>
            </w:rPr>
          </w:pPr>
          <w:r>
            <w:rPr>
              <w:rFonts w:ascii="Calibri" w:hAnsi="Calibri" w:cs="Calibri"/>
              <w:b/>
              <w:sz w:val="26"/>
              <w:szCs w:val="26"/>
              <w:lang w:val="it-IT"/>
            </w:rPr>
            <w:t>Informe N° PR-</w:t>
          </w:r>
          <w:r w:rsidR="00352B3A" w:rsidRPr="00352B3A">
            <w:rPr>
              <w:rFonts w:ascii="Calibri" w:hAnsi="Calibri" w:cs="Calibri"/>
              <w:b/>
              <w:sz w:val="26"/>
              <w:szCs w:val="26"/>
              <w:lang w:val="it-IT"/>
            </w:rPr>
            <w:t>0</w:t>
          </w:r>
          <w:r w:rsidR="00277E11">
            <w:rPr>
              <w:rFonts w:ascii="Calibri" w:hAnsi="Calibri" w:cs="Calibri"/>
              <w:b/>
              <w:sz w:val="26"/>
              <w:szCs w:val="26"/>
              <w:lang w:val="it-IT"/>
            </w:rPr>
            <w:t>6</w:t>
          </w:r>
          <w:r w:rsidR="00352B3A" w:rsidRPr="00352B3A">
            <w:rPr>
              <w:rFonts w:ascii="Calibri" w:hAnsi="Calibri" w:cs="Calibri"/>
              <w:b/>
              <w:sz w:val="26"/>
              <w:szCs w:val="26"/>
              <w:lang w:val="it-IT"/>
            </w:rPr>
            <w:t>-2023-DGN/GRT</w:t>
          </w:r>
        </w:p>
      </w:tc>
    </w:tr>
  </w:tbl>
  <w:p w14:paraId="1BF2ED61" w14:textId="49B14A58" w:rsidR="00FD404B" w:rsidRPr="00352B3A" w:rsidRDefault="00580CBC" w:rsidP="005A0113">
    <w:pPr>
      <w:pStyle w:val="Encabezado"/>
      <w:tabs>
        <w:tab w:val="clear" w:pos="8838"/>
        <w:tab w:val="right" w:pos="426"/>
      </w:tabs>
      <w:ind w:left="-1276"/>
      <w:rPr>
        <w:lang w:val="it-IT"/>
      </w:rPr>
    </w:pPr>
    <w:r>
      <w:rPr>
        <w:noProof/>
        <w:lang w:val="en-US" w:eastAsia="en-US"/>
      </w:rPr>
      <w:t xml:space="preserve">                                                            </w:t>
    </w:r>
  </w:p>
  <w:p w14:paraId="51896AD8" w14:textId="77777777" w:rsidR="00CF6BA7" w:rsidRPr="00352B3A" w:rsidRDefault="00CF6BA7" w:rsidP="00FD404B">
    <w:pPr>
      <w:tabs>
        <w:tab w:val="center" w:pos="4320"/>
        <w:tab w:val="right" w:pos="8498"/>
      </w:tabs>
      <w:ind w:right="283"/>
      <w:jc w:val="right"/>
      <w:rPr>
        <w:lang w:val="it-IT"/>
      </w:rPr>
    </w:pPr>
    <w:r w:rsidRPr="00352B3A">
      <w:rPr>
        <w:noProof/>
        <w:lang w:val="it-IT"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0D3C1" w14:textId="77777777" w:rsidR="00352B3A" w:rsidRDefault="00352B3A" w:rsidP="005A0113">
    <w:pPr>
      <w:pStyle w:val="Encabezado"/>
      <w:tabs>
        <w:tab w:val="clear" w:pos="8838"/>
        <w:tab w:val="right" w:pos="426"/>
      </w:tabs>
      <w:ind w:left="-1276"/>
      <w:rPr>
        <w:noProof/>
        <w:lang w:val="en-US" w:eastAsia="en-US"/>
      </w:rPr>
    </w:pPr>
    <w:r>
      <w:rPr>
        <w:noProof/>
        <w:lang w:val="es-PE" w:eastAsia="es-PE"/>
      </w:rPr>
      <w:t xml:space="preserve">   </w:t>
    </w:r>
  </w:p>
  <w:tbl>
    <w:tblPr>
      <w:tblW w:w="127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6308"/>
    </w:tblGrid>
    <w:tr w:rsidR="00352B3A" w:rsidRPr="00352B3A" w14:paraId="331BBDAF" w14:textId="77777777" w:rsidTr="00352B3A">
      <w:trPr>
        <w:trHeight w:val="1100"/>
      </w:trPr>
      <w:tc>
        <w:tcPr>
          <w:tcW w:w="6450" w:type="dxa"/>
          <w:vAlign w:val="center"/>
        </w:tcPr>
        <w:p w14:paraId="0558507C" w14:textId="77777777" w:rsidR="00352B3A" w:rsidRPr="00352B3A" w:rsidRDefault="00352B3A" w:rsidP="00352B3A">
          <w:pPr>
            <w:pStyle w:val="Prrafodelista"/>
            <w:ind w:left="39"/>
            <w:jc w:val="center"/>
            <w:rPr>
              <w:rFonts w:ascii="Calibri" w:hAnsi="Calibri" w:cs="Calibri"/>
            </w:rPr>
          </w:pPr>
          <w:r w:rsidRPr="00352B3A">
            <w:rPr>
              <w:rFonts w:ascii="Calibri" w:hAnsi="Calibri" w:cs="Calibri"/>
              <w:noProof/>
              <w:lang w:val="es-PE" w:eastAsia="es-PE"/>
            </w:rPr>
            <w:drawing>
              <wp:inline distT="0" distB="0" distL="0" distR="0" wp14:anchorId="368BBAA5" wp14:editId="29840EB4">
                <wp:extent cx="1955165" cy="362585"/>
                <wp:effectExtent l="0" t="0" r="6985"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8144F75" w14:textId="77777777" w:rsidR="00352B3A" w:rsidRPr="00352B3A" w:rsidRDefault="00352B3A" w:rsidP="00352B3A">
          <w:pPr>
            <w:ind w:left="39"/>
            <w:jc w:val="center"/>
            <w:rPr>
              <w:rFonts w:ascii="Calibri" w:hAnsi="Calibri" w:cs="Calibri"/>
              <w:b/>
              <w:sz w:val="18"/>
            </w:rPr>
          </w:pPr>
          <w:r w:rsidRPr="00352B3A">
            <w:rPr>
              <w:rFonts w:ascii="Calibri" w:hAnsi="Calibri" w:cs="Calibri"/>
              <w:b/>
              <w:sz w:val="18"/>
            </w:rPr>
            <w:t>Gerencia de Regulación de Tarifas</w:t>
          </w:r>
        </w:p>
        <w:p w14:paraId="2E390E00" w14:textId="77777777" w:rsidR="00352B3A" w:rsidRPr="00352B3A" w:rsidRDefault="00352B3A" w:rsidP="00352B3A">
          <w:pPr>
            <w:ind w:left="39"/>
            <w:jc w:val="center"/>
            <w:rPr>
              <w:rFonts w:ascii="Calibri" w:hAnsi="Calibri" w:cs="Calibri"/>
              <w:sz w:val="22"/>
            </w:rPr>
          </w:pPr>
          <w:r w:rsidRPr="00352B3A">
            <w:rPr>
              <w:rFonts w:ascii="Calibri" w:hAnsi="Calibri" w:cs="Calibri"/>
              <w:b/>
              <w:sz w:val="18"/>
            </w:rPr>
            <w:t>División de Gas Natural</w:t>
          </w:r>
        </w:p>
      </w:tc>
      <w:tc>
        <w:tcPr>
          <w:tcW w:w="6308" w:type="dxa"/>
          <w:vAlign w:val="center"/>
        </w:tcPr>
        <w:p w14:paraId="5DDAEF50" w14:textId="08E730CC" w:rsidR="00352B3A" w:rsidRPr="00352B3A" w:rsidRDefault="00C823A9" w:rsidP="00277E11">
          <w:pPr>
            <w:jc w:val="center"/>
            <w:rPr>
              <w:rFonts w:ascii="Calibri" w:hAnsi="Calibri" w:cs="Calibri"/>
              <w:sz w:val="26"/>
              <w:szCs w:val="26"/>
              <w:lang w:val="it-IT"/>
            </w:rPr>
          </w:pPr>
          <w:r>
            <w:rPr>
              <w:rFonts w:ascii="Calibri" w:hAnsi="Calibri" w:cs="Calibri"/>
              <w:b/>
              <w:sz w:val="26"/>
              <w:szCs w:val="26"/>
              <w:lang w:val="it-IT"/>
            </w:rPr>
            <w:t>Informe N° PR -</w:t>
          </w:r>
          <w:r w:rsidR="00352B3A" w:rsidRPr="00352B3A">
            <w:rPr>
              <w:rFonts w:ascii="Calibri" w:hAnsi="Calibri" w:cs="Calibri"/>
              <w:b/>
              <w:sz w:val="26"/>
              <w:szCs w:val="26"/>
              <w:lang w:val="it-IT"/>
            </w:rPr>
            <w:t>0</w:t>
          </w:r>
          <w:r w:rsidR="00277E11">
            <w:rPr>
              <w:rFonts w:ascii="Calibri" w:hAnsi="Calibri" w:cs="Calibri"/>
              <w:b/>
              <w:sz w:val="26"/>
              <w:szCs w:val="26"/>
              <w:lang w:val="it-IT"/>
            </w:rPr>
            <w:t>6</w:t>
          </w:r>
          <w:r w:rsidR="00352B3A" w:rsidRPr="00352B3A">
            <w:rPr>
              <w:rFonts w:ascii="Calibri" w:hAnsi="Calibri" w:cs="Calibri"/>
              <w:b/>
              <w:sz w:val="26"/>
              <w:szCs w:val="26"/>
              <w:lang w:val="it-IT"/>
            </w:rPr>
            <w:t>-2023-DGN/GRT</w:t>
          </w:r>
        </w:p>
      </w:tc>
    </w:tr>
  </w:tbl>
  <w:p w14:paraId="4A48B273" w14:textId="77777777" w:rsidR="00352B3A" w:rsidRPr="00352B3A" w:rsidRDefault="00352B3A" w:rsidP="005A0113">
    <w:pPr>
      <w:pStyle w:val="Encabezado"/>
      <w:tabs>
        <w:tab w:val="clear" w:pos="8838"/>
        <w:tab w:val="right" w:pos="426"/>
      </w:tabs>
      <w:ind w:left="-1276"/>
      <w:rPr>
        <w:lang w:val="it-IT"/>
      </w:rPr>
    </w:pPr>
    <w:r>
      <w:rPr>
        <w:noProof/>
        <w:lang w:val="en-US" w:eastAsia="en-US"/>
      </w:rPr>
      <w:t xml:space="preserve">                                                            </w:t>
    </w:r>
  </w:p>
  <w:p w14:paraId="61F2B161" w14:textId="77777777" w:rsidR="00352B3A" w:rsidRPr="00352B3A" w:rsidRDefault="00352B3A" w:rsidP="00FD404B">
    <w:pPr>
      <w:tabs>
        <w:tab w:val="center" w:pos="4320"/>
        <w:tab w:val="right" w:pos="8498"/>
      </w:tabs>
      <w:ind w:right="283"/>
      <w:jc w:val="right"/>
      <w:rPr>
        <w:lang w:val="it-IT"/>
      </w:rPr>
    </w:pPr>
    <w:r w:rsidRPr="00352B3A">
      <w:rPr>
        <w:noProof/>
        <w:lang w:val="it-IT" w:eastAsia="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52C1CAAB" w:rsidR="00494331" w:rsidRPr="002E3C90" w:rsidRDefault="0087334C" w:rsidP="0081371D">
    <w:pPr>
      <w:pStyle w:val="Encabezado"/>
      <w:tabs>
        <w:tab w:val="clear" w:pos="8838"/>
        <w:tab w:val="right" w:pos="8646"/>
      </w:tabs>
      <w:ind w:left="-1418"/>
    </w:pPr>
    <w:r>
      <w:rPr>
        <w:noProof/>
        <w:lang w:val="es-PE" w:eastAsia="es-PE"/>
      </w:rPr>
      <w:t xml:space="preserve">                                                                       </w:t>
    </w:r>
    <w:r w:rsidR="00DB3C4F">
      <w:rPr>
        <w:noProof/>
        <w:lang w:val="es-PE" w:eastAsia="es-PE"/>
      </w:rPr>
      <w:t xml:space="preserve">              </w:t>
    </w:r>
    <w:r>
      <w:rPr>
        <w:noProof/>
        <w:lang w:val="es-PE" w:eastAsia="es-PE"/>
      </w:rPr>
      <w:t xml:space="preserve">  </w:t>
    </w:r>
  </w:p>
  <w:p w14:paraId="61B03780" w14:textId="64B44676" w:rsidR="0087334C" w:rsidRDefault="001556E0" w:rsidP="00287F9F">
    <w:pPr>
      <w:pStyle w:val="Piedepgina"/>
      <w:tabs>
        <w:tab w:val="clear" w:pos="8838"/>
      </w:tabs>
      <w:ind w:left="-851" w:right="-207"/>
      <w:rPr>
        <w:rFonts w:ascii="Arial" w:hAnsi="Arial" w:cs="Arial"/>
        <w:b/>
        <w:color w:val="1F497D"/>
        <w:lang w:val="en-US"/>
      </w:rPr>
    </w:pPr>
    <w:r>
      <w:rPr>
        <w:rFonts w:ascii="Arial" w:hAnsi="Arial" w:cs="Arial"/>
        <w:b/>
        <w:color w:val="1F497D"/>
        <w:lang w:val="en-US"/>
      </w:rPr>
      <w:t xml:space="preserve">                                           </w:t>
    </w:r>
    <w:r w:rsidR="00287F9F">
      <w:rPr>
        <w:rFonts w:ascii="Arial" w:hAnsi="Arial" w:cs="Arial"/>
        <w:b/>
        <w:color w:val="1F497D"/>
        <w:lang w:val="en-US"/>
      </w:rPr>
      <w:t xml:space="preserve"> </w:t>
    </w:r>
    <w:r w:rsidR="003E5F90">
      <w:rPr>
        <w:rFonts w:ascii="Arial" w:hAnsi="Arial" w:cs="Arial"/>
        <w:b/>
        <w:color w:val="1F497D"/>
        <w:lang w:val="en-US"/>
      </w:rPr>
      <w:t xml:space="preserve"> </w:t>
    </w:r>
    <w:r w:rsidR="00287F9F">
      <w:rPr>
        <w:rFonts w:ascii="Arial" w:hAnsi="Arial" w:cs="Arial"/>
        <w:b/>
        <w:color w:val="1F497D"/>
        <w:lang w:val="en-US"/>
      </w:rPr>
      <w:t xml:space="preserve">  </w:t>
    </w:r>
    <w:r>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6F4E8F4" w14:textId="77777777" w:rsidTr="00EC58B2">
      <w:trPr>
        <w:trHeight w:val="1275"/>
      </w:trPr>
      <w:tc>
        <w:tcPr>
          <w:tcW w:w="4679" w:type="dxa"/>
          <w:vAlign w:val="center"/>
        </w:tcPr>
        <w:p w14:paraId="468BBADA"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1C999AA8" wp14:editId="4BCED37B">
                <wp:extent cx="1955165" cy="362585"/>
                <wp:effectExtent l="0" t="0" r="698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798C0619"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0BD2E32C"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461CCA7" w14:textId="4946B3A3" w:rsidR="00352B3A" w:rsidRPr="00352B3A" w:rsidRDefault="00352B3A" w:rsidP="009D3604">
          <w:pPr>
            <w:jc w:val="center"/>
            <w:rPr>
              <w:rFonts w:ascii="Calibri" w:hAnsi="Calibri" w:cs="Calibri"/>
              <w:sz w:val="26"/>
              <w:szCs w:val="26"/>
              <w:lang w:val="it-IT"/>
            </w:rPr>
          </w:pPr>
          <w:r w:rsidRPr="00352B3A">
            <w:rPr>
              <w:rFonts w:ascii="Calibri" w:hAnsi="Calibri" w:cs="Calibri"/>
              <w:b/>
              <w:sz w:val="26"/>
              <w:szCs w:val="26"/>
              <w:lang w:val="it-IT"/>
            </w:rPr>
            <w:t>Informe N° PR-0</w:t>
          </w:r>
          <w:r w:rsidR="00277E11">
            <w:rPr>
              <w:rFonts w:ascii="Calibri" w:hAnsi="Calibri" w:cs="Calibri"/>
              <w:b/>
              <w:sz w:val="26"/>
              <w:szCs w:val="26"/>
              <w:lang w:val="it-IT"/>
            </w:rPr>
            <w:t>6</w:t>
          </w:r>
          <w:r w:rsidRPr="00352B3A">
            <w:rPr>
              <w:rFonts w:ascii="Calibri" w:hAnsi="Calibri" w:cs="Calibri"/>
              <w:b/>
              <w:sz w:val="26"/>
              <w:szCs w:val="26"/>
              <w:lang w:val="it-IT"/>
            </w:rPr>
            <w:t>-2023-DGN/GRT</w:t>
          </w:r>
        </w:p>
      </w:tc>
    </w:tr>
  </w:tbl>
  <w:p w14:paraId="0E8C33A1" w14:textId="77777777" w:rsidR="0081371D" w:rsidRPr="00352B3A" w:rsidRDefault="0081371D" w:rsidP="00DB3C4F">
    <w:pPr>
      <w:pStyle w:val="Piedepgina"/>
      <w:tabs>
        <w:tab w:val="clear" w:pos="8838"/>
      </w:tabs>
      <w:ind w:right="-207"/>
      <w:jc w:val="cent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 w:numId="20">
    <w:abstractNumId w:val="2"/>
  </w:num>
  <w:num w:numId="21">
    <w:abstractNumId w:val="17"/>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6" w:nlCheck="1" w:checkStyle="0"/>
  <w:activeWritingStyle w:appName="MSWord" w:lang="es-MX" w:vendorID="64" w:dllVersion="6" w:nlCheck="1" w:checkStyle="0"/>
  <w:activeWritingStyle w:appName="MSWord" w:lang="es-PE" w:vendorID="64" w:dllVersion="6" w:nlCheck="1" w:checkStyle="0"/>
  <w:activeWritingStyle w:appName="MSWord" w:lang="en-US" w:vendorID="64" w:dllVersion="6" w:nlCheck="1" w:checkStyle="0"/>
  <w:activeWritingStyle w:appName="MSWord" w:lang="es-ES" w:vendorID="64" w:dllVersion="0" w:nlCheck="1" w:checkStyle="0"/>
  <w:activeWritingStyle w:appName="MSWord" w:lang="en-U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activeWritingStyle w:appName="MSWord" w:lang="es-PE" w:vendorID="64" w:dllVersion="131078" w:nlCheck="1" w:checkStyle="0"/>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0F6C"/>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039"/>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5F3"/>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1D"/>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8E0"/>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344"/>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0D4"/>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6C19"/>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126"/>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4FFC"/>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DD6"/>
    <w:rsid w:val="00182F17"/>
    <w:rsid w:val="00182FAF"/>
    <w:rsid w:val="001830A8"/>
    <w:rsid w:val="001831C3"/>
    <w:rsid w:val="001832CC"/>
    <w:rsid w:val="00183414"/>
    <w:rsid w:val="0018356C"/>
    <w:rsid w:val="00183714"/>
    <w:rsid w:val="00183819"/>
    <w:rsid w:val="001839E1"/>
    <w:rsid w:val="00183A33"/>
    <w:rsid w:val="00183CBE"/>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A74"/>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69"/>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2F5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28"/>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5FA"/>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5D8"/>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32"/>
    <w:rsid w:val="00232A97"/>
    <w:rsid w:val="00232B80"/>
    <w:rsid w:val="00232BB0"/>
    <w:rsid w:val="00232BF5"/>
    <w:rsid w:val="00232FAA"/>
    <w:rsid w:val="00233065"/>
    <w:rsid w:val="00233124"/>
    <w:rsid w:val="0023353F"/>
    <w:rsid w:val="0023355E"/>
    <w:rsid w:val="00233596"/>
    <w:rsid w:val="002336CC"/>
    <w:rsid w:val="002338B3"/>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478"/>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E11"/>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552"/>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0E6"/>
    <w:rsid w:val="002A559A"/>
    <w:rsid w:val="002A55A4"/>
    <w:rsid w:val="002A59D0"/>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40C"/>
    <w:rsid w:val="00300844"/>
    <w:rsid w:val="00300CBA"/>
    <w:rsid w:val="00300DBC"/>
    <w:rsid w:val="00300F73"/>
    <w:rsid w:val="003010FF"/>
    <w:rsid w:val="0030130C"/>
    <w:rsid w:val="003014CF"/>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19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2FA"/>
    <w:rsid w:val="003253A3"/>
    <w:rsid w:val="00325602"/>
    <w:rsid w:val="00325802"/>
    <w:rsid w:val="00325983"/>
    <w:rsid w:val="00325E71"/>
    <w:rsid w:val="00326023"/>
    <w:rsid w:val="003261A0"/>
    <w:rsid w:val="0032629B"/>
    <w:rsid w:val="003266E9"/>
    <w:rsid w:val="003269DD"/>
    <w:rsid w:val="003269E9"/>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B3A"/>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426"/>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2C"/>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0FBC"/>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0A9"/>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4A"/>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3E8C"/>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22"/>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4F55"/>
    <w:rsid w:val="004A5064"/>
    <w:rsid w:val="004A5363"/>
    <w:rsid w:val="004A5654"/>
    <w:rsid w:val="004A5849"/>
    <w:rsid w:val="004A59D4"/>
    <w:rsid w:val="004A5E02"/>
    <w:rsid w:val="004A64E6"/>
    <w:rsid w:val="004A658F"/>
    <w:rsid w:val="004A6711"/>
    <w:rsid w:val="004A6B1A"/>
    <w:rsid w:val="004A6DA2"/>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6D4"/>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31B"/>
    <w:rsid w:val="004D360E"/>
    <w:rsid w:val="004D36AF"/>
    <w:rsid w:val="004D377A"/>
    <w:rsid w:val="004D399E"/>
    <w:rsid w:val="004D3AC0"/>
    <w:rsid w:val="004D3E13"/>
    <w:rsid w:val="004D3E81"/>
    <w:rsid w:val="004D407F"/>
    <w:rsid w:val="004D4747"/>
    <w:rsid w:val="004D4865"/>
    <w:rsid w:val="004D4999"/>
    <w:rsid w:val="004D4A2F"/>
    <w:rsid w:val="004D4A70"/>
    <w:rsid w:val="004D4B7D"/>
    <w:rsid w:val="004D4B92"/>
    <w:rsid w:val="004D4D51"/>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0E"/>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123"/>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42"/>
    <w:rsid w:val="00536E63"/>
    <w:rsid w:val="00536F5E"/>
    <w:rsid w:val="00537082"/>
    <w:rsid w:val="00537228"/>
    <w:rsid w:val="00537528"/>
    <w:rsid w:val="005376DE"/>
    <w:rsid w:val="00537C2E"/>
    <w:rsid w:val="00537E28"/>
    <w:rsid w:val="0054043F"/>
    <w:rsid w:val="005405D6"/>
    <w:rsid w:val="00540655"/>
    <w:rsid w:val="00540A6B"/>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24"/>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85F"/>
    <w:rsid w:val="00573976"/>
    <w:rsid w:val="00573A2F"/>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97"/>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78"/>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4F72"/>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456"/>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61"/>
    <w:rsid w:val="005D31D5"/>
    <w:rsid w:val="005D35A5"/>
    <w:rsid w:val="005D38FB"/>
    <w:rsid w:val="005D3BE6"/>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284"/>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0EA"/>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2D6"/>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B8"/>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336"/>
    <w:rsid w:val="006735DA"/>
    <w:rsid w:val="00673BBA"/>
    <w:rsid w:val="00673D40"/>
    <w:rsid w:val="00673D91"/>
    <w:rsid w:val="00673EC7"/>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13"/>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A8C"/>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29C"/>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7C4"/>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8EC"/>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BD2"/>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C7"/>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8D"/>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49D7"/>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46"/>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7D"/>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58"/>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A61"/>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6B"/>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8AC"/>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9"/>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9EE"/>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1F6"/>
    <w:rsid w:val="008723C1"/>
    <w:rsid w:val="0087290B"/>
    <w:rsid w:val="00872F5F"/>
    <w:rsid w:val="00872FD5"/>
    <w:rsid w:val="00873053"/>
    <w:rsid w:val="00873156"/>
    <w:rsid w:val="0087334C"/>
    <w:rsid w:val="0087348A"/>
    <w:rsid w:val="008735C9"/>
    <w:rsid w:val="008737A7"/>
    <w:rsid w:val="0087382E"/>
    <w:rsid w:val="0087386D"/>
    <w:rsid w:val="00873A73"/>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2A3"/>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ABD"/>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889"/>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1991"/>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01B"/>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14"/>
    <w:rsid w:val="00911FE0"/>
    <w:rsid w:val="009120EB"/>
    <w:rsid w:val="0091219E"/>
    <w:rsid w:val="0091224C"/>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0B3"/>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4A8"/>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2E8"/>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3AB"/>
    <w:rsid w:val="00952426"/>
    <w:rsid w:val="00952772"/>
    <w:rsid w:val="00952BF3"/>
    <w:rsid w:val="00952C49"/>
    <w:rsid w:val="00952DEB"/>
    <w:rsid w:val="00952E0E"/>
    <w:rsid w:val="00952F32"/>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5CB"/>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5D2"/>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DE9"/>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1FBB"/>
    <w:rsid w:val="0098262B"/>
    <w:rsid w:val="0098265E"/>
    <w:rsid w:val="00982A75"/>
    <w:rsid w:val="00982B80"/>
    <w:rsid w:val="00982F22"/>
    <w:rsid w:val="00983028"/>
    <w:rsid w:val="009833D8"/>
    <w:rsid w:val="0098409B"/>
    <w:rsid w:val="00984211"/>
    <w:rsid w:val="009844FC"/>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4FC4"/>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B7FF3"/>
    <w:rsid w:val="009C0052"/>
    <w:rsid w:val="009C00A3"/>
    <w:rsid w:val="009C0836"/>
    <w:rsid w:val="009C0925"/>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04"/>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37"/>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104"/>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63B"/>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18B"/>
    <w:rsid w:val="00A162FB"/>
    <w:rsid w:val="00A16408"/>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801"/>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186"/>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6AB"/>
    <w:rsid w:val="00A528FF"/>
    <w:rsid w:val="00A52989"/>
    <w:rsid w:val="00A53094"/>
    <w:rsid w:val="00A537EF"/>
    <w:rsid w:val="00A538A4"/>
    <w:rsid w:val="00A5398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594"/>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8"/>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5FB6"/>
    <w:rsid w:val="00A86191"/>
    <w:rsid w:val="00A8627F"/>
    <w:rsid w:val="00A86283"/>
    <w:rsid w:val="00A86515"/>
    <w:rsid w:val="00A86554"/>
    <w:rsid w:val="00A86826"/>
    <w:rsid w:val="00A86835"/>
    <w:rsid w:val="00A868A4"/>
    <w:rsid w:val="00A86A12"/>
    <w:rsid w:val="00A86C5F"/>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4F6E"/>
    <w:rsid w:val="00AD5127"/>
    <w:rsid w:val="00AD56DF"/>
    <w:rsid w:val="00AD57D7"/>
    <w:rsid w:val="00AD5A1A"/>
    <w:rsid w:val="00AD5A32"/>
    <w:rsid w:val="00AD5E0C"/>
    <w:rsid w:val="00AD5E63"/>
    <w:rsid w:val="00AD614D"/>
    <w:rsid w:val="00AD6299"/>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3F44"/>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AD8"/>
    <w:rsid w:val="00B12D97"/>
    <w:rsid w:val="00B132CF"/>
    <w:rsid w:val="00B132F3"/>
    <w:rsid w:val="00B1331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D44"/>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9B0"/>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A89"/>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B1F"/>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B5B"/>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8E"/>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397"/>
    <w:rsid w:val="00C267AB"/>
    <w:rsid w:val="00C27013"/>
    <w:rsid w:val="00C2712D"/>
    <w:rsid w:val="00C2715D"/>
    <w:rsid w:val="00C273E7"/>
    <w:rsid w:val="00C2742A"/>
    <w:rsid w:val="00C2751F"/>
    <w:rsid w:val="00C278C6"/>
    <w:rsid w:val="00C27962"/>
    <w:rsid w:val="00C27E74"/>
    <w:rsid w:val="00C301A8"/>
    <w:rsid w:val="00C302B6"/>
    <w:rsid w:val="00C30A64"/>
    <w:rsid w:val="00C30DDC"/>
    <w:rsid w:val="00C31086"/>
    <w:rsid w:val="00C317C1"/>
    <w:rsid w:val="00C31CA3"/>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46D"/>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65"/>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0F8A"/>
    <w:rsid w:val="00C81170"/>
    <w:rsid w:val="00C81359"/>
    <w:rsid w:val="00C8145B"/>
    <w:rsid w:val="00C8147D"/>
    <w:rsid w:val="00C815E4"/>
    <w:rsid w:val="00C815EE"/>
    <w:rsid w:val="00C81791"/>
    <w:rsid w:val="00C81E51"/>
    <w:rsid w:val="00C823A9"/>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31"/>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487"/>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76"/>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24"/>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D5A"/>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08C"/>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84F"/>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57BE2"/>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4FE"/>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2C2"/>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3DE"/>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61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839"/>
    <w:rsid w:val="00DD3958"/>
    <w:rsid w:val="00DD3A74"/>
    <w:rsid w:val="00DD3DA8"/>
    <w:rsid w:val="00DD3E8A"/>
    <w:rsid w:val="00DD3FAA"/>
    <w:rsid w:val="00DD4014"/>
    <w:rsid w:val="00DD43BE"/>
    <w:rsid w:val="00DD4671"/>
    <w:rsid w:val="00DD4D73"/>
    <w:rsid w:val="00DD4DD0"/>
    <w:rsid w:val="00DD4E85"/>
    <w:rsid w:val="00DD4FAB"/>
    <w:rsid w:val="00DD51C7"/>
    <w:rsid w:val="00DD525B"/>
    <w:rsid w:val="00DD54BA"/>
    <w:rsid w:val="00DD5B27"/>
    <w:rsid w:val="00DD5F59"/>
    <w:rsid w:val="00DD6A5D"/>
    <w:rsid w:val="00DD6BA3"/>
    <w:rsid w:val="00DD6C13"/>
    <w:rsid w:val="00DD6D90"/>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6DC9"/>
    <w:rsid w:val="00DE71A4"/>
    <w:rsid w:val="00DE730B"/>
    <w:rsid w:val="00DE7756"/>
    <w:rsid w:val="00DE7C13"/>
    <w:rsid w:val="00DE7C40"/>
    <w:rsid w:val="00DE7F68"/>
    <w:rsid w:val="00DE7FB4"/>
    <w:rsid w:val="00DF0702"/>
    <w:rsid w:val="00DF09F7"/>
    <w:rsid w:val="00DF0A5C"/>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18"/>
    <w:rsid w:val="00E06BC0"/>
    <w:rsid w:val="00E06E25"/>
    <w:rsid w:val="00E0700C"/>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151"/>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2D"/>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37"/>
    <w:rsid w:val="00EB4B8A"/>
    <w:rsid w:val="00EB4F65"/>
    <w:rsid w:val="00EB523A"/>
    <w:rsid w:val="00EB5393"/>
    <w:rsid w:val="00EB5534"/>
    <w:rsid w:val="00EB56F7"/>
    <w:rsid w:val="00EB580D"/>
    <w:rsid w:val="00EB5870"/>
    <w:rsid w:val="00EB5E66"/>
    <w:rsid w:val="00EB6034"/>
    <w:rsid w:val="00EB617E"/>
    <w:rsid w:val="00EB621D"/>
    <w:rsid w:val="00EB6225"/>
    <w:rsid w:val="00EB6617"/>
    <w:rsid w:val="00EB67B6"/>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A0F"/>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328"/>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5"/>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A9A"/>
    <w:rsid w:val="00F43BAB"/>
    <w:rsid w:val="00F43E35"/>
    <w:rsid w:val="00F44650"/>
    <w:rsid w:val="00F44AB5"/>
    <w:rsid w:val="00F44B8E"/>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10D"/>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28"/>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240"/>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4F3"/>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aliases w:val="Lista 123,Párrafo de lista3,List Paragraph,TITULO 1,Párrafo de lista numerado,Ha,Resume Title,List Paragraph 1,Citation List,1st level - Bullet List Paragraph,Lettre d'introduction,Paragrafo elenco,Normal bullet 2,Tabla"/>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aliases w:val="Lista 123 Car,Párrafo de lista3 Car,List Paragraph Car,TITULO 1 Car,Párrafo de lista numerado Car,Ha Car,Resume Title Car,List Paragraph 1 Car,Citation List Car,1st level - Bullet List Paragraph Car,Lettre d'introduction Car"/>
    <w:link w:val="Prrafodelista"/>
    <w:uiPriority w:val="34"/>
    <w:qFormat/>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298344225">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7116831">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17218933">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0683582">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1653004">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4938743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0.png"/><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image" Target="media/image14.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9.png"/><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8.png"/><Relationship Id="rId28" Type="http://schemas.openxmlformats.org/officeDocument/2006/relationships/image" Target="media/image13.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7.png"/><Relationship Id="rId27" Type="http://schemas.openxmlformats.org/officeDocument/2006/relationships/image" Target="media/image12.gif"/><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F819B-E635-4D4B-92CA-2F652696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3099</Words>
  <Characters>17047</Characters>
  <Application>Microsoft Office Word</Application>
  <DocSecurity>0</DocSecurity>
  <Lines>142</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3</cp:revision>
  <cp:lastPrinted>2023-01-12T22:49:00Z</cp:lastPrinted>
  <dcterms:created xsi:type="dcterms:W3CDTF">2023-02-09T14:20:00Z</dcterms:created>
  <dcterms:modified xsi:type="dcterms:W3CDTF">2023-02-09T14:30:00Z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