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8D3434B"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5151B0">
        <w:rPr>
          <w:rFonts w:ascii="Poppins" w:hAnsi="Poppins" w:cs="Poppins"/>
          <w:sz w:val="24"/>
          <w:szCs w:val="22"/>
          <w:u w:val="single"/>
          <w:lang w:val="es-PE"/>
        </w:rPr>
        <w:t>01</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2EA3854"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5151B0">
        <w:rPr>
          <w:rFonts w:ascii="Poppins" w:hAnsi="Poppins" w:cs="Poppins"/>
          <w:b/>
          <w:bCs/>
          <w:sz w:val="22"/>
          <w:szCs w:val="22"/>
        </w:rPr>
        <w:t>05</w:t>
      </w:r>
      <w:r w:rsidR="00316BFF">
        <w:rPr>
          <w:rFonts w:ascii="Poppins" w:hAnsi="Poppins" w:cs="Poppins"/>
          <w:b/>
          <w:bCs/>
          <w:sz w:val="22"/>
          <w:szCs w:val="22"/>
        </w:rPr>
        <w:t>/</w:t>
      </w:r>
      <w:r w:rsidR="005151B0">
        <w:rPr>
          <w:rFonts w:ascii="Poppins" w:hAnsi="Poppins" w:cs="Poppins"/>
          <w:b/>
          <w:bCs/>
          <w:sz w:val="22"/>
          <w:szCs w:val="22"/>
        </w:rPr>
        <w:t>0</w:t>
      </w:r>
      <w:r w:rsidR="0094258C">
        <w:rPr>
          <w:rFonts w:ascii="Poppins" w:hAnsi="Poppins" w:cs="Poppins"/>
          <w:b/>
          <w:bCs/>
          <w:sz w:val="22"/>
          <w:szCs w:val="22"/>
        </w:rPr>
        <w:t>1</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9C51139" w:rsidR="00AB06BA" w:rsidRPr="001C2FD3" w:rsidRDefault="005151B0"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86D698A" wp14:editId="1224540A">
            <wp:extent cx="5333365" cy="3408883"/>
            <wp:effectExtent l="0" t="0" r="635"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8382" cy="3424873"/>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B412CDB"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B85900">
        <w:rPr>
          <w:rFonts w:ascii="Poppins" w:hAnsi="Poppins" w:cs="Poppins"/>
          <w:sz w:val="18"/>
          <w:szCs w:val="18"/>
        </w:rPr>
        <w:t>5</w:t>
      </w:r>
      <w:r w:rsidR="00464ED3">
        <w:rPr>
          <w:rFonts w:ascii="Poppins" w:hAnsi="Poppins" w:cs="Poppins"/>
          <w:sz w:val="18"/>
          <w:szCs w:val="18"/>
        </w:rPr>
        <w:t>7</w:t>
      </w:r>
      <w:r w:rsidR="00E23D92" w:rsidRPr="00273F37">
        <w:rPr>
          <w:rFonts w:ascii="Poppins" w:hAnsi="Poppins" w:cs="Poppins"/>
          <w:sz w:val="18"/>
          <w:szCs w:val="18"/>
        </w:rPr>
        <w:t>,</w:t>
      </w:r>
      <w:r w:rsidR="00464ED3">
        <w:rPr>
          <w:rFonts w:ascii="Poppins" w:hAnsi="Poppins" w:cs="Poppins"/>
          <w:sz w:val="18"/>
          <w:szCs w:val="18"/>
        </w:rPr>
        <w:t>27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64ED3">
        <w:rPr>
          <w:rFonts w:ascii="Poppins" w:hAnsi="Poppins" w:cs="Poppins"/>
          <w:sz w:val="18"/>
          <w:szCs w:val="18"/>
        </w:rPr>
        <w:t>67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8527EB">
        <w:rPr>
          <w:rFonts w:ascii="Poppins" w:hAnsi="Poppins" w:cs="Poppins"/>
          <w:sz w:val="18"/>
          <w:szCs w:val="18"/>
        </w:rPr>
        <w:t>8</w:t>
      </w:r>
      <w:r w:rsidR="00464ED3">
        <w:rPr>
          <w:rFonts w:ascii="Poppins" w:hAnsi="Poppins" w:cs="Poppins"/>
          <w:sz w:val="18"/>
          <w:szCs w:val="18"/>
        </w:rPr>
        <w:t>0</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464ED3">
        <w:rPr>
          <w:rFonts w:ascii="Poppins" w:hAnsi="Poppins" w:cs="Poppins"/>
          <w:sz w:val="18"/>
          <w:szCs w:val="18"/>
        </w:rPr>
        <w:t>6</w:t>
      </w:r>
      <w:r w:rsidR="00941CD2" w:rsidRPr="00273F37">
        <w:rPr>
          <w:rFonts w:ascii="Poppins" w:hAnsi="Poppins" w:cs="Poppins"/>
          <w:sz w:val="18"/>
          <w:szCs w:val="18"/>
        </w:rPr>
        <w:t>,</w:t>
      </w:r>
      <w:r w:rsidR="00464ED3">
        <w:rPr>
          <w:rFonts w:ascii="Poppins" w:hAnsi="Poppins" w:cs="Poppins"/>
          <w:sz w:val="18"/>
          <w:szCs w:val="18"/>
        </w:rPr>
        <w:t>7</w:t>
      </w:r>
      <w:r w:rsidR="00834BFB">
        <w:rPr>
          <w:rFonts w:ascii="Poppins" w:hAnsi="Poppins" w:cs="Poppins"/>
          <w:sz w:val="18"/>
          <w:szCs w:val="18"/>
        </w:rPr>
        <w:t>8</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4986ADC0"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055DD0">
        <w:rPr>
          <w:rFonts w:ascii="Poppins" w:hAnsi="Poppins" w:cs="Poppins"/>
          <w:bCs/>
          <w:sz w:val="18"/>
          <w:szCs w:val="18"/>
        </w:rPr>
        <w:t>11</w:t>
      </w:r>
      <w:r w:rsidR="007D7CB0">
        <w:rPr>
          <w:rFonts w:ascii="Poppins" w:hAnsi="Poppins" w:cs="Poppins"/>
          <w:bCs/>
          <w:sz w:val="18"/>
          <w:szCs w:val="18"/>
        </w:rPr>
        <w:t>.</w:t>
      </w:r>
      <w:r w:rsidR="00784CB3" w:rsidRPr="00ED72E4">
        <w:rPr>
          <w:rFonts w:ascii="Poppins" w:hAnsi="Poppins" w:cs="Poppins"/>
          <w:bCs/>
          <w:sz w:val="18"/>
          <w:szCs w:val="18"/>
        </w:rPr>
        <w:t>1</w:t>
      </w:r>
      <w:r w:rsidR="00205D48">
        <w:rPr>
          <w:rFonts w:ascii="Poppins" w:hAnsi="Poppins" w:cs="Poppins"/>
          <w:bCs/>
          <w:sz w:val="18"/>
          <w:szCs w:val="18"/>
        </w:rPr>
        <w:t>2</w:t>
      </w:r>
      <w:r w:rsidRPr="00ED72E4">
        <w:rPr>
          <w:rFonts w:ascii="Poppins" w:hAnsi="Poppins" w:cs="Poppins"/>
          <w:bCs/>
          <w:sz w:val="18"/>
          <w:szCs w:val="18"/>
        </w:rPr>
        <w:t>.202</w:t>
      </w:r>
      <w:r w:rsidR="000F0295" w:rsidRPr="00ED72E4">
        <w:rPr>
          <w:rFonts w:ascii="Poppins" w:hAnsi="Poppins" w:cs="Poppins"/>
          <w:bCs/>
          <w:sz w:val="18"/>
          <w:szCs w:val="18"/>
        </w:rPr>
        <w:t>5</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5151B0">
        <w:rPr>
          <w:rFonts w:ascii="Poppins" w:hAnsi="Poppins" w:cs="Poppins"/>
          <w:bCs/>
          <w:sz w:val="18"/>
          <w:szCs w:val="18"/>
        </w:rPr>
        <w:t>02.01</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23519AF6" w14:textId="77777777" w:rsidR="00ED72E4" w:rsidRPr="0067087B" w:rsidRDefault="00ED72E4" w:rsidP="00ED72E4">
      <w:pPr>
        <w:jc w:val="both"/>
        <w:rPr>
          <w:rFonts w:ascii="Poppins" w:hAnsi="Poppins" w:cs="Poppins"/>
          <w:sz w:val="18"/>
          <w:szCs w:val="18"/>
          <w:highlight w:val="yellow"/>
        </w:rPr>
      </w:pPr>
    </w:p>
    <w:p w14:paraId="3AC6A350" w14:textId="77777777" w:rsidR="00CD537C" w:rsidRPr="000E0BA2" w:rsidRDefault="00CD537C" w:rsidP="00CD537C">
      <w:pPr>
        <w:pStyle w:val="Prrafodelista"/>
        <w:numPr>
          <w:ilvl w:val="0"/>
          <w:numId w:val="30"/>
        </w:numPr>
        <w:ind w:left="425"/>
        <w:contextualSpacing/>
        <w:jc w:val="both"/>
        <w:rPr>
          <w:rFonts w:ascii="Poppins" w:hAnsi="Poppins" w:cs="Poppins"/>
          <w:b/>
          <w:sz w:val="18"/>
          <w:szCs w:val="18"/>
        </w:rPr>
      </w:pPr>
      <w:r w:rsidRPr="000E0BA2">
        <w:rPr>
          <w:rFonts w:ascii="Poppins" w:hAnsi="Poppins" w:cs="Poppins"/>
          <w:b/>
          <w:sz w:val="18"/>
          <w:szCs w:val="18"/>
        </w:rPr>
        <w:t>El incremento de los inventarios de gasolinas, destilado medio y propano, así como el descenso de las existencias de crudo, al 26 de diciembre del 2025</w:t>
      </w:r>
    </w:p>
    <w:p w14:paraId="71741624" w14:textId="77777777" w:rsidR="00CD537C" w:rsidRPr="000E0BA2" w:rsidRDefault="00CD537C" w:rsidP="00CD537C">
      <w:pPr>
        <w:shd w:val="clear" w:color="auto" w:fill="FFFFFF"/>
        <w:ind w:left="425"/>
        <w:jc w:val="both"/>
        <w:rPr>
          <w:rFonts w:ascii="Poppins" w:hAnsi="Poppins" w:cs="Poppins"/>
          <w:sz w:val="18"/>
          <w:szCs w:val="18"/>
        </w:rPr>
      </w:pPr>
    </w:p>
    <w:p w14:paraId="0D825A5E" w14:textId="77777777" w:rsidR="00CD537C" w:rsidRPr="000E0BA2" w:rsidRDefault="00CD537C" w:rsidP="00CD537C">
      <w:pPr>
        <w:shd w:val="clear" w:color="auto" w:fill="FFFFFF"/>
        <w:ind w:left="425"/>
        <w:jc w:val="both"/>
        <w:rPr>
          <w:rFonts w:ascii="Poppins" w:hAnsi="Poppins" w:cs="Poppins"/>
          <w:sz w:val="18"/>
          <w:szCs w:val="18"/>
        </w:rPr>
      </w:pPr>
      <w:r w:rsidRPr="000E0BA2">
        <w:rPr>
          <w:rFonts w:ascii="Poppins" w:hAnsi="Poppins" w:cs="Poppins"/>
          <w:sz w:val="18"/>
          <w:szCs w:val="18"/>
        </w:rPr>
        <w:t>Los inventarios de petróleo de Estados Unidos se redujeron en 1,9 millones de barriles alcanzando los 422,9 millones de barriles, ubicándose en un -3% por debajo de la media de los últimos 5 años, para esta época del año.</w:t>
      </w:r>
    </w:p>
    <w:p w14:paraId="5CD18237" w14:textId="77777777" w:rsidR="00CD537C" w:rsidRPr="000E0BA2" w:rsidRDefault="00CD537C" w:rsidP="00CD537C">
      <w:pPr>
        <w:shd w:val="clear" w:color="auto" w:fill="FFFFFF"/>
        <w:ind w:left="425"/>
        <w:jc w:val="both"/>
        <w:rPr>
          <w:rFonts w:ascii="Poppins" w:hAnsi="Poppins" w:cs="Poppins"/>
          <w:sz w:val="18"/>
          <w:szCs w:val="18"/>
        </w:rPr>
      </w:pPr>
    </w:p>
    <w:p w14:paraId="6C7D6F6A" w14:textId="77777777" w:rsidR="00CD537C" w:rsidRPr="000E0BA2" w:rsidRDefault="00CD537C" w:rsidP="00CD537C">
      <w:pPr>
        <w:shd w:val="clear" w:color="auto" w:fill="FFFFFF"/>
        <w:ind w:left="425"/>
        <w:jc w:val="both"/>
        <w:rPr>
          <w:rFonts w:ascii="Poppins" w:hAnsi="Poppins" w:cs="Poppins"/>
          <w:sz w:val="18"/>
          <w:szCs w:val="18"/>
        </w:rPr>
      </w:pPr>
      <w:r w:rsidRPr="000E0BA2">
        <w:rPr>
          <w:rFonts w:ascii="Poppins" w:hAnsi="Poppins" w:cs="Poppins"/>
          <w:sz w:val="18"/>
          <w:szCs w:val="18"/>
        </w:rPr>
        <w:t>Por su parte, las existencias de gasolinas aumentaron en 5,8 millones de barriles, reportando un total de 234,3 millones de barriles. Asimismo, los inventarios de destilados, que incluyen al diésel y al combustible para calefacción se elevaron en 5,0 millones de barriles, ubicándose en 123,7 millones de barriles</w:t>
      </w:r>
      <w:r>
        <w:rPr>
          <w:rFonts w:ascii="Poppins" w:hAnsi="Poppins" w:cs="Poppins"/>
          <w:sz w:val="18"/>
          <w:szCs w:val="18"/>
        </w:rPr>
        <w:t>.</w:t>
      </w:r>
    </w:p>
    <w:p w14:paraId="232823E1" w14:textId="77777777" w:rsidR="00CD537C" w:rsidRPr="000E0BA2" w:rsidRDefault="00CD537C" w:rsidP="00CD537C">
      <w:pPr>
        <w:shd w:val="clear" w:color="auto" w:fill="FFFFFF"/>
        <w:ind w:left="425"/>
        <w:jc w:val="both"/>
        <w:rPr>
          <w:rFonts w:ascii="Poppins" w:hAnsi="Poppins" w:cs="Poppins"/>
          <w:sz w:val="18"/>
          <w:szCs w:val="18"/>
        </w:rPr>
      </w:pPr>
    </w:p>
    <w:p w14:paraId="55F537A4" w14:textId="1D2196B4" w:rsidR="00CD537C" w:rsidRDefault="00CD537C" w:rsidP="00CD537C">
      <w:pPr>
        <w:shd w:val="clear" w:color="auto" w:fill="FFFFFF"/>
        <w:ind w:left="425"/>
        <w:jc w:val="both"/>
        <w:rPr>
          <w:rFonts w:ascii="Poppins" w:hAnsi="Poppins" w:cs="Poppins"/>
          <w:sz w:val="18"/>
          <w:szCs w:val="18"/>
        </w:rPr>
      </w:pPr>
      <w:r w:rsidRPr="000E0BA2">
        <w:rPr>
          <w:rFonts w:ascii="Poppins" w:hAnsi="Poppins" w:cs="Poppins"/>
          <w:sz w:val="18"/>
          <w:szCs w:val="18"/>
        </w:rPr>
        <w:t>Finalmente, las existencias de propano se incrementaron en 0,79 millones de barriles, registrando un nivel de 100,32 millones de barriles</w:t>
      </w:r>
      <w:r>
        <w:rPr>
          <w:rFonts w:ascii="Poppins" w:hAnsi="Poppins" w:cs="Poppins"/>
          <w:sz w:val="18"/>
          <w:szCs w:val="18"/>
        </w:rPr>
        <w:t>.</w:t>
      </w:r>
    </w:p>
    <w:p w14:paraId="2C9F4817" w14:textId="759D65E1" w:rsidR="00CD537C" w:rsidRDefault="00CD537C" w:rsidP="00CD537C">
      <w:pPr>
        <w:shd w:val="clear" w:color="auto" w:fill="FFFFFF"/>
        <w:ind w:left="425"/>
        <w:jc w:val="both"/>
        <w:rPr>
          <w:rFonts w:ascii="Poppins" w:hAnsi="Poppins" w:cs="Poppins"/>
          <w:sz w:val="18"/>
          <w:szCs w:val="18"/>
        </w:rPr>
      </w:pPr>
    </w:p>
    <w:p w14:paraId="325A6C8A" w14:textId="5202B117" w:rsidR="00CD537C" w:rsidRDefault="00CD537C" w:rsidP="00CD537C">
      <w:pPr>
        <w:shd w:val="clear" w:color="auto" w:fill="FFFFFF"/>
        <w:ind w:left="425"/>
        <w:jc w:val="both"/>
        <w:rPr>
          <w:rFonts w:ascii="Poppins" w:hAnsi="Poppins" w:cs="Poppins"/>
          <w:sz w:val="18"/>
          <w:szCs w:val="18"/>
        </w:rPr>
      </w:pPr>
    </w:p>
    <w:p w14:paraId="4C5099B8" w14:textId="77777777" w:rsidR="00CD537C" w:rsidRPr="000E0BA2" w:rsidRDefault="00CD537C" w:rsidP="00CD537C">
      <w:pPr>
        <w:shd w:val="clear" w:color="auto" w:fill="FFFFFF"/>
        <w:ind w:left="425"/>
        <w:jc w:val="both"/>
        <w:rPr>
          <w:rFonts w:ascii="Poppins" w:hAnsi="Poppins" w:cs="Poppins"/>
          <w:sz w:val="18"/>
          <w:szCs w:val="18"/>
        </w:rPr>
      </w:pPr>
    </w:p>
    <w:p w14:paraId="3B6484AA" w14:textId="77777777" w:rsidR="00CD537C" w:rsidRPr="00FB7768" w:rsidRDefault="00CD537C" w:rsidP="00CD537C">
      <w:pPr>
        <w:shd w:val="clear" w:color="auto" w:fill="FFFFFF"/>
        <w:ind w:left="425"/>
        <w:jc w:val="both"/>
        <w:rPr>
          <w:rFonts w:ascii="Poppins" w:hAnsi="Poppins" w:cs="Poppins"/>
          <w:sz w:val="18"/>
          <w:szCs w:val="18"/>
          <w:highlight w:val="yellow"/>
        </w:rPr>
      </w:pPr>
    </w:p>
    <w:p w14:paraId="1A4251CA" w14:textId="77777777" w:rsidR="00CD537C" w:rsidRPr="002B78C0" w:rsidRDefault="00CD537C" w:rsidP="00CD537C">
      <w:pPr>
        <w:pStyle w:val="Prrafodelista"/>
        <w:numPr>
          <w:ilvl w:val="0"/>
          <w:numId w:val="30"/>
        </w:numPr>
        <w:ind w:left="425"/>
        <w:contextualSpacing/>
        <w:jc w:val="both"/>
        <w:rPr>
          <w:rFonts w:ascii="Poppins" w:hAnsi="Poppins" w:cs="Poppins"/>
          <w:b/>
          <w:sz w:val="18"/>
          <w:szCs w:val="18"/>
        </w:rPr>
      </w:pPr>
      <w:r w:rsidRPr="002B78C0">
        <w:rPr>
          <w:rFonts w:ascii="Poppins" w:hAnsi="Poppins" w:cs="Poppins"/>
          <w:b/>
          <w:sz w:val="18"/>
          <w:szCs w:val="18"/>
        </w:rPr>
        <w:lastRenderedPageBreak/>
        <w:t>EE.UU. endurece aún más el “cerco” marítimo sobre el crudo venezolano trasladando la presión al plano logístico</w:t>
      </w:r>
    </w:p>
    <w:p w14:paraId="7D4878AA" w14:textId="77777777" w:rsidR="00CD537C" w:rsidRPr="002B78C0" w:rsidRDefault="00CD537C" w:rsidP="00CD537C">
      <w:pPr>
        <w:shd w:val="clear" w:color="auto" w:fill="FFFFFF"/>
        <w:ind w:left="425"/>
        <w:jc w:val="both"/>
        <w:rPr>
          <w:rFonts w:ascii="Poppins" w:hAnsi="Poppins" w:cs="Poppins"/>
          <w:sz w:val="18"/>
          <w:szCs w:val="18"/>
        </w:rPr>
      </w:pPr>
    </w:p>
    <w:p w14:paraId="6049FA22" w14:textId="77777777" w:rsidR="00CD537C" w:rsidRPr="002B78C0" w:rsidRDefault="00CD537C" w:rsidP="00CD537C">
      <w:pPr>
        <w:shd w:val="clear" w:color="auto" w:fill="FFFFFF"/>
        <w:ind w:left="425"/>
        <w:jc w:val="both"/>
        <w:rPr>
          <w:rFonts w:ascii="Poppins" w:hAnsi="Poppins" w:cs="Poppins"/>
          <w:sz w:val="18"/>
          <w:szCs w:val="18"/>
        </w:rPr>
      </w:pPr>
      <w:r w:rsidRPr="002B78C0">
        <w:rPr>
          <w:rFonts w:ascii="Poppins" w:hAnsi="Poppins" w:cs="Poppins"/>
          <w:sz w:val="18"/>
          <w:szCs w:val="18"/>
        </w:rPr>
        <w:t>EE.UU. reforzó la aplicación operativa de sanciones sobre el comercio petrolero venezolano, desplazando el foco desde nuevas designaciones formales hacia trabas operativas y financieras al transporte marítimo. En adición a las interceptaciones e incautaciones a los tanqueros vinculados a PDVSA (</w:t>
      </w:r>
      <w:proofErr w:type="spellStart"/>
      <w:r w:rsidRPr="002B78C0">
        <w:rPr>
          <w:rFonts w:ascii="Poppins" w:hAnsi="Poppins" w:cs="Poppins"/>
          <w:i/>
          <w:iCs/>
          <w:sz w:val="18"/>
          <w:szCs w:val="18"/>
        </w:rPr>
        <w:t>Skipper</w:t>
      </w:r>
      <w:proofErr w:type="spellEnd"/>
      <w:r w:rsidRPr="002B78C0">
        <w:rPr>
          <w:rFonts w:ascii="Poppins" w:hAnsi="Poppins" w:cs="Poppins"/>
          <w:i/>
          <w:iCs/>
          <w:sz w:val="18"/>
          <w:szCs w:val="18"/>
        </w:rPr>
        <w:t xml:space="preserve">, </w:t>
      </w:r>
      <w:proofErr w:type="spellStart"/>
      <w:r w:rsidRPr="002B78C0">
        <w:rPr>
          <w:rFonts w:ascii="Poppins" w:hAnsi="Poppins" w:cs="Poppins"/>
          <w:i/>
          <w:iCs/>
          <w:sz w:val="18"/>
          <w:szCs w:val="18"/>
        </w:rPr>
        <w:t>Centuries</w:t>
      </w:r>
      <w:proofErr w:type="spellEnd"/>
      <w:r w:rsidRPr="002B78C0">
        <w:rPr>
          <w:rFonts w:ascii="Poppins" w:hAnsi="Poppins" w:cs="Poppins"/>
          <w:i/>
          <w:iCs/>
          <w:sz w:val="18"/>
          <w:szCs w:val="18"/>
        </w:rPr>
        <w:t>, etc</w:t>
      </w:r>
      <w:r>
        <w:rPr>
          <w:rFonts w:ascii="Poppins" w:hAnsi="Poppins" w:cs="Poppins"/>
          <w:i/>
          <w:iCs/>
          <w:sz w:val="18"/>
          <w:szCs w:val="18"/>
        </w:rPr>
        <w:t>.</w:t>
      </w:r>
      <w:r w:rsidRPr="002B78C0">
        <w:rPr>
          <w:rFonts w:ascii="Poppins" w:hAnsi="Poppins" w:cs="Poppins"/>
          <w:sz w:val="18"/>
          <w:szCs w:val="18"/>
        </w:rPr>
        <w:t>), la última semana, la OFAC (Oficina de Control de Activos Extranjeros de EE.UU.) sancionó a cuatro tanqueros:</w:t>
      </w:r>
      <w:r>
        <w:rPr>
          <w:rFonts w:ascii="Poppins" w:hAnsi="Poppins" w:cs="Poppins"/>
          <w:sz w:val="18"/>
          <w:szCs w:val="18"/>
        </w:rPr>
        <w:t xml:space="preserve"> </w:t>
      </w:r>
      <w:r w:rsidRPr="002B78C0">
        <w:rPr>
          <w:rFonts w:ascii="Poppins" w:hAnsi="Poppins" w:cs="Poppins"/>
          <w:i/>
          <w:iCs/>
          <w:sz w:val="18"/>
          <w:szCs w:val="18"/>
        </w:rPr>
        <w:t xml:space="preserve">Della, </w:t>
      </w:r>
      <w:proofErr w:type="spellStart"/>
      <w:r w:rsidRPr="002B78C0">
        <w:rPr>
          <w:rFonts w:ascii="Poppins" w:hAnsi="Poppins" w:cs="Poppins"/>
          <w:i/>
          <w:iCs/>
          <w:sz w:val="18"/>
          <w:szCs w:val="18"/>
        </w:rPr>
        <w:t>Valiant</w:t>
      </w:r>
      <w:proofErr w:type="spellEnd"/>
      <w:r w:rsidRPr="002B78C0">
        <w:rPr>
          <w:rFonts w:ascii="Poppins" w:hAnsi="Poppins" w:cs="Poppins"/>
          <w:i/>
          <w:iCs/>
          <w:sz w:val="18"/>
          <w:szCs w:val="18"/>
        </w:rPr>
        <w:t xml:space="preserve">, Nord </w:t>
      </w:r>
      <w:proofErr w:type="spellStart"/>
      <w:r w:rsidRPr="002B78C0">
        <w:rPr>
          <w:rFonts w:ascii="Poppins" w:hAnsi="Poppins" w:cs="Poppins"/>
          <w:i/>
          <w:iCs/>
          <w:sz w:val="18"/>
          <w:szCs w:val="18"/>
        </w:rPr>
        <w:t>Star</w:t>
      </w:r>
      <w:proofErr w:type="spellEnd"/>
      <w:r w:rsidRPr="002B78C0">
        <w:rPr>
          <w:rFonts w:ascii="Poppins" w:hAnsi="Poppins" w:cs="Poppins"/>
          <w:i/>
          <w:iCs/>
          <w:sz w:val="18"/>
          <w:szCs w:val="18"/>
        </w:rPr>
        <w:t xml:space="preserve"> y Rosalind</w:t>
      </w:r>
      <w:r w:rsidRPr="002B78C0">
        <w:rPr>
          <w:rFonts w:ascii="Poppins" w:hAnsi="Poppins" w:cs="Poppins"/>
          <w:sz w:val="18"/>
          <w:szCs w:val="18"/>
        </w:rPr>
        <w:t xml:space="preserve">, también vinculados a exportaciones de crudo de PDVSA, elevando el riesgo operativo para armadores, aseguradoras y </w:t>
      </w:r>
      <w:proofErr w:type="spellStart"/>
      <w:r w:rsidRPr="002B78C0">
        <w:rPr>
          <w:rFonts w:ascii="Poppins" w:hAnsi="Poppins" w:cs="Poppins"/>
          <w:i/>
          <w:iCs/>
          <w:sz w:val="18"/>
          <w:szCs w:val="18"/>
        </w:rPr>
        <w:t>traders</w:t>
      </w:r>
      <w:proofErr w:type="spellEnd"/>
      <w:r w:rsidRPr="002B78C0">
        <w:rPr>
          <w:rFonts w:ascii="Poppins" w:hAnsi="Poppins" w:cs="Poppins"/>
          <w:sz w:val="18"/>
          <w:szCs w:val="18"/>
        </w:rPr>
        <w:t xml:space="preserve">. El episodio más visible fue el del buque </w:t>
      </w:r>
      <w:r w:rsidRPr="002B78C0">
        <w:rPr>
          <w:rFonts w:ascii="Poppins" w:hAnsi="Poppins" w:cs="Poppins"/>
          <w:i/>
          <w:iCs/>
          <w:sz w:val="18"/>
          <w:szCs w:val="18"/>
        </w:rPr>
        <w:t>Della</w:t>
      </w:r>
      <w:r w:rsidRPr="002B78C0">
        <w:rPr>
          <w:rFonts w:ascii="Poppins" w:hAnsi="Poppins" w:cs="Poppins"/>
          <w:sz w:val="18"/>
          <w:szCs w:val="18"/>
        </w:rPr>
        <w:t>, que dio media vuelta a finales de diciembre tras el endurecimiento del control estadounidense, confirmando un cerco efectivo sobre las rutas de exportación venezolanas.</w:t>
      </w:r>
    </w:p>
    <w:p w14:paraId="110DC53E" w14:textId="77777777" w:rsidR="00CD537C" w:rsidRPr="002B78C0" w:rsidRDefault="00CD537C" w:rsidP="00CD537C">
      <w:pPr>
        <w:shd w:val="clear" w:color="auto" w:fill="FFFFFF"/>
        <w:ind w:left="425"/>
        <w:jc w:val="both"/>
        <w:rPr>
          <w:rFonts w:ascii="Poppins" w:hAnsi="Poppins" w:cs="Poppins"/>
          <w:sz w:val="18"/>
          <w:szCs w:val="18"/>
        </w:rPr>
      </w:pPr>
    </w:p>
    <w:p w14:paraId="58549BA9" w14:textId="77777777" w:rsidR="00CD537C" w:rsidRDefault="00CD537C" w:rsidP="00CD537C">
      <w:pPr>
        <w:shd w:val="clear" w:color="auto" w:fill="FFFFFF"/>
        <w:ind w:left="425"/>
        <w:jc w:val="both"/>
        <w:rPr>
          <w:rFonts w:ascii="Poppins" w:hAnsi="Poppins" w:cs="Poppins"/>
          <w:b/>
          <w:bCs/>
          <w:sz w:val="18"/>
          <w:szCs w:val="18"/>
        </w:rPr>
      </w:pPr>
      <w:r w:rsidRPr="002B78C0">
        <w:rPr>
          <w:rFonts w:ascii="Poppins" w:hAnsi="Poppins" w:cs="Poppins"/>
          <w:sz w:val="18"/>
          <w:szCs w:val="18"/>
        </w:rPr>
        <w:t>De acuerdo con Reuters, estas acciones han provocado demoras, desvíos y cancelaciones de cargamentos, obligando a PDVSA a incrementar el uso de almacenamiento flotante, con más de 17 millones de barriles</w:t>
      </w:r>
      <w:r>
        <w:rPr>
          <w:rFonts w:ascii="Poppins" w:hAnsi="Poppins" w:cs="Poppins"/>
          <w:sz w:val="18"/>
          <w:szCs w:val="18"/>
        </w:rPr>
        <w:t xml:space="preserve"> de crudo</w:t>
      </w:r>
      <w:r w:rsidRPr="002B78C0">
        <w:rPr>
          <w:rFonts w:ascii="Poppins" w:hAnsi="Poppins" w:cs="Poppins"/>
          <w:sz w:val="18"/>
          <w:szCs w:val="18"/>
        </w:rPr>
        <w:t xml:space="preserve"> retenidos costa afuera. Analistas citados por la agencia estiman que la fricción logística afecta al orden de 0,7 a 0,9 millones de bpd mediante retrasos, mayores descuentos exigidos por los compradores y un encarecimiento de los servicios marítimos. Sin embargo, el efecto no altera el balance global, que sigue dominado por una percepción de </w:t>
      </w:r>
      <w:r w:rsidRPr="006A41AA">
        <w:rPr>
          <w:rFonts w:ascii="Poppins" w:hAnsi="Poppins" w:cs="Poppins"/>
          <w:sz w:val="18"/>
          <w:szCs w:val="18"/>
        </w:rPr>
        <w:t xml:space="preserve">sobreoferta para 2026, limitando el traslado pleno de la tensión venezolana a los precios internacionales del crudo. </w:t>
      </w:r>
      <w:r>
        <w:rPr>
          <w:rFonts w:ascii="Poppins" w:hAnsi="Poppins" w:cs="Poppins"/>
          <w:sz w:val="18"/>
          <w:szCs w:val="18"/>
        </w:rPr>
        <w:t xml:space="preserve">Este es el </w:t>
      </w:r>
      <w:r w:rsidRPr="006A41AA">
        <w:rPr>
          <w:rFonts w:ascii="Poppins" w:hAnsi="Poppins" w:cs="Poppins"/>
          <w:sz w:val="18"/>
          <w:szCs w:val="18"/>
        </w:rPr>
        <w:t xml:space="preserve">panorama del comercio petrolero de Venezuela en la antesala de la inflexión política del 03 de enero y </w:t>
      </w:r>
      <w:r>
        <w:rPr>
          <w:rFonts w:ascii="Poppins" w:hAnsi="Poppins" w:cs="Poppins"/>
          <w:sz w:val="18"/>
          <w:szCs w:val="18"/>
        </w:rPr>
        <w:t>aún bajo</w:t>
      </w:r>
      <w:r w:rsidRPr="006A41AA">
        <w:rPr>
          <w:rFonts w:ascii="Poppins" w:hAnsi="Poppins" w:cs="Poppins"/>
          <w:sz w:val="18"/>
          <w:szCs w:val="18"/>
        </w:rPr>
        <w:t xml:space="preserve"> monitoreo.</w:t>
      </w:r>
    </w:p>
    <w:p w14:paraId="40E48ED1" w14:textId="77777777" w:rsidR="00CD537C" w:rsidRDefault="00CD537C" w:rsidP="00CD537C">
      <w:pPr>
        <w:shd w:val="clear" w:color="auto" w:fill="FFFFFF"/>
        <w:ind w:left="425"/>
        <w:jc w:val="both"/>
        <w:rPr>
          <w:rFonts w:ascii="Poppins" w:hAnsi="Poppins" w:cs="Poppins"/>
          <w:b/>
          <w:bCs/>
          <w:sz w:val="18"/>
          <w:szCs w:val="18"/>
        </w:rPr>
      </w:pPr>
    </w:p>
    <w:p w14:paraId="1B47BB66" w14:textId="77777777" w:rsidR="00CD537C" w:rsidRPr="00F429F5" w:rsidRDefault="00CD537C" w:rsidP="00CD537C">
      <w:pPr>
        <w:pStyle w:val="Prrafodelista"/>
        <w:numPr>
          <w:ilvl w:val="0"/>
          <w:numId w:val="30"/>
        </w:numPr>
        <w:ind w:left="425"/>
        <w:contextualSpacing/>
        <w:jc w:val="both"/>
        <w:rPr>
          <w:rFonts w:ascii="Poppins" w:hAnsi="Poppins" w:cs="Poppins"/>
          <w:b/>
          <w:sz w:val="18"/>
          <w:szCs w:val="18"/>
        </w:rPr>
      </w:pPr>
      <w:r w:rsidRPr="00F429F5">
        <w:rPr>
          <w:rFonts w:ascii="Poppins" w:hAnsi="Poppins" w:cs="Poppins"/>
          <w:b/>
          <w:sz w:val="18"/>
          <w:szCs w:val="18"/>
        </w:rPr>
        <w:t>EE.UU. inunda el mercado global con combustibles y marca un récord histórico de exportaciones</w:t>
      </w:r>
      <w:r>
        <w:rPr>
          <w:rFonts w:ascii="Poppins" w:hAnsi="Poppins" w:cs="Poppins"/>
          <w:b/>
          <w:sz w:val="18"/>
          <w:szCs w:val="18"/>
        </w:rPr>
        <w:t xml:space="preserve"> en diciembre</w:t>
      </w:r>
    </w:p>
    <w:p w14:paraId="29ECF8DF" w14:textId="77777777" w:rsidR="00CD537C" w:rsidRPr="00F429F5" w:rsidRDefault="00CD537C" w:rsidP="00CD537C">
      <w:pPr>
        <w:shd w:val="clear" w:color="auto" w:fill="FFFFFF"/>
        <w:ind w:left="425"/>
        <w:jc w:val="both"/>
        <w:rPr>
          <w:rFonts w:ascii="Poppins" w:hAnsi="Poppins" w:cs="Poppins"/>
          <w:sz w:val="18"/>
          <w:szCs w:val="18"/>
        </w:rPr>
      </w:pPr>
    </w:p>
    <w:p w14:paraId="03143B10" w14:textId="77777777" w:rsidR="00CD537C" w:rsidRPr="00F429F5" w:rsidRDefault="00CD537C" w:rsidP="00CD537C">
      <w:pPr>
        <w:shd w:val="clear" w:color="auto" w:fill="FFFFFF"/>
        <w:ind w:left="425"/>
        <w:jc w:val="both"/>
        <w:rPr>
          <w:rFonts w:ascii="Poppins" w:hAnsi="Poppins" w:cs="Poppins"/>
          <w:sz w:val="18"/>
          <w:szCs w:val="18"/>
        </w:rPr>
      </w:pPr>
      <w:r w:rsidRPr="00F429F5">
        <w:rPr>
          <w:rFonts w:ascii="Poppins" w:hAnsi="Poppins" w:cs="Poppins"/>
          <w:sz w:val="18"/>
          <w:szCs w:val="18"/>
        </w:rPr>
        <w:t xml:space="preserve">Estados Unidos cerró el año con un récord histórico de exportaciones de combustibles, alcanzando cerca de 7,8 millones de barriles </w:t>
      </w:r>
      <w:r>
        <w:rPr>
          <w:rFonts w:ascii="Poppins" w:hAnsi="Poppins" w:cs="Poppins"/>
          <w:sz w:val="18"/>
          <w:szCs w:val="18"/>
        </w:rPr>
        <w:t xml:space="preserve">por día </w:t>
      </w:r>
      <w:r w:rsidRPr="00F429F5">
        <w:rPr>
          <w:rFonts w:ascii="Poppins" w:hAnsi="Poppins" w:cs="Poppins"/>
          <w:sz w:val="18"/>
          <w:szCs w:val="18"/>
        </w:rPr>
        <w:t>en la semana finalizada el 19 de diciembre, según datos de la EIA</w:t>
      </w:r>
      <w:r>
        <w:rPr>
          <w:rFonts w:ascii="Poppins" w:hAnsi="Poppins" w:cs="Poppins"/>
          <w:sz w:val="18"/>
          <w:szCs w:val="18"/>
        </w:rPr>
        <w:t xml:space="preserve"> (Energy </w:t>
      </w:r>
      <w:proofErr w:type="spellStart"/>
      <w:r>
        <w:rPr>
          <w:rFonts w:ascii="Poppins" w:hAnsi="Poppins" w:cs="Poppins"/>
          <w:sz w:val="18"/>
          <w:szCs w:val="18"/>
        </w:rPr>
        <w:t>Information</w:t>
      </w:r>
      <w:proofErr w:type="spellEnd"/>
      <w:r>
        <w:rPr>
          <w:rFonts w:ascii="Poppins" w:hAnsi="Poppins" w:cs="Poppins"/>
          <w:sz w:val="18"/>
          <w:szCs w:val="18"/>
        </w:rPr>
        <w:t xml:space="preserve"> </w:t>
      </w:r>
      <w:proofErr w:type="spellStart"/>
      <w:r>
        <w:rPr>
          <w:rFonts w:ascii="Poppins" w:hAnsi="Poppins" w:cs="Poppins"/>
          <w:sz w:val="18"/>
          <w:szCs w:val="18"/>
        </w:rPr>
        <w:t>Administration</w:t>
      </w:r>
      <w:proofErr w:type="spellEnd"/>
      <w:r>
        <w:rPr>
          <w:rFonts w:ascii="Poppins" w:hAnsi="Poppins" w:cs="Poppins"/>
          <w:sz w:val="18"/>
          <w:szCs w:val="18"/>
        </w:rPr>
        <w:t>)</w:t>
      </w:r>
      <w:r w:rsidRPr="00F429F5">
        <w:rPr>
          <w:rFonts w:ascii="Poppins" w:hAnsi="Poppins" w:cs="Poppins"/>
          <w:sz w:val="18"/>
          <w:szCs w:val="18"/>
        </w:rPr>
        <w:t xml:space="preserve">. El fuerte envío de diésel, gasolina, jet fuel y fuel </w:t>
      </w:r>
      <w:proofErr w:type="spellStart"/>
      <w:r w:rsidRPr="00F429F5">
        <w:rPr>
          <w:rFonts w:ascii="Poppins" w:hAnsi="Poppins" w:cs="Poppins"/>
          <w:sz w:val="18"/>
          <w:szCs w:val="18"/>
        </w:rPr>
        <w:t>oil</w:t>
      </w:r>
      <w:proofErr w:type="spellEnd"/>
      <w:r w:rsidRPr="00F429F5">
        <w:rPr>
          <w:rFonts w:ascii="Poppins" w:hAnsi="Poppins" w:cs="Poppins"/>
          <w:sz w:val="18"/>
          <w:szCs w:val="18"/>
        </w:rPr>
        <w:t xml:space="preserve"> hacia América Latina, Europa y África permitió aliviar el exceso interno típico de fin de año, cuando las refinerías operan alto pero </w:t>
      </w:r>
      <w:r>
        <w:rPr>
          <w:rFonts w:ascii="Poppins" w:hAnsi="Poppins" w:cs="Poppins"/>
          <w:sz w:val="18"/>
          <w:szCs w:val="18"/>
        </w:rPr>
        <w:t>su</w:t>
      </w:r>
      <w:r w:rsidRPr="00F429F5">
        <w:rPr>
          <w:rFonts w:ascii="Poppins" w:hAnsi="Poppins" w:cs="Poppins"/>
          <w:sz w:val="18"/>
          <w:szCs w:val="18"/>
        </w:rPr>
        <w:t xml:space="preserve"> consumo </w:t>
      </w:r>
      <w:r>
        <w:rPr>
          <w:rFonts w:ascii="Poppins" w:hAnsi="Poppins" w:cs="Poppins"/>
          <w:sz w:val="18"/>
          <w:szCs w:val="18"/>
        </w:rPr>
        <w:t>interno</w:t>
      </w:r>
      <w:r w:rsidRPr="00F429F5">
        <w:rPr>
          <w:rFonts w:ascii="Poppins" w:hAnsi="Poppins" w:cs="Poppins"/>
          <w:sz w:val="18"/>
          <w:szCs w:val="18"/>
        </w:rPr>
        <w:t xml:space="preserve"> </w:t>
      </w:r>
      <w:r>
        <w:rPr>
          <w:rFonts w:ascii="Poppins" w:hAnsi="Poppins" w:cs="Poppins"/>
          <w:sz w:val="18"/>
          <w:szCs w:val="18"/>
        </w:rPr>
        <w:t>experimenta un valle.</w:t>
      </w:r>
    </w:p>
    <w:p w14:paraId="3A2A8332" w14:textId="77777777" w:rsidR="00CD537C" w:rsidRPr="00F429F5" w:rsidRDefault="00CD537C" w:rsidP="00CD537C">
      <w:pPr>
        <w:shd w:val="clear" w:color="auto" w:fill="FFFFFF"/>
        <w:ind w:left="425"/>
        <w:jc w:val="both"/>
        <w:rPr>
          <w:rFonts w:ascii="Poppins" w:hAnsi="Poppins" w:cs="Poppins"/>
          <w:sz w:val="18"/>
          <w:szCs w:val="18"/>
        </w:rPr>
      </w:pPr>
    </w:p>
    <w:p w14:paraId="0BF7D95B" w14:textId="77777777" w:rsidR="00CD537C" w:rsidRDefault="00CD537C" w:rsidP="00CD537C">
      <w:pPr>
        <w:shd w:val="clear" w:color="auto" w:fill="FFFFFF"/>
        <w:ind w:left="425"/>
        <w:jc w:val="both"/>
        <w:rPr>
          <w:rFonts w:ascii="Poppins" w:hAnsi="Poppins" w:cs="Poppins"/>
          <w:sz w:val="18"/>
          <w:szCs w:val="18"/>
        </w:rPr>
      </w:pPr>
      <w:r w:rsidRPr="00DC5FE5">
        <w:rPr>
          <w:rFonts w:ascii="Poppins" w:hAnsi="Poppins" w:cs="Poppins"/>
          <w:sz w:val="18"/>
          <w:szCs w:val="18"/>
        </w:rPr>
        <w:t xml:space="preserve">Este aumento de exportaciones ayudó a sostener temporalmente los precios de los combustibles, en particular del diésel, al retirar del mercado interno volúmenes que habrían incrementado aún más los inventarios. No obstante, los datos oficiales también mostraron acumulación de existencias de gasolina y destilados, confirmando que el mercado estadounidense permanece bien abastecido. En consecuencia, el efecto fue acotado y transitorio: aportó estabilidad a los combustibles refinados, pero no logró impulsar al crudo, que continuó anclado en torno a los 60 </w:t>
      </w:r>
      <w:r>
        <w:rPr>
          <w:rFonts w:ascii="Poppins" w:hAnsi="Poppins" w:cs="Poppins"/>
          <w:sz w:val="18"/>
          <w:szCs w:val="18"/>
        </w:rPr>
        <w:t>US$/barril.</w:t>
      </w:r>
    </w:p>
    <w:p w14:paraId="3E5A276A" w14:textId="77777777" w:rsidR="00CD537C" w:rsidRDefault="00CD537C" w:rsidP="00CD537C">
      <w:pPr>
        <w:shd w:val="clear" w:color="auto" w:fill="FFFFFF"/>
        <w:ind w:left="425"/>
        <w:jc w:val="both"/>
        <w:rPr>
          <w:rFonts w:ascii="Poppins" w:hAnsi="Poppins" w:cs="Poppins"/>
          <w:b/>
          <w:bCs/>
          <w:sz w:val="18"/>
          <w:szCs w:val="18"/>
        </w:rPr>
      </w:pPr>
    </w:p>
    <w:p w14:paraId="23A6DF8E" w14:textId="77777777" w:rsidR="00CD537C" w:rsidRPr="00982DC9" w:rsidRDefault="00CD537C" w:rsidP="00CD537C">
      <w:pPr>
        <w:pStyle w:val="Prrafodelista"/>
        <w:numPr>
          <w:ilvl w:val="0"/>
          <w:numId w:val="30"/>
        </w:numPr>
        <w:ind w:left="425"/>
        <w:contextualSpacing/>
        <w:jc w:val="both"/>
        <w:rPr>
          <w:rFonts w:ascii="Poppins" w:hAnsi="Poppins" w:cs="Poppins"/>
          <w:b/>
          <w:bCs/>
          <w:sz w:val="18"/>
          <w:szCs w:val="18"/>
        </w:rPr>
      </w:pPr>
      <w:r w:rsidRPr="00982DC9">
        <w:rPr>
          <w:rFonts w:ascii="Poppins" w:hAnsi="Poppins" w:cs="Poppins"/>
          <w:b/>
          <w:sz w:val="18"/>
          <w:szCs w:val="18"/>
        </w:rPr>
        <w:t xml:space="preserve">Dólar </w:t>
      </w:r>
      <w:r>
        <w:rPr>
          <w:rFonts w:ascii="Poppins" w:hAnsi="Poppins" w:cs="Poppins"/>
          <w:b/>
          <w:sz w:val="18"/>
          <w:szCs w:val="18"/>
        </w:rPr>
        <w:t>en recuperación y rendimientos elevados de bonos de EE.UU. al inicio de 2026</w:t>
      </w:r>
    </w:p>
    <w:p w14:paraId="53DB2074" w14:textId="77777777" w:rsidR="00CD537C" w:rsidRPr="00982DC9" w:rsidRDefault="00CD537C" w:rsidP="00CD537C">
      <w:pPr>
        <w:shd w:val="clear" w:color="auto" w:fill="FFFFFF"/>
        <w:ind w:left="425"/>
        <w:jc w:val="both"/>
        <w:rPr>
          <w:rFonts w:ascii="Poppins" w:hAnsi="Poppins" w:cs="Poppins"/>
          <w:b/>
          <w:bCs/>
          <w:sz w:val="18"/>
          <w:szCs w:val="18"/>
        </w:rPr>
      </w:pPr>
    </w:p>
    <w:p w14:paraId="1878E220" w14:textId="77777777" w:rsidR="00CD537C" w:rsidRPr="006051C6" w:rsidRDefault="00CD537C" w:rsidP="00CD537C">
      <w:pPr>
        <w:shd w:val="clear" w:color="auto" w:fill="FFFFFF"/>
        <w:ind w:left="425"/>
        <w:jc w:val="both"/>
        <w:rPr>
          <w:rFonts w:ascii="Poppins" w:hAnsi="Poppins" w:cs="Poppins"/>
          <w:sz w:val="18"/>
          <w:szCs w:val="18"/>
        </w:rPr>
      </w:pPr>
      <w:r w:rsidRPr="006051C6">
        <w:rPr>
          <w:rFonts w:ascii="Poppins" w:hAnsi="Poppins" w:cs="Poppins"/>
          <w:sz w:val="18"/>
          <w:szCs w:val="18"/>
        </w:rPr>
        <w:t>El dólar estadounidense inició enero de 2026 con una recuperación</w:t>
      </w:r>
      <w:r>
        <w:rPr>
          <w:rFonts w:ascii="Poppins" w:hAnsi="Poppins" w:cs="Poppins"/>
          <w:sz w:val="18"/>
          <w:szCs w:val="18"/>
        </w:rPr>
        <w:t xml:space="preserve"> moderada</w:t>
      </w:r>
      <w:r w:rsidRPr="006051C6">
        <w:rPr>
          <w:rFonts w:ascii="Poppins" w:hAnsi="Poppins" w:cs="Poppins"/>
          <w:sz w:val="18"/>
          <w:szCs w:val="18"/>
        </w:rPr>
        <w:t xml:space="preserve"> cercana al 1% frente a las principales monedas del mundo, luego de haber caído más de 9% en 2025, su mayor </w:t>
      </w:r>
      <w:r>
        <w:rPr>
          <w:rFonts w:ascii="Poppins" w:hAnsi="Poppins" w:cs="Poppins"/>
          <w:sz w:val="18"/>
          <w:szCs w:val="18"/>
        </w:rPr>
        <w:t>caída</w:t>
      </w:r>
      <w:r w:rsidRPr="006051C6">
        <w:rPr>
          <w:rFonts w:ascii="Poppins" w:hAnsi="Poppins" w:cs="Poppins"/>
          <w:sz w:val="18"/>
          <w:szCs w:val="18"/>
        </w:rPr>
        <w:t xml:space="preserve"> anual desde 2017. Este repunte responde a un mayor grado de cautela en los mercados, que esperan una semana clave de datos económicos en E</w:t>
      </w:r>
      <w:r>
        <w:rPr>
          <w:rFonts w:ascii="Poppins" w:hAnsi="Poppins" w:cs="Poppins"/>
          <w:sz w:val="18"/>
          <w:szCs w:val="18"/>
        </w:rPr>
        <w:t xml:space="preserve">E.UU. como </w:t>
      </w:r>
      <w:r w:rsidRPr="006051C6">
        <w:rPr>
          <w:rFonts w:ascii="Poppins" w:hAnsi="Poppins" w:cs="Poppins"/>
          <w:sz w:val="18"/>
          <w:szCs w:val="18"/>
        </w:rPr>
        <w:t xml:space="preserve">empleo, </w:t>
      </w:r>
      <w:r w:rsidRPr="006051C6">
        <w:rPr>
          <w:rFonts w:ascii="Poppins" w:hAnsi="Poppins" w:cs="Poppins"/>
          <w:sz w:val="18"/>
          <w:szCs w:val="18"/>
        </w:rPr>
        <w:lastRenderedPageBreak/>
        <w:t>inflación y actividad</w:t>
      </w:r>
      <w:r>
        <w:rPr>
          <w:rFonts w:ascii="Poppins" w:hAnsi="Poppins" w:cs="Poppins"/>
          <w:sz w:val="18"/>
          <w:szCs w:val="18"/>
        </w:rPr>
        <w:t xml:space="preserve">, </w:t>
      </w:r>
      <w:r w:rsidRPr="006051C6">
        <w:rPr>
          <w:rFonts w:ascii="Poppins" w:hAnsi="Poppins" w:cs="Poppins"/>
          <w:sz w:val="18"/>
          <w:szCs w:val="18"/>
        </w:rPr>
        <w:t xml:space="preserve">los cuales podrían influir en las próximas decisiones de la Reserva Federal </w:t>
      </w:r>
      <w:r>
        <w:rPr>
          <w:rFonts w:ascii="Poppins" w:hAnsi="Poppins" w:cs="Poppins"/>
          <w:sz w:val="18"/>
          <w:szCs w:val="18"/>
        </w:rPr>
        <w:t xml:space="preserve">de EE.UU. (FED) </w:t>
      </w:r>
      <w:r w:rsidRPr="006051C6">
        <w:rPr>
          <w:rFonts w:ascii="Poppins" w:hAnsi="Poppins" w:cs="Poppins"/>
          <w:sz w:val="18"/>
          <w:szCs w:val="18"/>
        </w:rPr>
        <w:t>sobre las tasas de interés.</w:t>
      </w:r>
    </w:p>
    <w:p w14:paraId="7087B340" w14:textId="77777777" w:rsidR="00CD537C" w:rsidRPr="006051C6" w:rsidRDefault="00CD537C" w:rsidP="00CD537C">
      <w:pPr>
        <w:shd w:val="clear" w:color="auto" w:fill="FFFFFF"/>
        <w:ind w:left="425"/>
        <w:jc w:val="both"/>
        <w:rPr>
          <w:rFonts w:ascii="Poppins" w:hAnsi="Poppins" w:cs="Poppins"/>
          <w:sz w:val="18"/>
          <w:szCs w:val="18"/>
        </w:rPr>
      </w:pPr>
    </w:p>
    <w:p w14:paraId="20F47EFC" w14:textId="77777777" w:rsidR="00CD537C" w:rsidRDefault="00CD537C" w:rsidP="00CD537C">
      <w:pPr>
        <w:shd w:val="clear" w:color="auto" w:fill="FFFFFF"/>
        <w:ind w:left="425"/>
        <w:jc w:val="both"/>
        <w:rPr>
          <w:rFonts w:ascii="Poppins" w:hAnsi="Poppins" w:cs="Poppins"/>
          <w:sz w:val="18"/>
          <w:szCs w:val="18"/>
        </w:rPr>
      </w:pPr>
      <w:r w:rsidRPr="006051C6">
        <w:rPr>
          <w:rFonts w:ascii="Poppins" w:hAnsi="Poppins" w:cs="Poppins"/>
          <w:sz w:val="18"/>
          <w:szCs w:val="18"/>
        </w:rPr>
        <w:t>Al mismo tiempo, los rendimientos de los bonos del Tesoro de EE.UU. se mantuvieron en niveles elevados, con el bono a 10 años alrededor de 4,0%</w:t>
      </w:r>
      <w:r>
        <w:rPr>
          <w:rFonts w:ascii="Poppins" w:hAnsi="Poppins" w:cs="Poppins"/>
          <w:sz w:val="18"/>
          <w:szCs w:val="18"/>
        </w:rPr>
        <w:t xml:space="preserve"> a </w:t>
      </w:r>
      <w:r w:rsidRPr="006051C6">
        <w:rPr>
          <w:rFonts w:ascii="Poppins" w:hAnsi="Poppins" w:cs="Poppins"/>
          <w:sz w:val="18"/>
          <w:szCs w:val="18"/>
        </w:rPr>
        <w:t>4,2%, reflejando condiciones financieras todavía restrictivas. La combinación de un dólar más fuerte y tasas altas reduce el a</w:t>
      </w:r>
      <w:r>
        <w:rPr>
          <w:rFonts w:ascii="Poppins" w:hAnsi="Poppins" w:cs="Poppins"/>
          <w:sz w:val="18"/>
          <w:szCs w:val="18"/>
        </w:rPr>
        <w:t>tractivo</w:t>
      </w:r>
      <w:r w:rsidRPr="006051C6">
        <w:rPr>
          <w:rFonts w:ascii="Poppins" w:hAnsi="Poppins" w:cs="Poppins"/>
          <w:sz w:val="18"/>
          <w:szCs w:val="18"/>
        </w:rPr>
        <w:t xml:space="preserve"> financiero por las materias primas. Como resultado, estos factores macroeconómicos act</w:t>
      </w:r>
      <w:r>
        <w:rPr>
          <w:rFonts w:ascii="Poppins" w:hAnsi="Poppins" w:cs="Poppins"/>
          <w:sz w:val="18"/>
          <w:szCs w:val="18"/>
        </w:rPr>
        <w:t>úan</w:t>
      </w:r>
      <w:r w:rsidRPr="006051C6">
        <w:rPr>
          <w:rFonts w:ascii="Poppins" w:hAnsi="Poppins" w:cs="Poppins"/>
          <w:sz w:val="18"/>
          <w:szCs w:val="18"/>
        </w:rPr>
        <w:t xml:space="preserve"> como un </w:t>
      </w:r>
      <w:r w:rsidRPr="006051C6">
        <w:rPr>
          <w:rFonts w:ascii="Poppins" w:hAnsi="Poppins" w:cs="Poppins"/>
          <w:i/>
          <w:iCs/>
          <w:sz w:val="18"/>
          <w:szCs w:val="18"/>
        </w:rPr>
        <w:t>“techo”</w:t>
      </w:r>
      <w:r w:rsidRPr="006051C6">
        <w:rPr>
          <w:rFonts w:ascii="Poppins" w:hAnsi="Poppins" w:cs="Poppins"/>
          <w:sz w:val="18"/>
          <w:szCs w:val="18"/>
        </w:rPr>
        <w:t xml:space="preserve"> para los precios, contribuyendo a </w:t>
      </w:r>
      <w:r>
        <w:rPr>
          <w:rFonts w:ascii="Poppins" w:hAnsi="Poppins" w:cs="Poppins"/>
          <w:sz w:val="18"/>
          <w:szCs w:val="18"/>
        </w:rPr>
        <w:t xml:space="preserve">la estabilidad de los mismos, </w:t>
      </w:r>
      <w:r w:rsidRPr="006051C6">
        <w:rPr>
          <w:rFonts w:ascii="Poppins" w:hAnsi="Poppins" w:cs="Poppins"/>
          <w:sz w:val="18"/>
          <w:szCs w:val="18"/>
        </w:rPr>
        <w:t>incluso en un contexto de tensiones geopolíticas y riesgos de interrupciones de suministro.</w:t>
      </w:r>
    </w:p>
    <w:p w14:paraId="5EB85034" w14:textId="77777777" w:rsidR="00CD537C" w:rsidRDefault="00CD537C" w:rsidP="00CD537C">
      <w:pPr>
        <w:shd w:val="clear" w:color="auto" w:fill="FFFFFF"/>
        <w:ind w:left="425"/>
        <w:jc w:val="both"/>
        <w:rPr>
          <w:rFonts w:ascii="Poppins" w:hAnsi="Poppins" w:cs="Poppins"/>
          <w:sz w:val="18"/>
          <w:szCs w:val="18"/>
        </w:rPr>
      </w:pPr>
    </w:p>
    <w:p w14:paraId="5FE9BFBE" w14:textId="77777777" w:rsidR="00CD537C" w:rsidRPr="007D1870" w:rsidRDefault="00CD537C" w:rsidP="00CD537C">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R</w:t>
      </w:r>
      <w:r w:rsidRPr="007D1870">
        <w:rPr>
          <w:rFonts w:ascii="Poppins" w:hAnsi="Poppins" w:cs="Poppins"/>
          <w:b/>
          <w:sz w:val="18"/>
          <w:szCs w:val="18"/>
        </w:rPr>
        <w:t>usia extiende la prohibición de exportación de gasolinas y mantiene controles al diésel exportado</w:t>
      </w:r>
    </w:p>
    <w:p w14:paraId="256DC899" w14:textId="77777777" w:rsidR="00CD537C" w:rsidRPr="007D1870" w:rsidRDefault="00CD537C" w:rsidP="00CD537C">
      <w:pPr>
        <w:shd w:val="clear" w:color="auto" w:fill="FFFFFF"/>
        <w:ind w:left="425"/>
        <w:jc w:val="both"/>
      </w:pPr>
    </w:p>
    <w:p w14:paraId="7FB5509F" w14:textId="77777777" w:rsidR="00CD537C" w:rsidRPr="007D1870" w:rsidRDefault="00CD537C" w:rsidP="00CD537C">
      <w:pPr>
        <w:shd w:val="clear" w:color="auto" w:fill="FFFFFF"/>
        <w:ind w:left="425"/>
        <w:jc w:val="both"/>
        <w:rPr>
          <w:rFonts w:ascii="Poppins" w:hAnsi="Poppins" w:cs="Poppins"/>
          <w:sz w:val="18"/>
          <w:szCs w:val="18"/>
        </w:rPr>
      </w:pPr>
      <w:r w:rsidRPr="007D1870">
        <w:rPr>
          <w:rFonts w:ascii="Poppins" w:hAnsi="Poppins" w:cs="Poppins"/>
          <w:sz w:val="18"/>
          <w:szCs w:val="18"/>
        </w:rPr>
        <w:t>Rusia confirmó la extensión de la prohibición total de exportaciones de gasolina hasta finales de febrero de 2026, en una decisión adoptada tras reuniones encabezadas por el viceprimer ministro Alexander Novak, según reportó Reuters y citando fuentes oficiales. La medida responde al incremento del riesgo operativo en el sistema de refinación y distribución, tras ataques con drones ucranianos a infraestructura energética, y busca asegurar el abastecimiento interno y contener presiones inflacionarias en su mercado doméstico de combustibles</w:t>
      </w:r>
      <w:r>
        <w:rPr>
          <w:rFonts w:ascii="Poppins" w:hAnsi="Poppins" w:cs="Poppins"/>
          <w:sz w:val="18"/>
          <w:szCs w:val="18"/>
        </w:rPr>
        <w:t>.</w:t>
      </w:r>
    </w:p>
    <w:p w14:paraId="69E2E90F" w14:textId="77777777" w:rsidR="00CD537C" w:rsidRPr="007D1870" w:rsidRDefault="00CD537C" w:rsidP="00CD537C">
      <w:pPr>
        <w:shd w:val="clear" w:color="auto" w:fill="FFFFFF"/>
        <w:ind w:left="425"/>
        <w:jc w:val="both"/>
        <w:rPr>
          <w:rFonts w:ascii="Poppins" w:hAnsi="Poppins" w:cs="Poppins"/>
          <w:sz w:val="18"/>
          <w:szCs w:val="18"/>
        </w:rPr>
      </w:pPr>
    </w:p>
    <w:p w14:paraId="4113C3AF" w14:textId="77777777" w:rsidR="00CD537C" w:rsidRDefault="00CD537C" w:rsidP="00CD537C">
      <w:pPr>
        <w:shd w:val="clear" w:color="auto" w:fill="FFFFFF"/>
        <w:ind w:left="425"/>
        <w:jc w:val="both"/>
        <w:rPr>
          <w:rFonts w:ascii="Poppins" w:hAnsi="Poppins" w:cs="Poppins"/>
          <w:sz w:val="18"/>
          <w:szCs w:val="18"/>
        </w:rPr>
      </w:pPr>
      <w:r w:rsidRPr="007D1870">
        <w:rPr>
          <w:rFonts w:ascii="Poppins" w:hAnsi="Poppins" w:cs="Poppins"/>
          <w:sz w:val="18"/>
          <w:szCs w:val="18"/>
        </w:rPr>
        <w:t xml:space="preserve">En el caso del diésel, el gobierno optó por mantener las restricciones administrativas vigentes, sin imponer un veto total. Estas incluyen límites a exportaciones realizadas por </w:t>
      </w:r>
      <w:proofErr w:type="spellStart"/>
      <w:r w:rsidRPr="007D1870">
        <w:rPr>
          <w:rFonts w:ascii="Poppins" w:hAnsi="Poppins" w:cs="Poppins"/>
          <w:i/>
          <w:iCs/>
          <w:sz w:val="18"/>
          <w:szCs w:val="18"/>
        </w:rPr>
        <w:t>traders</w:t>
      </w:r>
      <w:proofErr w:type="spellEnd"/>
      <w:r w:rsidRPr="007D1870">
        <w:rPr>
          <w:rFonts w:ascii="Poppins" w:hAnsi="Poppins" w:cs="Poppins"/>
          <w:sz w:val="18"/>
          <w:szCs w:val="18"/>
        </w:rPr>
        <w:t xml:space="preserve"> y revendedores sin producción propia, requisitos de autorizaciones específicas y mayor supervisión estatal sobre los flujos. Analistas citados por Reuters señalan que este esquema ha reducido la oferta exportable efectiva de diésel ruso, contribuyendo a sostener precios y márgenes de combustibles, especialmente en Europa y África, regiones altamente dependientes de estos volúmenes</w:t>
      </w:r>
      <w:r>
        <w:rPr>
          <w:rFonts w:ascii="Poppins" w:hAnsi="Poppins" w:cs="Poppins"/>
          <w:sz w:val="18"/>
          <w:szCs w:val="18"/>
        </w:rPr>
        <w:t>.</w:t>
      </w:r>
    </w:p>
    <w:p w14:paraId="2E46E53F" w14:textId="77777777" w:rsidR="00CD537C" w:rsidRPr="00FB7768" w:rsidRDefault="00CD537C" w:rsidP="00CD537C">
      <w:pPr>
        <w:shd w:val="clear" w:color="auto" w:fill="FFFFFF"/>
        <w:ind w:left="425"/>
        <w:jc w:val="both"/>
        <w:rPr>
          <w:rFonts w:ascii="Poppins" w:hAnsi="Poppins" w:cs="Poppins"/>
          <w:sz w:val="18"/>
          <w:szCs w:val="18"/>
          <w:highlight w:val="yellow"/>
        </w:rPr>
      </w:pPr>
    </w:p>
    <w:p w14:paraId="70D55F1A" w14:textId="77777777" w:rsidR="00CD537C" w:rsidRPr="00584BC3" w:rsidRDefault="00CD537C" w:rsidP="00CD537C">
      <w:pPr>
        <w:pStyle w:val="Prrafodelista"/>
        <w:numPr>
          <w:ilvl w:val="0"/>
          <w:numId w:val="30"/>
        </w:numPr>
        <w:ind w:left="425"/>
        <w:contextualSpacing/>
        <w:jc w:val="both"/>
        <w:rPr>
          <w:rFonts w:ascii="Poppins" w:hAnsi="Poppins" w:cs="Poppins"/>
          <w:b/>
          <w:sz w:val="18"/>
          <w:szCs w:val="18"/>
        </w:rPr>
      </w:pPr>
      <w:r w:rsidRPr="00584BC3">
        <w:rPr>
          <w:rFonts w:ascii="Poppins" w:hAnsi="Poppins" w:cs="Poppins"/>
          <w:b/>
          <w:sz w:val="18"/>
          <w:szCs w:val="18"/>
        </w:rPr>
        <w:t>El petróleo y gas natural no convencional de EE.UU. entra en fase de control de costos, con menos inversión para expansión hacia 2026</w:t>
      </w:r>
    </w:p>
    <w:p w14:paraId="44AE51A5" w14:textId="77777777" w:rsidR="00CD537C" w:rsidRPr="00584BC3" w:rsidRDefault="00CD537C" w:rsidP="00CD537C">
      <w:pPr>
        <w:shd w:val="clear" w:color="auto" w:fill="FFFFFF"/>
        <w:ind w:left="425"/>
        <w:jc w:val="both"/>
        <w:rPr>
          <w:rFonts w:ascii="Poppins" w:hAnsi="Poppins" w:cs="Poppins"/>
          <w:sz w:val="18"/>
          <w:szCs w:val="18"/>
        </w:rPr>
      </w:pPr>
    </w:p>
    <w:p w14:paraId="6E7F01AD" w14:textId="77777777" w:rsidR="00CD537C" w:rsidRPr="00584BC3" w:rsidRDefault="00CD537C" w:rsidP="00CD537C">
      <w:pPr>
        <w:shd w:val="clear" w:color="auto" w:fill="FFFFFF"/>
        <w:ind w:left="425"/>
        <w:jc w:val="both"/>
        <w:rPr>
          <w:rFonts w:ascii="Poppins" w:hAnsi="Poppins" w:cs="Poppins"/>
          <w:sz w:val="18"/>
          <w:szCs w:val="18"/>
        </w:rPr>
      </w:pPr>
      <w:r w:rsidRPr="00584BC3">
        <w:rPr>
          <w:rFonts w:ascii="Poppins" w:hAnsi="Poppins" w:cs="Poppins"/>
          <w:sz w:val="18"/>
          <w:szCs w:val="18"/>
        </w:rPr>
        <w:t xml:space="preserve">Los productores estadounidenses de </w:t>
      </w:r>
      <w:proofErr w:type="spellStart"/>
      <w:r w:rsidRPr="00584BC3">
        <w:rPr>
          <w:rFonts w:ascii="Poppins" w:hAnsi="Poppins" w:cs="Poppins"/>
          <w:sz w:val="18"/>
          <w:szCs w:val="18"/>
        </w:rPr>
        <w:t>shale</w:t>
      </w:r>
      <w:proofErr w:type="spellEnd"/>
      <w:r w:rsidRPr="00584BC3">
        <w:rPr>
          <w:rFonts w:ascii="Poppins" w:hAnsi="Poppins" w:cs="Poppins"/>
          <w:sz w:val="18"/>
          <w:szCs w:val="18"/>
        </w:rPr>
        <w:t xml:space="preserve"> </w:t>
      </w:r>
      <w:proofErr w:type="spellStart"/>
      <w:r w:rsidRPr="00584BC3">
        <w:rPr>
          <w:rFonts w:ascii="Poppins" w:hAnsi="Poppins" w:cs="Poppins"/>
          <w:sz w:val="18"/>
          <w:szCs w:val="18"/>
        </w:rPr>
        <w:t>oil</w:t>
      </w:r>
      <w:proofErr w:type="spellEnd"/>
      <w:r w:rsidRPr="00584BC3">
        <w:rPr>
          <w:rFonts w:ascii="Poppins" w:hAnsi="Poppins" w:cs="Poppins"/>
          <w:sz w:val="18"/>
          <w:szCs w:val="18"/>
        </w:rPr>
        <w:t xml:space="preserve"> y </w:t>
      </w:r>
      <w:proofErr w:type="spellStart"/>
      <w:r w:rsidRPr="00584BC3">
        <w:rPr>
          <w:rFonts w:ascii="Poppins" w:hAnsi="Poppins" w:cs="Poppins"/>
          <w:sz w:val="18"/>
          <w:szCs w:val="18"/>
        </w:rPr>
        <w:t>shale</w:t>
      </w:r>
      <w:proofErr w:type="spellEnd"/>
      <w:r w:rsidRPr="00584BC3">
        <w:rPr>
          <w:rFonts w:ascii="Poppins" w:hAnsi="Poppins" w:cs="Poppins"/>
          <w:sz w:val="18"/>
          <w:szCs w:val="18"/>
        </w:rPr>
        <w:t xml:space="preserve"> gas (no convencionales) anticipan un estancamiento o leve reducción del gasto de capital en 2026, según una encuesta adelantada del Banco de la Reserva Federal de Dallas. La decisión responde a una rentabilidad más ajustada, precios del gas persistentemente bajos y menor productividad, lo que eleva los umbrales de precio necesarios para justificar nuevas perforaciones. En este contexto, la estrategia corporativa se orienta a disciplina de capital, generación de flujo de caja y retornos al accionista, dejando en segundo plano el crecimiento acelerado de volúmenes.</w:t>
      </w:r>
    </w:p>
    <w:p w14:paraId="197048C7" w14:textId="77777777" w:rsidR="00CD537C" w:rsidRPr="00584BC3" w:rsidRDefault="00CD537C" w:rsidP="00CD537C">
      <w:pPr>
        <w:shd w:val="clear" w:color="auto" w:fill="FFFFFF"/>
        <w:ind w:left="425"/>
        <w:jc w:val="both"/>
        <w:rPr>
          <w:rFonts w:ascii="Poppins" w:hAnsi="Poppins" w:cs="Poppins"/>
          <w:sz w:val="18"/>
          <w:szCs w:val="18"/>
        </w:rPr>
      </w:pPr>
    </w:p>
    <w:p w14:paraId="03A4C8BF" w14:textId="77777777" w:rsidR="00CD537C" w:rsidRPr="00584BC3" w:rsidRDefault="00CD537C" w:rsidP="00CD537C">
      <w:pPr>
        <w:shd w:val="clear" w:color="auto" w:fill="FFFFFF"/>
        <w:ind w:left="425"/>
        <w:jc w:val="both"/>
        <w:rPr>
          <w:rFonts w:ascii="Poppins" w:hAnsi="Poppins" w:cs="Poppins"/>
          <w:sz w:val="18"/>
          <w:szCs w:val="18"/>
        </w:rPr>
      </w:pPr>
      <w:r w:rsidRPr="00584BC3">
        <w:rPr>
          <w:rFonts w:ascii="Poppins" w:hAnsi="Poppins" w:cs="Poppins"/>
          <w:sz w:val="18"/>
          <w:szCs w:val="18"/>
        </w:rPr>
        <w:t>Este ajuste sería más visible entre productores pequeños (con producciones por debajo de 10 mil bpd equivalentes), muchos de los cuales ya han iniciado recortes de costos, ralentizando la perforación y la finalización de pozos. Este comportamiento refleja una mayor cautela frente a un entorno de costos aún elevados y acceso más selectivo a financiamiento.</w:t>
      </w:r>
    </w:p>
    <w:p w14:paraId="63B601AE" w14:textId="77777777" w:rsidR="00CD537C" w:rsidRPr="00584BC3" w:rsidRDefault="00CD537C" w:rsidP="00CD537C">
      <w:pPr>
        <w:shd w:val="clear" w:color="auto" w:fill="FFFFFF"/>
        <w:ind w:left="425"/>
        <w:jc w:val="both"/>
        <w:rPr>
          <w:rFonts w:ascii="Poppins" w:hAnsi="Poppins" w:cs="Poppins"/>
          <w:sz w:val="18"/>
          <w:szCs w:val="18"/>
        </w:rPr>
      </w:pPr>
    </w:p>
    <w:p w14:paraId="586B5630" w14:textId="77777777" w:rsidR="00CD537C" w:rsidRDefault="00CD537C" w:rsidP="00CD537C">
      <w:pPr>
        <w:shd w:val="clear" w:color="auto" w:fill="FFFFFF"/>
        <w:ind w:left="425"/>
        <w:jc w:val="both"/>
        <w:rPr>
          <w:rFonts w:ascii="Poppins" w:hAnsi="Poppins" w:cs="Poppins"/>
          <w:sz w:val="18"/>
          <w:szCs w:val="18"/>
        </w:rPr>
      </w:pPr>
      <w:r w:rsidRPr="00584BC3">
        <w:rPr>
          <w:rFonts w:ascii="Poppins" w:hAnsi="Poppins" w:cs="Poppins"/>
          <w:sz w:val="18"/>
          <w:szCs w:val="18"/>
        </w:rPr>
        <w:lastRenderedPageBreak/>
        <w:t xml:space="preserve">Desde la óptica del mercado, el mensaje es alcista a mediano plazo, particularmente para el gas natural, donde un </w:t>
      </w:r>
      <w:proofErr w:type="spellStart"/>
      <w:r w:rsidRPr="00584BC3">
        <w:rPr>
          <w:rFonts w:ascii="Poppins" w:hAnsi="Poppins" w:cs="Poppins"/>
          <w:sz w:val="18"/>
          <w:szCs w:val="18"/>
        </w:rPr>
        <w:t>capex</w:t>
      </w:r>
      <w:proofErr w:type="spellEnd"/>
      <w:r w:rsidRPr="00584BC3">
        <w:rPr>
          <w:rFonts w:ascii="Poppins" w:hAnsi="Poppins" w:cs="Poppins"/>
          <w:sz w:val="18"/>
          <w:szCs w:val="18"/>
        </w:rPr>
        <w:t xml:space="preserve"> (inversiones expansivas) plano o a la baja tiende a moderar el crecimiento de la oferta justo cuando la demanda parece expandiéndose. En el caso del crudo, por el contrario, el impacto es más gradual, dado que la cuenca </w:t>
      </w:r>
      <w:proofErr w:type="spellStart"/>
      <w:r w:rsidRPr="00584BC3">
        <w:rPr>
          <w:rFonts w:ascii="Poppins" w:hAnsi="Poppins" w:cs="Poppins"/>
          <w:sz w:val="18"/>
          <w:szCs w:val="18"/>
        </w:rPr>
        <w:t>Permian</w:t>
      </w:r>
      <w:proofErr w:type="spellEnd"/>
      <w:r w:rsidRPr="00584BC3">
        <w:rPr>
          <w:rFonts w:ascii="Poppins" w:hAnsi="Poppins" w:cs="Poppins"/>
          <w:sz w:val="18"/>
          <w:szCs w:val="18"/>
        </w:rPr>
        <w:t xml:space="preserve"> aún sostiene producción, pero reduce la capacidad del </w:t>
      </w:r>
      <w:proofErr w:type="spellStart"/>
      <w:r w:rsidRPr="00584BC3">
        <w:rPr>
          <w:rFonts w:ascii="Poppins" w:hAnsi="Poppins" w:cs="Poppins"/>
          <w:sz w:val="18"/>
          <w:szCs w:val="18"/>
        </w:rPr>
        <w:t>shale</w:t>
      </w:r>
      <w:proofErr w:type="spellEnd"/>
      <w:r w:rsidRPr="00584BC3">
        <w:rPr>
          <w:rFonts w:ascii="Poppins" w:hAnsi="Poppins" w:cs="Poppins"/>
          <w:sz w:val="18"/>
          <w:szCs w:val="18"/>
        </w:rPr>
        <w:t xml:space="preserve"> como </w:t>
      </w:r>
      <w:r w:rsidRPr="00584BC3">
        <w:rPr>
          <w:rFonts w:ascii="Poppins" w:hAnsi="Poppins" w:cs="Poppins"/>
          <w:i/>
          <w:iCs/>
          <w:sz w:val="18"/>
          <w:szCs w:val="18"/>
        </w:rPr>
        <w:t>“oferta flexible”</w:t>
      </w:r>
      <w:r w:rsidRPr="00584BC3">
        <w:rPr>
          <w:rFonts w:ascii="Poppins" w:hAnsi="Poppins" w:cs="Poppins"/>
          <w:sz w:val="18"/>
          <w:szCs w:val="18"/>
        </w:rPr>
        <w:t xml:space="preserve"> haciendo al mercado más sensible a disrupciones geopolíticas y a la gestión de oferta de la OPEP.</w:t>
      </w:r>
    </w:p>
    <w:p w14:paraId="70619967" w14:textId="77777777" w:rsidR="00784CB3" w:rsidRPr="00A54DE8" w:rsidRDefault="00784CB3" w:rsidP="00784CB3">
      <w:pPr>
        <w:shd w:val="clear" w:color="auto" w:fill="FFFFFF"/>
        <w:ind w:left="425"/>
        <w:jc w:val="both"/>
        <w:rPr>
          <w:rFonts w:ascii="Poppins" w:hAnsi="Poppins" w:cs="Poppins"/>
          <w:sz w:val="18"/>
          <w:szCs w:val="18"/>
          <w:highlight w:val="yellow"/>
        </w:rPr>
      </w:pPr>
    </w:p>
    <w:p w14:paraId="77901E32" w14:textId="3507E131"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413AD4BF" w:rsidR="0000213D"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756EA98A">
            <wp:extent cx="5168835" cy="2695492"/>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7451" cy="2741704"/>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00D09AA0" w:rsidR="00CD537C" w:rsidRDefault="00CD537C" w:rsidP="00D87FA1">
      <w:pPr>
        <w:ind w:left="426"/>
        <w:jc w:val="both"/>
        <w:rPr>
          <w:rFonts w:ascii="Poppins" w:hAnsi="Poppins" w:cs="Poppins"/>
          <w:sz w:val="18"/>
          <w:szCs w:val="18"/>
        </w:rPr>
      </w:pPr>
    </w:p>
    <w:p w14:paraId="5DC8AB37" w14:textId="765D3492" w:rsidR="00CD537C" w:rsidRDefault="00CD537C" w:rsidP="00D87FA1">
      <w:pPr>
        <w:ind w:left="426"/>
        <w:jc w:val="both"/>
        <w:rPr>
          <w:rFonts w:ascii="Poppins" w:hAnsi="Poppins" w:cs="Poppins"/>
          <w:sz w:val="18"/>
          <w:szCs w:val="18"/>
        </w:rPr>
      </w:pPr>
    </w:p>
    <w:p w14:paraId="70B6B74D" w14:textId="77777777" w:rsidR="00CD537C" w:rsidRDefault="00CD537C"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3FF50140"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833DB">
        <w:rPr>
          <w:rFonts w:ascii="Poppins" w:hAnsi="Poppins" w:cs="Poppins"/>
          <w:sz w:val="18"/>
          <w:szCs w:val="18"/>
        </w:rPr>
        <w:t>3</w:t>
      </w:r>
      <w:r w:rsidR="00DE2753">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DE2753">
        <w:rPr>
          <w:rFonts w:ascii="Poppins" w:hAnsi="Poppins" w:cs="Poppins"/>
          <w:sz w:val="18"/>
          <w:szCs w:val="18"/>
        </w:rPr>
        <w:t>26</w:t>
      </w:r>
      <w:r w:rsidR="004748A9" w:rsidRPr="00581B20">
        <w:rPr>
          <w:rFonts w:ascii="Poppins" w:hAnsi="Poppins" w:cs="Poppins"/>
          <w:sz w:val="18"/>
          <w:szCs w:val="18"/>
        </w:rPr>
        <w:t xml:space="preserve"> de </w:t>
      </w:r>
      <w:r w:rsidR="00DE2753">
        <w:rPr>
          <w:rFonts w:ascii="Poppins" w:hAnsi="Poppins" w:cs="Poppins"/>
          <w:sz w:val="18"/>
          <w:szCs w:val="18"/>
        </w:rPr>
        <w:t>diciem</w:t>
      </w:r>
      <w:r w:rsidR="009833DB">
        <w:rPr>
          <w:rFonts w:ascii="Poppins" w:hAnsi="Poppins" w:cs="Poppins"/>
          <w:sz w:val="18"/>
          <w:szCs w:val="18"/>
        </w:rPr>
        <w:t>bre</w:t>
      </w:r>
      <w:r w:rsidR="004748A9" w:rsidRPr="00581B20">
        <w:rPr>
          <w:rFonts w:ascii="Poppins" w:hAnsi="Poppins" w:cs="Poppins"/>
          <w:sz w:val="18"/>
          <w:szCs w:val="18"/>
        </w:rPr>
        <w:t xml:space="preserve"> de 2025 hasta el </w:t>
      </w:r>
      <w:r w:rsidR="009833DB">
        <w:rPr>
          <w:rFonts w:ascii="Poppins" w:hAnsi="Poppins" w:cs="Poppins"/>
          <w:sz w:val="18"/>
          <w:szCs w:val="18"/>
        </w:rPr>
        <w:t>2</w:t>
      </w:r>
      <w:r w:rsidR="00DE2753">
        <w:rPr>
          <w:rFonts w:ascii="Poppins" w:hAnsi="Poppins" w:cs="Poppins"/>
          <w:sz w:val="18"/>
          <w:szCs w:val="18"/>
        </w:rPr>
        <w:t>6</w:t>
      </w:r>
      <w:r w:rsidR="004748A9" w:rsidRPr="00581B20">
        <w:rPr>
          <w:rFonts w:ascii="Poppins" w:hAnsi="Poppins" w:cs="Poppins"/>
          <w:sz w:val="18"/>
          <w:szCs w:val="18"/>
        </w:rPr>
        <w:t xml:space="preserve"> de </w:t>
      </w:r>
      <w:r w:rsidR="00DE2753">
        <w:rPr>
          <w:rFonts w:ascii="Poppins" w:hAnsi="Poppins" w:cs="Poppins"/>
          <w:sz w:val="18"/>
          <w:szCs w:val="18"/>
        </w:rPr>
        <w:t>febrero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2E876E7F"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9833DB">
        <w:rPr>
          <w:rFonts w:ascii="Poppins" w:hAnsi="Poppins" w:cs="Poppins"/>
          <w:sz w:val="18"/>
          <w:szCs w:val="18"/>
        </w:rPr>
        <w:t>3</w:t>
      </w:r>
      <w:r w:rsidR="00DE2753">
        <w:rPr>
          <w:rFonts w:ascii="Poppins" w:hAnsi="Poppins" w:cs="Poppins"/>
          <w:sz w:val="18"/>
          <w:szCs w:val="18"/>
        </w:rPr>
        <w:t>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5151B0">
        <w:rPr>
          <w:rFonts w:ascii="Poppins" w:hAnsi="Poppins" w:cs="Poppins"/>
          <w:sz w:val="18"/>
          <w:szCs w:val="18"/>
        </w:rPr>
        <w:t>26</w:t>
      </w:r>
      <w:r w:rsidR="007C4098">
        <w:rPr>
          <w:rFonts w:ascii="Poppins" w:hAnsi="Poppins" w:cs="Poppins"/>
          <w:sz w:val="18"/>
          <w:szCs w:val="18"/>
        </w:rPr>
        <w:t xml:space="preserve"> de</w:t>
      </w:r>
      <w:r w:rsidRPr="00581B20">
        <w:rPr>
          <w:rFonts w:ascii="Poppins" w:hAnsi="Poppins" w:cs="Poppins"/>
          <w:sz w:val="18"/>
          <w:szCs w:val="18"/>
        </w:rPr>
        <w:t xml:space="preserve"> </w:t>
      </w:r>
      <w:r w:rsidR="00DE2753">
        <w:rPr>
          <w:rFonts w:ascii="Poppins" w:hAnsi="Poppins" w:cs="Poppins"/>
          <w:sz w:val="18"/>
          <w:szCs w:val="18"/>
        </w:rPr>
        <w:t>dic</w:t>
      </w:r>
      <w:r w:rsidR="009833DB">
        <w:rPr>
          <w:rFonts w:ascii="Poppins" w:hAnsi="Poppins" w:cs="Poppins"/>
          <w:sz w:val="18"/>
          <w:szCs w:val="18"/>
        </w:rPr>
        <w: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DE2753">
        <w:rPr>
          <w:rFonts w:ascii="Poppins" w:hAnsi="Poppins" w:cs="Poppins"/>
          <w:sz w:val="18"/>
          <w:szCs w:val="18"/>
        </w:rPr>
        <w:t>9</w:t>
      </w:r>
      <w:r w:rsidRPr="00581B20">
        <w:rPr>
          <w:rFonts w:ascii="Poppins" w:hAnsi="Poppins" w:cs="Poppins"/>
          <w:sz w:val="18"/>
          <w:szCs w:val="18"/>
        </w:rPr>
        <w:t xml:space="preserve"> de </w:t>
      </w:r>
      <w:r w:rsidR="00DE2753">
        <w:rPr>
          <w:rFonts w:ascii="Poppins" w:hAnsi="Poppins" w:cs="Poppins"/>
          <w:sz w:val="18"/>
          <w:szCs w:val="18"/>
        </w:rPr>
        <w:t>enero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7FD3E38"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756CA3">
        <w:rPr>
          <w:rFonts w:ascii="Poppins" w:hAnsi="Poppins" w:cs="Poppins"/>
          <w:sz w:val="18"/>
          <w:szCs w:val="18"/>
        </w:rPr>
        <w:t>3</w:t>
      </w:r>
      <w:r w:rsidR="00DE2753">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DE2753">
        <w:rPr>
          <w:rFonts w:ascii="Poppins" w:hAnsi="Poppins" w:cs="Poppins"/>
          <w:sz w:val="18"/>
          <w:szCs w:val="18"/>
        </w:rPr>
        <w:t>0</w:t>
      </w:r>
      <w:r w:rsidR="005151B0">
        <w:rPr>
          <w:rFonts w:ascii="Poppins" w:hAnsi="Poppins" w:cs="Poppins"/>
          <w:sz w:val="18"/>
          <w:szCs w:val="18"/>
        </w:rPr>
        <w:t>6</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5151B0">
        <w:rPr>
          <w:rFonts w:ascii="Poppins" w:hAnsi="Poppins" w:cs="Poppins"/>
          <w:sz w:val="18"/>
          <w:szCs w:val="18"/>
        </w:rPr>
        <w:t>enero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DE2753">
        <w:rPr>
          <w:rFonts w:ascii="Poppins" w:hAnsi="Poppins" w:cs="Poppins"/>
          <w:sz w:val="18"/>
          <w:szCs w:val="18"/>
        </w:rPr>
        <w:t>lunes</w:t>
      </w:r>
      <w:r w:rsidR="00E059C7">
        <w:rPr>
          <w:rFonts w:ascii="Poppins" w:hAnsi="Poppins" w:cs="Poppins"/>
          <w:sz w:val="18"/>
          <w:szCs w:val="18"/>
        </w:rPr>
        <w:t xml:space="preserve"> </w:t>
      </w:r>
      <w:r w:rsidR="005151B0">
        <w:rPr>
          <w:rFonts w:ascii="Poppins" w:hAnsi="Poppins" w:cs="Poppins"/>
          <w:sz w:val="18"/>
          <w:szCs w:val="18"/>
        </w:rPr>
        <w:t>12</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DE2753">
        <w:rPr>
          <w:rFonts w:ascii="Poppins" w:hAnsi="Poppins" w:cs="Poppins"/>
          <w:sz w:val="18"/>
          <w:szCs w:val="18"/>
        </w:rPr>
        <w:t>enero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8FCBD99"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DE2753">
        <w:rPr>
          <w:rFonts w:ascii="Poppins" w:hAnsi="Poppins" w:cs="Poppins"/>
          <w:sz w:val="18"/>
          <w:szCs w:val="18"/>
        </w:rPr>
        <w:t>0</w:t>
      </w:r>
      <w:r w:rsidR="005151B0">
        <w:rPr>
          <w:rFonts w:ascii="Poppins" w:hAnsi="Poppins" w:cs="Poppins"/>
          <w:sz w:val="18"/>
          <w:szCs w:val="18"/>
        </w:rPr>
        <w:t>6</w:t>
      </w:r>
      <w:r w:rsidRPr="00A01E92">
        <w:rPr>
          <w:rFonts w:ascii="Poppins" w:hAnsi="Poppins" w:cs="Poppins"/>
          <w:sz w:val="18"/>
          <w:szCs w:val="18"/>
        </w:rPr>
        <w:t>.</w:t>
      </w:r>
      <w:r w:rsidR="005151B0">
        <w:rPr>
          <w:rFonts w:ascii="Poppins" w:hAnsi="Poppins" w:cs="Poppins"/>
          <w:sz w:val="18"/>
          <w:szCs w:val="18"/>
        </w:rPr>
        <w:t>0</w:t>
      </w:r>
      <w:r w:rsidR="00C27332" w:rsidRPr="00A01E92">
        <w:rPr>
          <w:rFonts w:ascii="Poppins" w:hAnsi="Poppins" w:cs="Poppins"/>
          <w:sz w:val="18"/>
          <w:szCs w:val="18"/>
        </w:rPr>
        <w:t>1</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DE2753">
        <w:rPr>
          <w:rFonts w:ascii="Poppins" w:hAnsi="Poppins" w:cs="Poppins"/>
          <w:sz w:val="18"/>
          <w:szCs w:val="18"/>
        </w:rPr>
        <w:t xml:space="preserve"> </w:t>
      </w:r>
      <w:r w:rsidR="007967F8" w:rsidRPr="00A01E92">
        <w:rPr>
          <w:rFonts w:ascii="Poppins" w:hAnsi="Poppins" w:cs="Poppins"/>
          <w:sz w:val="18"/>
          <w:szCs w:val="18"/>
        </w:rPr>
        <w:t>l</w:t>
      </w:r>
      <w:r w:rsidR="00DE2753">
        <w:rPr>
          <w:rFonts w:ascii="Poppins" w:hAnsi="Poppins" w:cs="Poppins"/>
          <w:sz w:val="18"/>
          <w:szCs w:val="18"/>
        </w:rPr>
        <w:t>a</w:t>
      </w:r>
      <w:r w:rsidR="00093757">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093757">
        <w:rPr>
          <w:rFonts w:ascii="Poppins" w:hAnsi="Poppins" w:cs="Poppins"/>
          <w:sz w:val="18"/>
          <w:szCs w:val="18"/>
        </w:rPr>
        <w:t>+</w:t>
      </w:r>
      <w:r w:rsidR="00093757" w:rsidRPr="00A01E92">
        <w:rPr>
          <w:rFonts w:ascii="Poppins" w:hAnsi="Poppins" w:cs="Poppins"/>
          <w:sz w:val="18"/>
          <w:szCs w:val="18"/>
        </w:rPr>
        <w:t>0,</w:t>
      </w:r>
      <w:r w:rsidR="00093757">
        <w:rPr>
          <w:rFonts w:ascii="Poppins" w:hAnsi="Poppins" w:cs="Poppins"/>
          <w:sz w:val="18"/>
          <w:szCs w:val="18"/>
        </w:rPr>
        <w:t>05</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093757">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093757">
        <w:rPr>
          <w:rFonts w:ascii="Poppins" w:hAnsi="Poppins" w:cs="Poppins"/>
          <w:sz w:val="18"/>
          <w:szCs w:val="18"/>
        </w:rPr>
        <w:t>01</w:t>
      </w:r>
      <w:r w:rsidR="00465772" w:rsidRPr="00A01E92">
        <w:rPr>
          <w:rFonts w:ascii="Poppins" w:hAnsi="Poppins" w:cs="Poppins"/>
          <w:sz w:val="18"/>
          <w:szCs w:val="18"/>
        </w:rPr>
        <w:t xml:space="preserve"> 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r w:rsidR="00A01E92" w:rsidRPr="00A01E92">
        <w:rPr>
          <w:rFonts w:ascii="Poppins" w:hAnsi="Poppins" w:cs="Poppins"/>
          <w:sz w:val="18"/>
          <w:szCs w:val="18"/>
        </w:rPr>
        <w:t>G</w:t>
      </w:r>
      <w:proofErr w:type="spellStart"/>
      <w:r w:rsidR="00A01E92" w:rsidRPr="00A01E92">
        <w:rPr>
          <w:rFonts w:ascii="Poppins" w:hAnsi="Poppins" w:cs="Poppins"/>
          <w:sz w:val="18"/>
          <w:szCs w:val="18"/>
          <w:lang w:val="es-PE"/>
        </w:rPr>
        <w:t>asohol</w:t>
      </w:r>
      <w:proofErr w:type="spellEnd"/>
      <w:r w:rsidR="00A01E92" w:rsidRPr="00A01E92">
        <w:rPr>
          <w:rFonts w:ascii="Poppins" w:hAnsi="Poppins" w:cs="Poppins"/>
          <w:sz w:val="18"/>
          <w:szCs w:val="18"/>
          <w:lang w:val="es-PE"/>
        </w:rPr>
        <w:t xml:space="preserve"> Premium (</w:t>
      </w:r>
      <w:r w:rsidR="00E7305B">
        <w:rPr>
          <w:rFonts w:ascii="Poppins" w:hAnsi="Poppins" w:cs="Poppins"/>
          <w:sz w:val="18"/>
          <w:szCs w:val="18"/>
          <w:lang w:val="es-PE"/>
        </w:rPr>
        <w:t>+</w:t>
      </w:r>
      <w:r w:rsidR="00A01E92" w:rsidRPr="00A01E92">
        <w:rPr>
          <w:rFonts w:ascii="Poppins" w:hAnsi="Poppins" w:cs="Poppins"/>
          <w:sz w:val="18"/>
          <w:szCs w:val="18"/>
          <w:lang w:val="es-PE"/>
        </w:rPr>
        <w:t>0,</w:t>
      </w:r>
      <w:r w:rsidR="00093757">
        <w:rPr>
          <w:rFonts w:ascii="Poppins" w:hAnsi="Poppins" w:cs="Poppins"/>
          <w:sz w:val="18"/>
          <w:szCs w:val="18"/>
          <w:lang w:val="es-PE"/>
        </w:rPr>
        <w:t>04</w:t>
      </w:r>
      <w:r w:rsidR="00A01E92" w:rsidRPr="00A01E92">
        <w:rPr>
          <w:rFonts w:ascii="Poppins" w:hAnsi="Poppins" w:cs="Poppins"/>
          <w:sz w:val="18"/>
          <w:szCs w:val="18"/>
          <w:lang w:val="es-PE"/>
        </w:rPr>
        <w:t xml:space="preserve"> S/</w:t>
      </w:r>
      <w:proofErr w:type="spellStart"/>
      <w:r w:rsidR="00A01E92" w:rsidRPr="00A01E92">
        <w:rPr>
          <w:rFonts w:ascii="Poppins" w:hAnsi="Poppins" w:cs="Poppins"/>
          <w:sz w:val="18"/>
          <w:szCs w:val="18"/>
          <w:lang w:val="es-PE"/>
        </w:rPr>
        <w:t>Gln</w:t>
      </w:r>
      <w:proofErr w:type="spellEnd"/>
      <w:r w:rsidR="00A01E92" w:rsidRPr="00A01E92">
        <w:rPr>
          <w:rFonts w:ascii="Poppins" w:hAnsi="Poppins" w:cs="Poppins"/>
          <w:sz w:val="18"/>
          <w:szCs w:val="18"/>
          <w:lang w:val="es-PE"/>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093757">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093757">
        <w:rPr>
          <w:rFonts w:ascii="Poppins" w:hAnsi="Poppins" w:cs="Poppins"/>
          <w:sz w:val="18"/>
          <w:szCs w:val="18"/>
        </w:rPr>
        <w:t>0</w:t>
      </w:r>
      <w:r w:rsidR="00DE2753">
        <w:rPr>
          <w:rFonts w:ascii="Poppins" w:hAnsi="Poppins" w:cs="Poppins"/>
          <w:sz w:val="18"/>
          <w:szCs w:val="18"/>
        </w:rPr>
        <w:t>1</w:t>
      </w:r>
      <w:r w:rsidR="00A01E92" w:rsidRPr="00A01E92">
        <w:rPr>
          <w:rFonts w:ascii="Poppins" w:hAnsi="Poppins" w:cs="Poppins"/>
          <w:sz w:val="18"/>
          <w:szCs w:val="18"/>
        </w:rPr>
        <w:t xml:space="preserve"> 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093757">
        <w:rPr>
          <w:rFonts w:ascii="Poppins" w:hAnsi="Poppins" w:cs="Poppins"/>
          <w:sz w:val="18"/>
          <w:szCs w:val="18"/>
        </w:rPr>
        <w:t>, Diésel B5 UV S-50</w:t>
      </w:r>
      <w:r w:rsidR="00093757" w:rsidRPr="00A01E92">
        <w:rPr>
          <w:rFonts w:ascii="Poppins" w:hAnsi="Poppins" w:cs="Poppins"/>
          <w:sz w:val="18"/>
          <w:szCs w:val="18"/>
        </w:rPr>
        <w:t xml:space="preserve"> (</w:t>
      </w:r>
      <w:r w:rsidR="00093757">
        <w:rPr>
          <w:rFonts w:ascii="Poppins" w:hAnsi="Poppins" w:cs="Poppins"/>
          <w:sz w:val="18"/>
          <w:szCs w:val="18"/>
        </w:rPr>
        <w:t>-0</w:t>
      </w:r>
      <w:r w:rsidR="00093757" w:rsidRPr="00A01E92">
        <w:rPr>
          <w:rFonts w:ascii="Poppins" w:hAnsi="Poppins" w:cs="Poppins"/>
          <w:sz w:val="18"/>
          <w:szCs w:val="18"/>
        </w:rPr>
        <w:t>,</w:t>
      </w:r>
      <w:r w:rsidR="00093757">
        <w:rPr>
          <w:rFonts w:ascii="Poppins" w:hAnsi="Poppins" w:cs="Poppins"/>
          <w:sz w:val="18"/>
          <w:szCs w:val="18"/>
        </w:rPr>
        <w:t>34</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sidRPr="00A01E92">
        <w:rPr>
          <w:rFonts w:ascii="Poppins" w:hAnsi="Poppins" w:cs="Poppins"/>
          <w:sz w:val="18"/>
          <w:szCs w:val="18"/>
        </w:rPr>
        <w:t xml:space="preserve">) </w:t>
      </w:r>
      <w:r w:rsidR="00093757">
        <w:rPr>
          <w:rFonts w:ascii="Poppins" w:hAnsi="Poppins" w:cs="Poppins"/>
          <w:sz w:val="18"/>
          <w:szCs w:val="18"/>
        </w:rPr>
        <w:t>y Diésel B5 S-50</w:t>
      </w:r>
      <w:r w:rsidR="00093757" w:rsidRPr="00A01E92">
        <w:rPr>
          <w:rFonts w:ascii="Poppins" w:hAnsi="Poppins" w:cs="Poppins"/>
          <w:sz w:val="18"/>
          <w:szCs w:val="18"/>
        </w:rPr>
        <w:t xml:space="preserve"> (</w:t>
      </w:r>
      <w:r w:rsidR="00093757">
        <w:rPr>
          <w:rFonts w:ascii="Poppins" w:hAnsi="Poppins" w:cs="Poppins"/>
          <w:sz w:val="18"/>
          <w:szCs w:val="18"/>
        </w:rPr>
        <w:t>-0</w:t>
      </w:r>
      <w:r w:rsidR="00093757" w:rsidRPr="00A01E92">
        <w:rPr>
          <w:rFonts w:ascii="Poppins" w:hAnsi="Poppins" w:cs="Poppins"/>
          <w:sz w:val="18"/>
          <w:szCs w:val="18"/>
        </w:rPr>
        <w:t>,</w:t>
      </w:r>
      <w:r w:rsidR="00093757">
        <w:rPr>
          <w:rFonts w:ascii="Poppins" w:hAnsi="Poppins" w:cs="Poppins"/>
          <w:sz w:val="18"/>
          <w:szCs w:val="18"/>
        </w:rPr>
        <w:t>34</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sidRPr="00A01E92">
        <w:rPr>
          <w:rFonts w:ascii="Poppins" w:hAnsi="Poppins" w:cs="Poppins"/>
          <w:sz w:val="18"/>
          <w:szCs w:val="18"/>
        </w:rPr>
        <w:t>)</w:t>
      </w:r>
      <w:r w:rsidR="00A01E92" w:rsidRPr="00A01E92">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08AB421A" w14:textId="33FC8969" w:rsidR="007967F8" w:rsidRDefault="007967F8" w:rsidP="0082707D">
      <w:pPr>
        <w:pStyle w:val="Sangradetextonormal"/>
        <w:rPr>
          <w:rFonts w:ascii="Poppins" w:hAnsi="Poppins" w:cs="Poppins"/>
          <w:sz w:val="18"/>
          <w:szCs w:val="18"/>
        </w:rPr>
      </w:pPr>
    </w:p>
    <w:p w14:paraId="7A306086" w14:textId="2CF3FDA6" w:rsidR="00486D16" w:rsidRDefault="00486D16" w:rsidP="0082707D">
      <w:pPr>
        <w:pStyle w:val="Sangradetextonormal"/>
        <w:rPr>
          <w:rFonts w:ascii="Poppins" w:hAnsi="Poppins" w:cs="Poppins"/>
          <w:sz w:val="18"/>
          <w:szCs w:val="18"/>
        </w:rPr>
      </w:pPr>
    </w:p>
    <w:p w14:paraId="2756A4A5" w14:textId="41F71187" w:rsidR="00486D16" w:rsidRDefault="00486D16"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1D034823" w14:textId="21F3310C"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51020D7"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DE2753">
        <w:rPr>
          <w:rFonts w:ascii="Poppins" w:hAnsi="Poppins" w:cs="Poppins"/>
          <w:sz w:val="18"/>
          <w:szCs w:val="18"/>
        </w:rPr>
        <w:t>1</w:t>
      </w:r>
      <w:r w:rsidR="00CD537C">
        <w:rPr>
          <w:rFonts w:ascii="Poppins" w:hAnsi="Poppins" w:cs="Poppins"/>
          <w:sz w:val="18"/>
          <w:szCs w:val="18"/>
        </w:rPr>
        <w:t>7</w:t>
      </w:r>
      <w:r w:rsidR="00E7305B">
        <w:rPr>
          <w:rFonts w:ascii="Poppins" w:hAnsi="Poppins" w:cs="Poppins"/>
          <w:sz w:val="18"/>
          <w:szCs w:val="18"/>
        </w:rPr>
        <w:t>/</w:t>
      </w:r>
      <w:r w:rsidR="000C00CF">
        <w:rPr>
          <w:rFonts w:ascii="Poppins" w:hAnsi="Poppins" w:cs="Poppins"/>
          <w:sz w:val="18"/>
          <w:szCs w:val="18"/>
        </w:rPr>
        <w:t>1</w:t>
      </w:r>
      <w:r w:rsidR="00FE2C6C">
        <w:rPr>
          <w:rFonts w:ascii="Poppins" w:hAnsi="Poppins" w:cs="Poppins"/>
          <w:sz w:val="18"/>
          <w:szCs w:val="18"/>
        </w:rPr>
        <w:t>2</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5151B0">
        <w:rPr>
          <w:rFonts w:ascii="Poppins" w:hAnsi="Poppins" w:cs="Poppins"/>
          <w:sz w:val="18"/>
          <w:szCs w:val="18"/>
        </w:rPr>
        <w:t>02</w:t>
      </w:r>
      <w:r w:rsidR="00336251" w:rsidRPr="0096213B">
        <w:rPr>
          <w:rFonts w:ascii="Poppins" w:hAnsi="Poppins" w:cs="Poppins"/>
          <w:sz w:val="18"/>
          <w:szCs w:val="18"/>
        </w:rPr>
        <w:t>/</w:t>
      </w:r>
      <w:r w:rsidR="005151B0">
        <w:rPr>
          <w:rFonts w:ascii="Poppins" w:hAnsi="Poppins" w:cs="Poppins"/>
          <w:sz w:val="18"/>
          <w:szCs w:val="18"/>
        </w:rPr>
        <w:t>0</w:t>
      </w:r>
      <w:r w:rsidR="00EA6962">
        <w:rPr>
          <w:rFonts w:ascii="Poppins" w:hAnsi="Poppins" w:cs="Poppins"/>
          <w:sz w:val="18"/>
          <w:szCs w:val="18"/>
        </w:rPr>
        <w:t>1</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BF2AD3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5151B0">
        <w:rPr>
          <w:rFonts w:ascii="Poppins" w:hAnsi="Poppins" w:cs="Poppins"/>
          <w:b/>
          <w:bCs/>
          <w:i/>
          <w:sz w:val="18"/>
          <w:szCs w:val="18"/>
          <w:lang w:eastAsia="es-PE"/>
        </w:rPr>
        <w:t>05</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EA6962">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6535962" w:rsidR="00A86191" w:rsidRPr="0096213B" w:rsidRDefault="00DE2753"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72F7C9FF" wp14:editId="06177401">
            <wp:extent cx="5480882" cy="3101009"/>
            <wp:effectExtent l="0" t="0" r="5715" b="444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7627" cy="3110483"/>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5E31154"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E2753">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FE2C6C">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282C40">
        <w:rPr>
          <w:rFonts w:ascii="Poppins" w:hAnsi="Poppins" w:cs="Poppins"/>
          <w:sz w:val="18"/>
          <w:szCs w:val="18"/>
        </w:rPr>
        <w:t xml:space="preserve">80%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93393">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178D6758"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EF32FA">
        <w:rPr>
          <w:rFonts w:ascii="Poppins" w:hAnsi="Poppins" w:cs="Poppins"/>
          <w:sz w:val="18"/>
          <w:szCs w:val="18"/>
        </w:rPr>
        <w:t>05</w:t>
      </w:r>
      <w:r w:rsidR="00F07057">
        <w:rPr>
          <w:rFonts w:ascii="Poppins" w:hAnsi="Poppins" w:cs="Poppins"/>
          <w:sz w:val="18"/>
          <w:szCs w:val="18"/>
        </w:rPr>
        <w:t xml:space="preserve"> </w:t>
      </w:r>
      <w:r w:rsidRPr="0096213B">
        <w:rPr>
          <w:rFonts w:ascii="Poppins" w:hAnsi="Poppins" w:cs="Poppins"/>
          <w:sz w:val="18"/>
          <w:szCs w:val="18"/>
        </w:rPr>
        <w:t xml:space="preserve">de </w:t>
      </w:r>
      <w:r w:rsidR="00EF32FA">
        <w:rPr>
          <w:rFonts w:ascii="Poppins" w:hAnsi="Poppins" w:cs="Poppins"/>
          <w:sz w:val="18"/>
          <w:szCs w:val="18"/>
        </w:rPr>
        <w:t>enero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8FC16E4"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A1E5F">
        <w:rPr>
          <w:rFonts w:ascii="Poppins" w:hAnsi="Poppins" w:cs="Poppins"/>
          <w:sz w:val="18"/>
          <w:szCs w:val="18"/>
        </w:rPr>
        <w:t>5</w:t>
      </w:r>
      <w:r w:rsidR="00A33C99" w:rsidRPr="0096213B">
        <w:rPr>
          <w:rFonts w:ascii="Poppins" w:hAnsi="Poppins" w:cs="Poppins"/>
          <w:sz w:val="18"/>
          <w:szCs w:val="18"/>
        </w:rPr>
        <w:t>,</w:t>
      </w:r>
      <w:r w:rsidR="00AA1E5F">
        <w:rPr>
          <w:rFonts w:ascii="Poppins" w:hAnsi="Poppins" w:cs="Poppins"/>
          <w:sz w:val="18"/>
          <w:szCs w:val="18"/>
        </w:rPr>
        <w:t>86</w:t>
      </w:r>
      <w:r w:rsidR="00A33C99" w:rsidRPr="0096213B">
        <w:rPr>
          <w:rFonts w:ascii="Poppins" w:hAnsi="Poppins" w:cs="Poppins"/>
          <w:sz w:val="18"/>
          <w:szCs w:val="18"/>
        </w:rPr>
        <w:t xml:space="preserve"> cent$/galón equivalente a </w:t>
      </w:r>
      <w:r w:rsidR="008508AE">
        <w:rPr>
          <w:rFonts w:ascii="Poppins" w:hAnsi="Poppins" w:cs="Poppins"/>
          <w:sz w:val="18"/>
          <w:szCs w:val="18"/>
        </w:rPr>
        <w:t>2</w:t>
      </w:r>
      <w:r w:rsidR="00A33C99" w:rsidRPr="0096213B">
        <w:rPr>
          <w:rFonts w:ascii="Poppins" w:hAnsi="Poppins" w:cs="Poppins"/>
          <w:sz w:val="18"/>
          <w:szCs w:val="18"/>
        </w:rPr>
        <w:t>,</w:t>
      </w:r>
      <w:r w:rsidR="00AA1E5F">
        <w:rPr>
          <w:rFonts w:ascii="Poppins" w:hAnsi="Poppins" w:cs="Poppins"/>
          <w:sz w:val="18"/>
          <w:szCs w:val="18"/>
        </w:rPr>
        <w:t>4</w:t>
      </w:r>
      <w:r w:rsidR="00DE2753">
        <w:rPr>
          <w:rFonts w:ascii="Poppins" w:hAnsi="Poppins" w:cs="Poppins"/>
          <w:sz w:val="18"/>
          <w:szCs w:val="18"/>
        </w:rPr>
        <w:t>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6FEAE5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D45DDD">
        <w:rPr>
          <w:rFonts w:ascii="Poppins" w:hAnsi="Poppins" w:cs="Poppins"/>
          <w:sz w:val="18"/>
          <w:szCs w:val="18"/>
        </w:rPr>
        <w:t>6</w:t>
      </w:r>
      <w:r w:rsidR="00E0028D">
        <w:rPr>
          <w:rFonts w:ascii="Poppins" w:hAnsi="Poppins" w:cs="Poppins"/>
          <w:sz w:val="18"/>
          <w:szCs w:val="18"/>
        </w:rPr>
        <w:t>,</w:t>
      </w:r>
      <w:r w:rsidR="00282C40">
        <w:rPr>
          <w:rFonts w:ascii="Poppins" w:hAnsi="Poppins" w:cs="Poppins"/>
          <w:sz w:val="18"/>
          <w:szCs w:val="18"/>
        </w:rPr>
        <w:t>1</w:t>
      </w:r>
      <w:r w:rsidR="00AA1E5F">
        <w:rPr>
          <w:rFonts w:ascii="Poppins" w:hAnsi="Poppins" w:cs="Poppins"/>
          <w:sz w:val="18"/>
          <w:szCs w:val="18"/>
        </w:rPr>
        <w:t>4</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57FAFD7"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FC18D5">
        <w:rPr>
          <w:rFonts w:ascii="Poppins" w:hAnsi="Poppins" w:cs="Poppins"/>
          <w:sz w:val="18"/>
          <w:szCs w:val="18"/>
        </w:rPr>
        <w:t>1</w:t>
      </w:r>
      <w:r w:rsidR="00336251" w:rsidRPr="0096213B">
        <w:rPr>
          <w:rFonts w:ascii="Poppins" w:hAnsi="Poppins" w:cs="Poppins"/>
          <w:sz w:val="18"/>
          <w:szCs w:val="18"/>
        </w:rPr>
        <w:t>,</w:t>
      </w:r>
      <w:r w:rsidR="00DE2753">
        <w:rPr>
          <w:rFonts w:ascii="Poppins" w:hAnsi="Poppins" w:cs="Poppins"/>
          <w:sz w:val="18"/>
          <w:szCs w:val="18"/>
        </w:rPr>
        <w:t>7</w:t>
      </w:r>
      <w:r w:rsidR="00AA1E5F">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AA1E5F">
        <w:rPr>
          <w:rFonts w:ascii="Poppins" w:hAnsi="Poppins" w:cs="Poppins"/>
          <w:sz w:val="18"/>
          <w:szCs w:val="18"/>
        </w:rPr>
        <w:t>44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45EE0B5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FE2C6C">
        <w:rPr>
          <w:rFonts w:ascii="Poppins" w:hAnsi="Poppins" w:cs="Poppins"/>
          <w:sz w:val="18"/>
          <w:szCs w:val="18"/>
        </w:rPr>
        <w:t>0</w:t>
      </w:r>
      <w:r w:rsidR="00AA1E5F">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FE2C6C">
        <w:rPr>
          <w:rFonts w:ascii="Poppins" w:hAnsi="Poppins" w:cs="Poppins"/>
          <w:sz w:val="18"/>
          <w:szCs w:val="18"/>
        </w:rPr>
        <w:t>5</w:t>
      </w:r>
      <w:r w:rsidR="008508AE">
        <w:rPr>
          <w:rFonts w:ascii="Poppins" w:hAnsi="Poppins" w:cs="Poppins"/>
          <w:sz w:val="18"/>
          <w:szCs w:val="18"/>
        </w:rPr>
        <w:t>,</w:t>
      </w:r>
      <w:r w:rsidR="00AA1E5F">
        <w:rPr>
          <w:rFonts w:ascii="Poppins" w:hAnsi="Poppins" w:cs="Poppins"/>
          <w:sz w:val="18"/>
          <w:szCs w:val="18"/>
        </w:rPr>
        <w:t>79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4D44BF8C"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D45DDD">
        <w:rPr>
          <w:rFonts w:ascii="Poppins" w:hAnsi="Poppins" w:cs="Poppins"/>
          <w:sz w:val="18"/>
          <w:szCs w:val="18"/>
        </w:rPr>
        <w:t>6</w:t>
      </w:r>
      <w:r w:rsidRPr="0096213B">
        <w:rPr>
          <w:rFonts w:ascii="Poppins" w:hAnsi="Poppins" w:cs="Poppins"/>
          <w:sz w:val="18"/>
          <w:szCs w:val="18"/>
        </w:rPr>
        <w:t>,</w:t>
      </w:r>
      <w:r w:rsidR="00282C40">
        <w:rPr>
          <w:rFonts w:ascii="Poppins" w:hAnsi="Poppins" w:cs="Poppins"/>
          <w:sz w:val="18"/>
          <w:szCs w:val="18"/>
        </w:rPr>
        <w:t>1</w:t>
      </w:r>
      <w:r w:rsidR="00AA1E5F">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6C4AB8A4"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FE2C6C">
        <w:rPr>
          <w:rFonts w:ascii="Poppins" w:hAnsi="Poppins" w:cs="Poppins"/>
          <w:bCs/>
          <w:sz w:val="18"/>
          <w:szCs w:val="18"/>
        </w:rPr>
        <w:t>2</w:t>
      </w:r>
      <w:r w:rsidRPr="004C5B09">
        <w:rPr>
          <w:rFonts w:ascii="Poppins" w:hAnsi="Poppins" w:cs="Poppins"/>
          <w:bCs/>
          <w:sz w:val="18"/>
          <w:szCs w:val="18"/>
        </w:rPr>
        <w:t>,</w:t>
      </w:r>
      <w:r w:rsidR="00DE2753">
        <w:rPr>
          <w:rFonts w:ascii="Poppins" w:hAnsi="Poppins" w:cs="Poppins"/>
          <w:bCs/>
          <w:sz w:val="18"/>
          <w:szCs w:val="18"/>
        </w:rPr>
        <w:t>2</w:t>
      </w:r>
      <w:r w:rsidR="00AA1E5F">
        <w:rPr>
          <w:rFonts w:ascii="Poppins" w:hAnsi="Poppins" w:cs="Poppins"/>
          <w:bCs/>
          <w:sz w:val="18"/>
          <w:szCs w:val="18"/>
        </w:rPr>
        <w:t>9</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18AC769"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DE2753">
        <w:rPr>
          <w:rFonts w:ascii="Poppins" w:hAnsi="Poppins" w:cs="Poppins"/>
          <w:sz w:val="18"/>
          <w:szCs w:val="18"/>
        </w:rPr>
        <w:t>7</w:t>
      </w:r>
      <w:r w:rsidR="00AA1E5F">
        <w:rPr>
          <w:rFonts w:ascii="Poppins" w:hAnsi="Poppins" w:cs="Poppins"/>
          <w:sz w:val="18"/>
          <w:szCs w:val="18"/>
        </w:rPr>
        <w:t>4</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E149E7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8508AE">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FE2C6C">
        <w:rPr>
          <w:rFonts w:ascii="Poppins" w:hAnsi="Poppins" w:cs="Poppins"/>
          <w:sz w:val="18"/>
          <w:szCs w:val="18"/>
          <w:lang w:eastAsia="en-US"/>
        </w:rPr>
        <w:t>2</w:t>
      </w:r>
      <w:r w:rsidR="00AA1E5F">
        <w:rPr>
          <w:rFonts w:ascii="Poppins" w:hAnsi="Poppins" w:cs="Poppins"/>
          <w:sz w:val="18"/>
          <w:szCs w:val="18"/>
          <w:lang w:eastAsia="en-US"/>
        </w:rPr>
        <w:t>6</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930CB">
        <w:rPr>
          <w:rFonts w:ascii="Poppins" w:hAnsi="Poppins" w:cs="Poppins"/>
          <w:sz w:val="18"/>
          <w:szCs w:val="18"/>
          <w:lang w:eastAsia="en-US"/>
        </w:rPr>
        <w:t>2</w:t>
      </w:r>
      <w:r w:rsidR="00AA1E5F">
        <w:rPr>
          <w:rFonts w:ascii="Poppins" w:hAnsi="Poppins" w:cs="Poppins"/>
          <w:sz w:val="18"/>
          <w:szCs w:val="18"/>
          <w:lang w:eastAsia="en-US"/>
        </w:rPr>
        <w:t>2</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3B68EAF6"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r w:rsidR="00EB2828" w:rsidRPr="00EB2828">
              <w:rPr>
                <w:rFonts w:ascii="Poppins" w:hAnsi="Poppins" w:cs="Poppins"/>
                <w:i/>
                <w:iCs/>
                <w:noProof/>
                <w:sz w:val="14"/>
                <w:szCs w:val="14"/>
                <w:lang w:val="es-MX" w:eastAsia="en-US"/>
              </w:rPr>
              <w:drawing>
                <wp:inline distT="0" distB="0" distL="0" distR="0" wp14:anchorId="152DC81B" wp14:editId="5779A923">
                  <wp:extent cx="8163560" cy="289682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6063" cy="2897708"/>
                          </a:xfrm>
                          <a:prstGeom prst="rect">
                            <a:avLst/>
                          </a:prstGeom>
                          <a:noFill/>
                          <a:ln>
                            <a:noFill/>
                          </a:ln>
                        </pic:spPr>
                      </pic:pic>
                    </a:graphicData>
                  </a:graphic>
                </wp:inline>
              </w:drawing>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10809B27" w:rsidR="000F7442" w:rsidRPr="0096213B" w:rsidRDefault="005151B0" w:rsidP="000F7442">
            <w:pPr>
              <w:jc w:val="center"/>
              <w:rPr>
                <w:rFonts w:ascii="Poppins" w:hAnsi="Poppins" w:cs="Poppins"/>
                <w:sz w:val="8"/>
                <w:szCs w:val="20"/>
              </w:rPr>
            </w:pPr>
            <w:r w:rsidRPr="005151B0">
              <w:rPr>
                <w:rFonts w:ascii="Poppins" w:hAnsi="Poppins" w:cs="Poppins"/>
                <w:noProof/>
                <w:sz w:val="8"/>
                <w:szCs w:val="20"/>
              </w:rPr>
              <w:drawing>
                <wp:inline distT="0" distB="0" distL="0" distR="0" wp14:anchorId="4EDEA6E0" wp14:editId="4534AA93">
                  <wp:extent cx="3562350" cy="286004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86004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1AFC1626" w:rsidR="00EF3BE9" w:rsidRPr="0096213B" w:rsidRDefault="005151B0"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6B9ED70B" wp14:editId="34F37BEF">
                  <wp:extent cx="5330190" cy="2969971"/>
                  <wp:effectExtent l="0" t="0" r="381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48681" cy="298027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2B936ACF" w:rsidR="00551F16" w:rsidRPr="0096213B" w:rsidRDefault="00EB2828"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EB2828">
        <w:rPr>
          <w:noProof/>
        </w:rPr>
        <w:drawing>
          <wp:inline distT="0" distB="0" distL="0" distR="0" wp14:anchorId="2D6E72FF" wp14:editId="3041290C">
            <wp:extent cx="5667375" cy="236728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9964" cy="2368361"/>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B01EDF2" w:rsidR="00F70B88" w:rsidRDefault="00EE3E05" w:rsidP="00604758">
      <w:pPr>
        <w:spacing w:line="0" w:lineRule="atLeast"/>
        <w:ind w:right="-567"/>
        <w:jc w:val="both"/>
        <w:rPr>
          <w:rFonts w:ascii="Poppins" w:hAnsi="Poppins" w:cs="Poppins"/>
          <w:noProof/>
          <w:sz w:val="20"/>
          <w:szCs w:val="20"/>
        </w:rPr>
      </w:pPr>
      <w:r w:rsidRPr="00EE3E05">
        <w:drawing>
          <wp:inline distT="0" distB="0" distL="0" distR="0" wp14:anchorId="3E9D0461" wp14:editId="70F2E6A5">
            <wp:extent cx="5850255" cy="2040941"/>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3388" cy="2042034"/>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135571F3" w:rsidR="00EE3E05" w:rsidRPr="0096213B" w:rsidRDefault="00EE3E05" w:rsidP="006220EA">
      <w:pPr>
        <w:jc w:val="both"/>
        <w:rPr>
          <w:rFonts w:ascii="Poppins" w:hAnsi="Poppins" w:cs="Poppins"/>
          <w:i/>
          <w:sz w:val="12"/>
          <w:szCs w:val="12"/>
        </w:rPr>
      </w:pPr>
      <w:r>
        <w:rPr>
          <w:rFonts w:ascii="Poppins" w:hAnsi="Poppins" w:cs="Poppins"/>
          <w:i/>
          <w:iCs/>
          <w:sz w:val="12"/>
          <w:szCs w:val="12"/>
        </w:rPr>
        <w:t>* El 06 de enero de 2026 no publicó precio para el GLP</w:t>
      </w:r>
    </w:p>
    <w:p w14:paraId="576B7A1A" w14:textId="77777777" w:rsidR="00EE3E05" w:rsidRDefault="00EE3E05" w:rsidP="006220EA">
      <w:pPr>
        <w:rPr>
          <w:rFonts w:ascii="Poppins" w:hAnsi="Poppins" w:cs="Poppins"/>
          <w:b/>
          <w:i/>
          <w:sz w:val="14"/>
          <w:szCs w:val="14"/>
        </w:rPr>
      </w:pPr>
    </w:p>
    <w:p w14:paraId="01FFC1C3" w14:textId="2C55174C"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4A946CC" w:rsidR="00127A54" w:rsidRPr="0096213B" w:rsidRDefault="007D78C0" w:rsidP="006220EA">
      <w:pPr>
        <w:rPr>
          <w:rFonts w:ascii="Poppins" w:hAnsi="Poppins" w:cs="Poppins"/>
          <w:i/>
          <w:sz w:val="14"/>
          <w:szCs w:val="14"/>
        </w:rPr>
      </w:pPr>
      <w:r w:rsidRPr="007D78C0">
        <w:drawing>
          <wp:inline distT="0" distB="0" distL="0" distR="0" wp14:anchorId="514D7681" wp14:editId="564189B9">
            <wp:extent cx="5850255" cy="7307884"/>
            <wp:effectExtent l="0" t="0" r="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1317" cy="7309211"/>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21ABA278" w:rsidR="005048C1" w:rsidRPr="0096213B" w:rsidRDefault="00F91202" w:rsidP="005048C1">
      <w:pPr>
        <w:jc w:val="both"/>
        <w:rPr>
          <w:rFonts w:ascii="Poppins" w:hAnsi="Poppins" w:cs="Poppins"/>
          <w:i/>
          <w:iCs/>
          <w:sz w:val="12"/>
          <w:szCs w:val="12"/>
        </w:rPr>
      </w:pPr>
      <w:r>
        <w:t xml:space="preserve">                       </w:t>
      </w:r>
      <w:r w:rsidR="00EE3E05" w:rsidRPr="00EE3E05">
        <w:drawing>
          <wp:inline distT="0" distB="0" distL="0" distR="0" wp14:anchorId="64326C60" wp14:editId="63741023">
            <wp:extent cx="5850255" cy="6261811"/>
            <wp:effectExtent l="0" t="0" r="0" b="571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144" cy="6262763"/>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71EA59E6" w:rsidR="00812956" w:rsidRDefault="0067287F" w:rsidP="00842A58">
      <w:pPr>
        <w:pStyle w:val="xl37"/>
        <w:tabs>
          <w:tab w:val="left" w:pos="180"/>
        </w:tabs>
        <w:spacing w:before="0" w:beforeAutospacing="0" w:after="0" w:afterAutospacing="0"/>
        <w:jc w:val="center"/>
        <w:rPr>
          <w:noProof/>
        </w:rPr>
      </w:pPr>
      <w:r>
        <w:rPr>
          <w:noProof/>
        </w:rPr>
        <w:drawing>
          <wp:inline distT="0" distB="0" distL="0" distR="0" wp14:anchorId="2574F60D" wp14:editId="67CD253B">
            <wp:extent cx="4659669" cy="3204057"/>
            <wp:effectExtent l="0" t="0" r="762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73510" cy="3213574"/>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3AA9A76E" w:rsidR="00842A58" w:rsidRDefault="00BF0E9E" w:rsidP="00842A58">
      <w:pPr>
        <w:jc w:val="center"/>
        <w:rPr>
          <w:rFonts w:asciiTheme="minorHAnsi" w:hAnsiTheme="minorHAnsi" w:cstheme="minorHAnsi"/>
          <w:sz w:val="22"/>
          <w:szCs w:val="22"/>
        </w:rPr>
      </w:pPr>
      <w:r w:rsidRPr="00BF0E9E">
        <w:drawing>
          <wp:inline distT="0" distB="0" distL="0" distR="0" wp14:anchorId="1988E980" wp14:editId="379261BE">
            <wp:extent cx="4762195" cy="2742854"/>
            <wp:effectExtent l="0" t="0" r="635"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73678" cy="2749468"/>
                    </a:xfrm>
                    <a:prstGeom prst="rect">
                      <a:avLst/>
                    </a:prstGeom>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04A3BB7A" w:rsidR="006C0944" w:rsidRDefault="00BF0E9E" w:rsidP="00373E46">
      <w:pPr>
        <w:pStyle w:val="xl37"/>
        <w:tabs>
          <w:tab w:val="left" w:pos="180"/>
        </w:tabs>
        <w:spacing w:before="0" w:beforeAutospacing="0" w:after="0" w:afterAutospacing="0"/>
        <w:jc w:val="center"/>
        <w:rPr>
          <w:noProof/>
        </w:rPr>
      </w:pPr>
      <w:r>
        <w:rPr>
          <w:noProof/>
        </w:rPr>
        <w:lastRenderedPageBreak/>
        <w:drawing>
          <wp:inline distT="0" distB="0" distL="0" distR="0" wp14:anchorId="767AB025" wp14:editId="46F93892">
            <wp:extent cx="4657395" cy="3261232"/>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83968" cy="3279839"/>
                    </a:xfrm>
                    <a:prstGeom prst="rect">
                      <a:avLst/>
                    </a:prstGeom>
                    <a:noFill/>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77777777" w:rsidR="00300FA6" w:rsidRDefault="00300FA6"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4571C023" w:rsidR="002035C4" w:rsidRDefault="00BF0E9E" w:rsidP="00BF0E9E">
      <w:pPr>
        <w:pStyle w:val="xl37"/>
        <w:tabs>
          <w:tab w:val="left" w:pos="180"/>
          <w:tab w:val="left" w:pos="1560"/>
          <w:tab w:val="left" w:pos="8222"/>
        </w:tabs>
        <w:spacing w:before="0" w:beforeAutospacing="0" w:after="0" w:afterAutospacing="0"/>
        <w:jc w:val="center"/>
        <w:rPr>
          <w:noProof/>
        </w:rPr>
      </w:pPr>
      <w:r w:rsidRPr="00BF0E9E">
        <w:drawing>
          <wp:inline distT="0" distB="0" distL="0" distR="0" wp14:anchorId="37E4D4F5" wp14:editId="7946A3EB">
            <wp:extent cx="4571721" cy="3273104"/>
            <wp:effectExtent l="0" t="0" r="635"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93137" cy="3288436"/>
                    </a:xfrm>
                    <a:prstGeom prst="rect">
                      <a:avLst/>
                    </a:prstGeom>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260B5733" w:rsidR="00300FA6" w:rsidRDefault="00300FA6"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0BDF1463" w14:textId="081DD2FD" w:rsidR="00300FA6" w:rsidRDefault="00300FA6"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D537C"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5F3E07F3"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51B0">
            <w:rPr>
              <w:rFonts w:ascii="Poppins" w:hAnsi="Poppins" w:cs="Poppins"/>
              <w:b/>
              <w:sz w:val="22"/>
              <w:szCs w:val="22"/>
              <w:lang w:val="it-IT"/>
            </w:rPr>
            <w:t>01</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0BD9839"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5151B0">
            <w:rPr>
              <w:rFonts w:ascii="Poppins" w:hAnsi="Poppins" w:cs="Poppins"/>
              <w:b/>
              <w:sz w:val="22"/>
              <w:szCs w:val="22"/>
              <w:lang w:val="it-IT"/>
            </w:rPr>
            <w:t>01</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27A6BAA"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AA1E5F">
            <w:rPr>
              <w:rFonts w:ascii="Poppins" w:hAnsi="Poppins" w:cs="Poppins"/>
              <w:b/>
              <w:sz w:val="22"/>
              <w:szCs w:val="22"/>
              <w:lang w:val="it-IT"/>
            </w:rPr>
            <w:t>01</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2E853CA"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55006">
            <w:rPr>
              <w:rFonts w:ascii="Poppins" w:hAnsi="Poppins" w:cs="Poppins"/>
              <w:b/>
              <w:sz w:val="22"/>
              <w:szCs w:val="22"/>
              <w:lang w:val="it-IT"/>
            </w:rPr>
            <w:t>01</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48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4848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1398</TotalTime>
  <Pages>19</Pages>
  <Words>4514</Words>
  <Characters>24827</Characters>
  <Application>Microsoft Office Word</Application>
  <DocSecurity>0</DocSecurity>
  <Lines>206</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12</cp:revision>
  <cp:lastPrinted>2025-12-18T21:46:00Z</cp:lastPrinted>
  <dcterms:created xsi:type="dcterms:W3CDTF">2025-12-30T20:45:00Z</dcterms:created>
  <dcterms:modified xsi:type="dcterms:W3CDTF">2026-01-09T16:04:00Z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