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438F75A6"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B0263F">
        <w:rPr>
          <w:rFonts w:ascii="Poppins" w:hAnsi="Poppins" w:cs="Poppins"/>
          <w:sz w:val="24"/>
          <w:szCs w:val="22"/>
          <w:u w:val="single"/>
          <w:lang w:val="es-PE"/>
        </w:rPr>
        <w:t>3</w:t>
      </w:r>
      <w:r w:rsidR="00E66E3B">
        <w:rPr>
          <w:rFonts w:ascii="Poppins" w:hAnsi="Poppins" w:cs="Poppins"/>
          <w:sz w:val="24"/>
          <w:szCs w:val="22"/>
          <w:u w:val="single"/>
          <w:lang w:val="es-PE"/>
        </w:rPr>
        <w:t>1</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986A8CF"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E66E3B">
        <w:rPr>
          <w:rFonts w:ascii="Poppins" w:hAnsi="Poppins" w:cs="Poppins"/>
          <w:b/>
          <w:bCs/>
          <w:sz w:val="22"/>
          <w:szCs w:val="22"/>
        </w:rPr>
        <w:t>03</w:t>
      </w:r>
      <w:r w:rsidR="00316BFF">
        <w:rPr>
          <w:rFonts w:ascii="Poppins" w:hAnsi="Poppins" w:cs="Poppins"/>
          <w:b/>
          <w:bCs/>
          <w:sz w:val="22"/>
          <w:szCs w:val="22"/>
        </w:rPr>
        <w:t>/</w:t>
      </w:r>
      <w:r w:rsidR="005151B0">
        <w:rPr>
          <w:rFonts w:ascii="Poppins" w:hAnsi="Poppins" w:cs="Poppins"/>
          <w:b/>
          <w:bCs/>
          <w:sz w:val="22"/>
          <w:szCs w:val="22"/>
        </w:rPr>
        <w:t>0</w:t>
      </w:r>
      <w:r w:rsidR="00E66E3B">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18FE6AD8" w:rsidR="00613813" w:rsidRPr="0096213B" w:rsidRDefault="00A969F5" w:rsidP="00A969F5">
      <w:pPr>
        <w:tabs>
          <w:tab w:val="left" w:pos="3826"/>
        </w:tabs>
        <w:rPr>
          <w:rFonts w:ascii="Poppins" w:hAnsi="Poppins" w:cs="Poppins"/>
          <w:b/>
          <w:bCs/>
          <w:sz w:val="22"/>
          <w:szCs w:val="22"/>
        </w:rPr>
      </w:pPr>
      <w:r>
        <w:rPr>
          <w:rFonts w:ascii="Poppins" w:hAnsi="Poppins" w:cs="Poppins"/>
          <w:b/>
          <w:bCs/>
          <w:sz w:val="22"/>
          <w:szCs w:val="22"/>
        </w:rPr>
        <w:tab/>
      </w: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616923AF" w:rsidR="00AB06BA" w:rsidRPr="001C2FD3" w:rsidRDefault="000860DA"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2646460" wp14:editId="5E9424D2">
            <wp:extent cx="5410800" cy="3985200"/>
            <wp:effectExtent l="0" t="0" r="0" b="0"/>
            <wp:docPr id="470606383" name="Imagen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10800" cy="398520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4F727AB4" w14:textId="77777777" w:rsidR="0047626E" w:rsidRDefault="0047626E"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27A12A7"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2E54DE">
        <w:rPr>
          <w:rFonts w:ascii="Poppins" w:hAnsi="Poppins" w:cs="Poppins"/>
          <w:sz w:val="18"/>
          <w:szCs w:val="18"/>
        </w:rPr>
        <w:t>83,76</w:t>
      </w:r>
      <w:r w:rsidRPr="00273F37">
        <w:rPr>
          <w:rFonts w:ascii="Poppins" w:hAnsi="Poppins" w:cs="Poppins"/>
          <w:sz w:val="18"/>
          <w:szCs w:val="18"/>
        </w:rPr>
        <w:t xml:space="preserve"> US$/Bl, las gasolinas registraron un precio superior a </w:t>
      </w:r>
      <w:r w:rsidR="009E527C">
        <w:rPr>
          <w:rFonts w:ascii="Poppins" w:hAnsi="Poppins" w:cs="Poppins"/>
          <w:sz w:val="18"/>
          <w:szCs w:val="18"/>
        </w:rPr>
        <w:t>1</w:t>
      </w:r>
      <w:r w:rsidR="002E54DE">
        <w:rPr>
          <w:rFonts w:ascii="Poppins" w:hAnsi="Poppins" w:cs="Poppins"/>
          <w:sz w:val="18"/>
          <w:szCs w:val="18"/>
        </w:rPr>
        <w:t>27</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2E54DE">
        <w:rPr>
          <w:rFonts w:ascii="Poppins" w:hAnsi="Poppins" w:cs="Poppins"/>
          <w:sz w:val="18"/>
          <w:szCs w:val="18"/>
        </w:rPr>
        <w:t>73</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2E54DE">
        <w:rPr>
          <w:rFonts w:ascii="Poppins" w:hAnsi="Poppins" w:cs="Poppins"/>
          <w:sz w:val="18"/>
          <w:szCs w:val="18"/>
        </w:rPr>
        <w:t>3,32</w:t>
      </w:r>
      <w:r w:rsidR="00065983">
        <w:rPr>
          <w:rFonts w:ascii="Poppins" w:hAnsi="Poppins" w:cs="Poppins"/>
          <w:sz w:val="18"/>
          <w:szCs w:val="18"/>
        </w:rPr>
        <w:t xml:space="preserve"> </w:t>
      </w:r>
      <w:r w:rsidR="00FE53EF" w:rsidRPr="00273F37">
        <w:rPr>
          <w:rFonts w:ascii="Poppins" w:hAnsi="Poppins" w:cs="Poppins"/>
          <w:sz w:val="18"/>
          <w:szCs w:val="18"/>
        </w:rPr>
        <w:t>US$/Bl</w:t>
      </w:r>
      <w:r w:rsidR="002E54DE">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0BF6AF83"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930C99">
        <w:rPr>
          <w:rFonts w:ascii="Poppins" w:hAnsi="Poppins" w:cs="Poppins"/>
          <w:bCs/>
          <w:sz w:val="18"/>
          <w:szCs w:val="18"/>
        </w:rPr>
        <w:t>20</w:t>
      </w:r>
      <w:r w:rsidR="007D7CB0">
        <w:rPr>
          <w:rFonts w:ascii="Poppins" w:hAnsi="Poppins" w:cs="Poppins"/>
          <w:bCs/>
          <w:sz w:val="18"/>
          <w:szCs w:val="18"/>
        </w:rPr>
        <w:t>.</w:t>
      </w:r>
      <w:r w:rsidR="00B816EA">
        <w:rPr>
          <w:rFonts w:ascii="Poppins" w:hAnsi="Poppins" w:cs="Poppins"/>
          <w:bCs/>
          <w:sz w:val="18"/>
          <w:szCs w:val="18"/>
        </w:rPr>
        <w:t>0</w:t>
      </w:r>
      <w:r w:rsidR="0019298D">
        <w:rPr>
          <w:rFonts w:ascii="Poppins" w:hAnsi="Poppins" w:cs="Poppins"/>
          <w:bCs/>
          <w:sz w:val="18"/>
          <w:szCs w:val="18"/>
        </w:rPr>
        <w:t>7</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930C99">
        <w:rPr>
          <w:rFonts w:ascii="Poppins" w:hAnsi="Poppins" w:cs="Poppins"/>
          <w:bCs/>
          <w:sz w:val="18"/>
          <w:szCs w:val="18"/>
        </w:rPr>
        <w:t>31</w:t>
      </w:r>
      <w:r w:rsidR="005151B0">
        <w:rPr>
          <w:rFonts w:ascii="Poppins" w:hAnsi="Poppins" w:cs="Poppins"/>
          <w:bCs/>
          <w:sz w:val="18"/>
          <w:szCs w:val="18"/>
        </w:rPr>
        <w:t>.0</w:t>
      </w:r>
      <w:r w:rsidR="00065983">
        <w:rPr>
          <w:rFonts w:ascii="Poppins" w:hAnsi="Poppins" w:cs="Poppins"/>
          <w:bCs/>
          <w:sz w:val="18"/>
          <w:szCs w:val="18"/>
        </w:rPr>
        <w:t>7</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r w:rsidR="00647DA0">
        <w:rPr>
          <w:rFonts w:ascii="Poppins" w:hAnsi="Poppins" w:cs="Poppins"/>
          <w:bCs/>
          <w:sz w:val="18"/>
          <w:szCs w:val="18"/>
        </w:rPr>
        <w:t>:</w:t>
      </w:r>
    </w:p>
    <w:p w14:paraId="61532FA6" w14:textId="77777777" w:rsidR="00204D69" w:rsidRPr="00592F97" w:rsidRDefault="00204D69" w:rsidP="00204D69">
      <w:pPr>
        <w:jc w:val="both"/>
        <w:rPr>
          <w:rFonts w:ascii="Poppins" w:hAnsi="Poppins" w:cs="Poppins"/>
          <w:sz w:val="18"/>
          <w:szCs w:val="18"/>
        </w:rPr>
      </w:pPr>
    </w:p>
    <w:p w14:paraId="2E8E6254" w14:textId="77777777" w:rsidR="00647DA0" w:rsidRPr="005D618A" w:rsidRDefault="00647DA0" w:rsidP="00647DA0">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w:t>
      </w:r>
      <w:r w:rsidRPr="001E3A29">
        <w:rPr>
          <w:rFonts w:ascii="Poppins" w:hAnsi="Poppins" w:cs="Poppins"/>
          <w:b/>
          <w:sz w:val="18"/>
          <w:szCs w:val="18"/>
        </w:rPr>
        <w:t xml:space="preserve">incremento de los inventarios de </w:t>
      </w:r>
      <w:r>
        <w:rPr>
          <w:rFonts w:ascii="Poppins" w:hAnsi="Poppins" w:cs="Poppins"/>
          <w:b/>
          <w:sz w:val="18"/>
          <w:szCs w:val="18"/>
        </w:rPr>
        <w:t xml:space="preserve">gasolinas, </w:t>
      </w:r>
      <w:r w:rsidRPr="001E3A29">
        <w:rPr>
          <w:rFonts w:ascii="Poppins" w:hAnsi="Poppins" w:cs="Poppins"/>
          <w:b/>
          <w:sz w:val="18"/>
          <w:szCs w:val="18"/>
        </w:rPr>
        <w:t xml:space="preserve">destilado medio y propano, así como el descenso de las existencias de crudo, al </w:t>
      </w:r>
      <w:r>
        <w:rPr>
          <w:rFonts w:ascii="Poppins" w:hAnsi="Poppins" w:cs="Poppins"/>
          <w:b/>
          <w:sz w:val="18"/>
          <w:szCs w:val="18"/>
        </w:rPr>
        <w:t>24</w:t>
      </w:r>
      <w:r w:rsidRPr="001E3A29">
        <w:rPr>
          <w:rFonts w:ascii="Poppins" w:hAnsi="Poppins" w:cs="Poppins"/>
          <w:b/>
          <w:sz w:val="18"/>
          <w:szCs w:val="18"/>
        </w:rPr>
        <w:t xml:space="preserve"> de ju</w:t>
      </w:r>
      <w:r>
        <w:rPr>
          <w:rFonts w:ascii="Poppins" w:hAnsi="Poppins" w:cs="Poppins"/>
          <w:b/>
          <w:sz w:val="18"/>
          <w:szCs w:val="18"/>
        </w:rPr>
        <w:t>l</w:t>
      </w:r>
      <w:r w:rsidRPr="001E3A29">
        <w:rPr>
          <w:rFonts w:ascii="Poppins" w:hAnsi="Poppins" w:cs="Poppins"/>
          <w:b/>
          <w:sz w:val="18"/>
          <w:szCs w:val="18"/>
        </w:rPr>
        <w:t>io del 202</w:t>
      </w:r>
      <w:r>
        <w:rPr>
          <w:rFonts w:ascii="Poppins" w:hAnsi="Poppins" w:cs="Poppins"/>
          <w:b/>
          <w:sz w:val="18"/>
          <w:szCs w:val="18"/>
        </w:rPr>
        <w:t>6</w:t>
      </w:r>
    </w:p>
    <w:p w14:paraId="275F070F" w14:textId="77777777" w:rsidR="00647DA0" w:rsidRPr="005D618A" w:rsidRDefault="00647DA0" w:rsidP="00647DA0">
      <w:pPr>
        <w:shd w:val="clear" w:color="auto" w:fill="FFFFFF"/>
        <w:ind w:left="425"/>
        <w:jc w:val="both"/>
        <w:rPr>
          <w:rFonts w:ascii="Poppins" w:hAnsi="Poppins" w:cs="Poppins"/>
          <w:sz w:val="18"/>
          <w:szCs w:val="18"/>
        </w:rPr>
      </w:pPr>
    </w:p>
    <w:p w14:paraId="039E9C6D" w14:textId="77777777" w:rsidR="00647DA0" w:rsidRPr="005D618A" w:rsidRDefault="00647DA0" w:rsidP="00647DA0">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w:t>
      </w:r>
      <w:r>
        <w:rPr>
          <w:rFonts w:ascii="Poppins" w:hAnsi="Poppins" w:cs="Poppins"/>
          <w:sz w:val="18"/>
          <w:szCs w:val="18"/>
        </w:rPr>
        <w:t xml:space="preserve"> 7,2</w:t>
      </w:r>
      <w:r w:rsidRPr="005D618A">
        <w:rPr>
          <w:rFonts w:ascii="Poppins" w:hAnsi="Poppins" w:cs="Poppins"/>
          <w:sz w:val="18"/>
          <w:szCs w:val="18"/>
        </w:rPr>
        <w:t xml:space="preserve"> millones de barriles alcanzando los 4</w:t>
      </w:r>
      <w:r>
        <w:rPr>
          <w:rFonts w:ascii="Poppins" w:hAnsi="Poppins" w:cs="Poppins"/>
          <w:sz w:val="18"/>
          <w:szCs w:val="18"/>
        </w:rPr>
        <w:t>04,5</w:t>
      </w:r>
      <w:r w:rsidRPr="005D618A">
        <w:rPr>
          <w:rFonts w:ascii="Poppins" w:hAnsi="Poppins" w:cs="Poppins"/>
          <w:sz w:val="18"/>
          <w:szCs w:val="18"/>
        </w:rPr>
        <w:t xml:space="preserve"> millones de barriles, ubicándose en un </w:t>
      </w:r>
      <w:r>
        <w:rPr>
          <w:rFonts w:ascii="Poppins" w:hAnsi="Poppins" w:cs="Poppins"/>
          <w:sz w:val="18"/>
          <w:szCs w:val="18"/>
        </w:rPr>
        <w:t>-6</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76E3AA21" w14:textId="77777777" w:rsidR="00647DA0" w:rsidRPr="005D618A" w:rsidRDefault="00647DA0" w:rsidP="00647DA0">
      <w:pPr>
        <w:shd w:val="clear" w:color="auto" w:fill="FFFFFF"/>
        <w:ind w:left="425"/>
        <w:jc w:val="both"/>
        <w:rPr>
          <w:rFonts w:ascii="Poppins" w:hAnsi="Poppins" w:cs="Poppins"/>
          <w:sz w:val="18"/>
          <w:szCs w:val="18"/>
        </w:rPr>
      </w:pPr>
    </w:p>
    <w:p w14:paraId="1702BE75" w14:textId="77777777" w:rsidR="00647DA0" w:rsidRPr="005D618A" w:rsidRDefault="00647DA0" w:rsidP="00647DA0">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se incrementaron </w:t>
      </w:r>
      <w:r w:rsidRPr="005D618A">
        <w:rPr>
          <w:rFonts w:ascii="Poppins" w:hAnsi="Poppins" w:cs="Poppins"/>
          <w:sz w:val="18"/>
          <w:szCs w:val="18"/>
        </w:rPr>
        <w:t>en</w:t>
      </w:r>
      <w:r>
        <w:rPr>
          <w:rFonts w:ascii="Poppins" w:hAnsi="Poppins" w:cs="Poppins"/>
          <w:sz w:val="18"/>
          <w:szCs w:val="18"/>
        </w:rPr>
        <w:t xml:space="preserve"> 0,01</w:t>
      </w:r>
      <w:r w:rsidRPr="005D618A">
        <w:rPr>
          <w:rFonts w:ascii="Poppins" w:hAnsi="Poppins" w:cs="Poppins"/>
          <w:sz w:val="18"/>
          <w:szCs w:val="18"/>
        </w:rPr>
        <w:t xml:space="preserve"> millones de barriles, reportando un total de 2</w:t>
      </w:r>
      <w:r>
        <w:rPr>
          <w:rFonts w:ascii="Poppins" w:hAnsi="Poppins" w:cs="Poppins"/>
          <w:sz w:val="18"/>
          <w:szCs w:val="18"/>
        </w:rPr>
        <w:t>11,3</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aumentaron </w:t>
      </w:r>
      <w:r w:rsidRPr="005D618A">
        <w:rPr>
          <w:rFonts w:ascii="Poppins" w:hAnsi="Poppins" w:cs="Poppins"/>
          <w:sz w:val="18"/>
          <w:szCs w:val="18"/>
        </w:rPr>
        <w:t>en</w:t>
      </w:r>
      <w:r>
        <w:rPr>
          <w:rFonts w:ascii="Poppins" w:hAnsi="Poppins" w:cs="Poppins"/>
          <w:sz w:val="18"/>
          <w:szCs w:val="18"/>
        </w:rPr>
        <w:t xml:space="preserve"> 1,1 </w:t>
      </w:r>
      <w:r w:rsidRPr="005D618A">
        <w:rPr>
          <w:rFonts w:ascii="Poppins" w:hAnsi="Poppins" w:cs="Poppins"/>
          <w:sz w:val="18"/>
          <w:szCs w:val="18"/>
        </w:rPr>
        <w:t>millones de barriles, ubicándose en 1</w:t>
      </w:r>
      <w:r>
        <w:rPr>
          <w:rFonts w:ascii="Poppins" w:hAnsi="Poppins" w:cs="Poppins"/>
          <w:sz w:val="18"/>
          <w:szCs w:val="18"/>
        </w:rPr>
        <w:t>10</w:t>
      </w:r>
      <w:r w:rsidRPr="005D618A">
        <w:rPr>
          <w:rFonts w:ascii="Poppins" w:hAnsi="Poppins" w:cs="Poppins"/>
          <w:sz w:val="18"/>
          <w:szCs w:val="18"/>
        </w:rPr>
        <w:t>,</w:t>
      </w:r>
      <w:r>
        <w:rPr>
          <w:rFonts w:ascii="Poppins" w:hAnsi="Poppins" w:cs="Poppins"/>
          <w:sz w:val="18"/>
          <w:szCs w:val="18"/>
        </w:rPr>
        <w:t>6</w:t>
      </w:r>
      <w:r w:rsidRPr="005D618A">
        <w:rPr>
          <w:rFonts w:ascii="Poppins" w:hAnsi="Poppins" w:cs="Poppins"/>
          <w:sz w:val="18"/>
          <w:szCs w:val="18"/>
        </w:rPr>
        <w:t xml:space="preserve"> millones de barriles</w:t>
      </w:r>
      <w:r>
        <w:rPr>
          <w:rFonts w:ascii="Poppins" w:hAnsi="Poppins" w:cs="Poppins"/>
          <w:sz w:val="18"/>
          <w:szCs w:val="18"/>
        </w:rPr>
        <w:t>.</w:t>
      </w:r>
    </w:p>
    <w:p w14:paraId="5F515BC1" w14:textId="77777777" w:rsidR="00647DA0" w:rsidRPr="005D618A" w:rsidRDefault="00647DA0" w:rsidP="00647DA0">
      <w:pPr>
        <w:shd w:val="clear" w:color="auto" w:fill="FFFFFF"/>
        <w:ind w:left="425"/>
        <w:jc w:val="both"/>
        <w:rPr>
          <w:rFonts w:ascii="Poppins" w:hAnsi="Poppins" w:cs="Poppins"/>
          <w:sz w:val="18"/>
          <w:szCs w:val="18"/>
        </w:rPr>
      </w:pPr>
    </w:p>
    <w:p w14:paraId="4F39DF5E" w14:textId="77777777" w:rsidR="00647DA0" w:rsidRPr="005D618A" w:rsidRDefault="00647DA0" w:rsidP="00647DA0">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se elevaron</w:t>
      </w:r>
      <w:r w:rsidRPr="005D618A">
        <w:rPr>
          <w:rFonts w:ascii="Poppins" w:hAnsi="Poppins" w:cs="Poppins"/>
          <w:sz w:val="18"/>
          <w:szCs w:val="18"/>
        </w:rPr>
        <w:t xml:space="preserve"> en</w:t>
      </w:r>
      <w:r>
        <w:rPr>
          <w:rFonts w:ascii="Poppins" w:hAnsi="Poppins" w:cs="Poppins"/>
          <w:sz w:val="18"/>
          <w:szCs w:val="18"/>
        </w:rPr>
        <w:t xml:space="preserve"> 2,51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102,29 </w:t>
      </w:r>
      <w:r w:rsidRPr="005D618A">
        <w:rPr>
          <w:rFonts w:ascii="Poppins" w:hAnsi="Poppins" w:cs="Poppins"/>
          <w:sz w:val="18"/>
          <w:szCs w:val="18"/>
        </w:rPr>
        <w:t>millones de barriles</w:t>
      </w:r>
      <w:r>
        <w:rPr>
          <w:rFonts w:ascii="Poppins" w:hAnsi="Poppins" w:cs="Poppins"/>
          <w:sz w:val="18"/>
          <w:szCs w:val="18"/>
        </w:rPr>
        <w:t>.</w:t>
      </w:r>
    </w:p>
    <w:p w14:paraId="7A3AF455" w14:textId="77777777" w:rsidR="00647DA0" w:rsidRPr="007654D3" w:rsidRDefault="00647DA0" w:rsidP="00647DA0">
      <w:pPr>
        <w:jc w:val="both"/>
        <w:rPr>
          <w:rFonts w:ascii="Poppins" w:hAnsi="Poppins" w:cs="Poppins"/>
          <w:b/>
          <w:sz w:val="18"/>
          <w:szCs w:val="18"/>
          <w:highlight w:val="yellow"/>
        </w:rPr>
      </w:pPr>
    </w:p>
    <w:p w14:paraId="42BC6341" w14:textId="77777777" w:rsidR="00647DA0" w:rsidRDefault="00647DA0" w:rsidP="00647DA0">
      <w:pPr>
        <w:pStyle w:val="Prrafodelista"/>
        <w:numPr>
          <w:ilvl w:val="0"/>
          <w:numId w:val="30"/>
        </w:numPr>
        <w:ind w:left="425"/>
        <w:contextualSpacing/>
        <w:jc w:val="both"/>
        <w:rPr>
          <w:rFonts w:ascii="Poppins" w:hAnsi="Poppins" w:cs="Poppins"/>
          <w:b/>
          <w:sz w:val="18"/>
          <w:szCs w:val="18"/>
        </w:rPr>
      </w:pPr>
      <w:r w:rsidRPr="000530FA">
        <w:rPr>
          <w:rFonts w:ascii="Poppins" w:hAnsi="Poppins" w:cs="Poppins"/>
          <w:b/>
          <w:sz w:val="18"/>
          <w:szCs w:val="18"/>
        </w:rPr>
        <w:t xml:space="preserve">La guerra EE.UU.–Irán mantiene restringido </w:t>
      </w:r>
      <w:r>
        <w:rPr>
          <w:rFonts w:ascii="Poppins" w:hAnsi="Poppins" w:cs="Poppins"/>
          <w:b/>
          <w:sz w:val="18"/>
          <w:szCs w:val="18"/>
        </w:rPr>
        <w:t xml:space="preserve">el Estrecho de </w:t>
      </w:r>
      <w:r w:rsidRPr="000530FA">
        <w:rPr>
          <w:rFonts w:ascii="Poppins" w:hAnsi="Poppins" w:cs="Poppins"/>
          <w:b/>
          <w:sz w:val="18"/>
          <w:szCs w:val="18"/>
        </w:rPr>
        <w:t>Ormuz y extiende el riesgo al</w:t>
      </w:r>
      <w:r>
        <w:rPr>
          <w:rFonts w:ascii="Poppins" w:hAnsi="Poppins" w:cs="Poppins"/>
          <w:b/>
          <w:sz w:val="18"/>
          <w:szCs w:val="18"/>
        </w:rPr>
        <w:t xml:space="preserve"> Estrecho de </w:t>
      </w:r>
      <w:r w:rsidRPr="00426BE0">
        <w:rPr>
          <w:rFonts w:ascii="Poppins" w:hAnsi="Poppins" w:cs="Poppins"/>
          <w:b/>
          <w:sz w:val="18"/>
          <w:szCs w:val="18"/>
        </w:rPr>
        <w:t>Bab el-Mandeb</w:t>
      </w:r>
      <w:r>
        <w:rPr>
          <w:rFonts w:ascii="Poppins" w:hAnsi="Poppins" w:cs="Poppins"/>
          <w:b/>
          <w:sz w:val="18"/>
          <w:szCs w:val="18"/>
        </w:rPr>
        <w:t>,</w:t>
      </w:r>
      <w:r w:rsidRPr="000530FA">
        <w:rPr>
          <w:rFonts w:ascii="Poppins" w:hAnsi="Poppins" w:cs="Poppins"/>
          <w:b/>
          <w:sz w:val="18"/>
          <w:szCs w:val="18"/>
        </w:rPr>
        <w:t xml:space="preserve"> pese a la mediación de Omán</w:t>
      </w:r>
    </w:p>
    <w:p w14:paraId="5038908D" w14:textId="77777777" w:rsidR="00647DA0" w:rsidRPr="00C4158C" w:rsidRDefault="00647DA0" w:rsidP="00647DA0">
      <w:pPr>
        <w:pStyle w:val="Prrafodelista"/>
        <w:ind w:left="425"/>
        <w:jc w:val="both"/>
        <w:rPr>
          <w:rFonts w:ascii="Poppins" w:hAnsi="Poppins" w:cs="Poppins"/>
          <w:b/>
          <w:sz w:val="18"/>
          <w:szCs w:val="18"/>
        </w:rPr>
      </w:pPr>
    </w:p>
    <w:p w14:paraId="250E4631" w14:textId="77777777" w:rsidR="00647DA0" w:rsidRPr="00EC751E" w:rsidRDefault="00647DA0" w:rsidP="00647DA0">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febrero, los contactos nucleares indirectos celebrados en Ginebra no lograron avances y quedaron rápidamente superados por la ofensiva conjunta de EE.UU. e Israel iniciada el 28 de febrero. A partir de entonces, Irán endureció su posición, respaldó el cierre del Estrecho de Ormuz y </w:t>
      </w:r>
      <w:r>
        <w:rPr>
          <w:rFonts w:ascii="Poppins" w:hAnsi="Poppins" w:cs="Poppins"/>
          <w:sz w:val="18"/>
          <w:szCs w:val="18"/>
        </w:rPr>
        <w:t xml:space="preserve">EE.UU. </w:t>
      </w:r>
      <w:r w:rsidRPr="00EC751E">
        <w:rPr>
          <w:rFonts w:ascii="Poppins" w:hAnsi="Poppins" w:cs="Poppins"/>
          <w:sz w:val="18"/>
          <w:szCs w:val="18"/>
        </w:rPr>
        <w:t>elevó progresivamente sus amenazas, trasladando el conflicto desde el terreno diplomático hacia una confrontación militar abierta.</w:t>
      </w:r>
    </w:p>
    <w:p w14:paraId="2FA79EE4" w14:textId="77777777" w:rsidR="00647DA0" w:rsidRPr="00EC751E" w:rsidRDefault="00647DA0" w:rsidP="00647DA0">
      <w:pPr>
        <w:shd w:val="clear" w:color="auto" w:fill="FFFFFF"/>
        <w:ind w:left="425"/>
        <w:jc w:val="both"/>
        <w:rPr>
          <w:rFonts w:ascii="Poppins" w:hAnsi="Poppins" w:cs="Poppins"/>
          <w:sz w:val="18"/>
          <w:szCs w:val="18"/>
        </w:rPr>
      </w:pPr>
    </w:p>
    <w:p w14:paraId="4C87698B" w14:textId="77777777" w:rsidR="00647DA0" w:rsidRDefault="00647DA0" w:rsidP="00647DA0">
      <w:pPr>
        <w:shd w:val="clear" w:color="auto" w:fill="FFFFFF"/>
        <w:ind w:left="425"/>
        <w:jc w:val="both"/>
        <w:rPr>
          <w:rFonts w:ascii="Poppins" w:hAnsi="Poppins" w:cs="Poppins"/>
          <w:sz w:val="18"/>
          <w:szCs w:val="18"/>
        </w:rPr>
      </w:pPr>
      <w:r w:rsidRPr="00EC751E">
        <w:rPr>
          <w:rFonts w:ascii="Poppins" w:hAnsi="Poppins" w:cs="Poppins"/>
          <w:sz w:val="18"/>
          <w:szCs w:val="18"/>
        </w:rPr>
        <w:t xml:space="preserve">En marzo, la escalada se concentró en la isla de Kharg, principal nodo exportador iraní, donde EE.UU. atacó más de 90 objetivos militares sin alcanzar directamente la infraestructura petrolera. </w:t>
      </w:r>
      <w:r>
        <w:rPr>
          <w:rFonts w:ascii="Poppins" w:hAnsi="Poppins" w:cs="Poppins"/>
          <w:sz w:val="18"/>
          <w:szCs w:val="18"/>
        </w:rPr>
        <w:t>Incluso la Casa Blanca</w:t>
      </w:r>
      <w:r w:rsidRPr="00EC751E">
        <w:rPr>
          <w:rFonts w:ascii="Poppins" w:hAnsi="Poppins" w:cs="Poppins"/>
          <w:sz w:val="18"/>
          <w:szCs w:val="18"/>
        </w:rPr>
        <w:t xml:space="preserve"> llegó a evaluar la ocupación o el bloqueo de la isla para forzar la reapertura de Ormuz, mientras Irán advirtió sobre mayores restricciones en el Golfo e incluso el eventual uso de minas. Aunque Trump anunció pausas temporales en los ataques contra instalaciones energéticas, no se produjeron avances diplomáticos verificables y el mercado comenzó a asumir que la guerra podía prolongarse.</w:t>
      </w:r>
    </w:p>
    <w:p w14:paraId="01E8D5BD" w14:textId="77777777" w:rsidR="00647DA0" w:rsidRDefault="00647DA0" w:rsidP="00647DA0">
      <w:pPr>
        <w:shd w:val="clear" w:color="auto" w:fill="FFFFFF"/>
        <w:ind w:left="425"/>
        <w:jc w:val="both"/>
        <w:rPr>
          <w:rFonts w:ascii="Poppins" w:hAnsi="Poppins" w:cs="Poppins"/>
          <w:sz w:val="18"/>
          <w:szCs w:val="18"/>
        </w:rPr>
      </w:pPr>
    </w:p>
    <w:p w14:paraId="5C5C57C6" w14:textId="77777777" w:rsidR="00647DA0" w:rsidRPr="00EC751E" w:rsidRDefault="00647DA0" w:rsidP="00647DA0">
      <w:pPr>
        <w:shd w:val="clear" w:color="auto" w:fill="FFFFFF"/>
        <w:ind w:left="425"/>
        <w:jc w:val="both"/>
        <w:rPr>
          <w:rFonts w:ascii="Poppins" w:hAnsi="Poppins" w:cs="Poppins"/>
          <w:sz w:val="18"/>
          <w:szCs w:val="18"/>
        </w:rPr>
      </w:pPr>
      <w:r w:rsidRPr="00EC751E">
        <w:rPr>
          <w:rFonts w:ascii="Poppins" w:hAnsi="Poppins" w:cs="Poppins"/>
          <w:sz w:val="18"/>
          <w:szCs w:val="18"/>
        </w:rPr>
        <w:t xml:space="preserve">Durante abril, la crisis alternó entre treguas tácticas, negociaciones incompletas y una creciente presión marítima. La mediación de Pakistán permitió una suspensión temporal de los ataques y conversaciones de alto nivel en Islamabad, pero persistieron desacuerdos sobre el programa nuclear, el alivio de sanciones y la seguridad del Golfo. Irán reabrió provisionalmente Ormuz el 17 de abril, aunque mantuvo la amenaza de volver a cerrarlo; al finalizar el mes, el tránsito seguía restringido, numerosos tanqueros permanecían retenidos y aumentaba el riesgo de que la disrupción se extendiera hacia </w:t>
      </w:r>
      <w:r>
        <w:rPr>
          <w:rFonts w:ascii="Poppins" w:hAnsi="Poppins" w:cs="Poppins"/>
          <w:sz w:val="18"/>
          <w:szCs w:val="18"/>
        </w:rPr>
        <w:t xml:space="preserve">el estrecho de </w:t>
      </w:r>
      <w:r w:rsidRPr="00EC751E">
        <w:rPr>
          <w:rFonts w:ascii="Poppins" w:hAnsi="Poppins" w:cs="Poppins"/>
          <w:sz w:val="18"/>
          <w:szCs w:val="18"/>
        </w:rPr>
        <w:t>Bab el-Mandeb.</w:t>
      </w:r>
    </w:p>
    <w:p w14:paraId="5DA035E6" w14:textId="77777777" w:rsidR="00647DA0" w:rsidRPr="00EC751E" w:rsidRDefault="00647DA0" w:rsidP="00647DA0">
      <w:pPr>
        <w:shd w:val="clear" w:color="auto" w:fill="FFFFFF"/>
        <w:ind w:left="425"/>
        <w:jc w:val="both"/>
        <w:rPr>
          <w:rFonts w:ascii="Poppins" w:hAnsi="Poppins" w:cs="Poppins"/>
          <w:sz w:val="18"/>
          <w:szCs w:val="18"/>
        </w:rPr>
      </w:pPr>
    </w:p>
    <w:p w14:paraId="6640A9C5" w14:textId="77777777" w:rsidR="00647DA0" w:rsidRDefault="00647DA0" w:rsidP="00647DA0">
      <w:pPr>
        <w:shd w:val="clear" w:color="auto" w:fill="FFFFFF"/>
        <w:ind w:left="425"/>
        <w:jc w:val="both"/>
        <w:rPr>
          <w:rFonts w:ascii="Poppins" w:hAnsi="Poppins" w:cs="Poppins"/>
          <w:sz w:val="18"/>
          <w:szCs w:val="18"/>
        </w:rPr>
      </w:pPr>
      <w:r w:rsidRPr="00EC751E">
        <w:rPr>
          <w:rFonts w:ascii="Poppins" w:hAnsi="Poppins" w:cs="Poppins"/>
          <w:sz w:val="18"/>
          <w:szCs w:val="18"/>
        </w:rPr>
        <w:t>En mayo, EE.UU. combinó nuevas sanciones e interceptaciones marítimas con negociaciones indirectas mediadas por Omán y Pakistán. Las señales de entendimiento permitieron la salida selectiva de tanqueros y redujeron temporalmente los precios, pero las diferencias sobre el uranio enriquecido, los peajes y la reapertura de Ormuz impidieron un acuerdo definitivo. A fines de mes surgió un memorando preliminar para extender el alto el fuego por 60 días y mantener abierto el estrecho durante las conversaciones, aunque continuaron las restricciones, las acusaciones de violación de la tregua y las dudas sobre su aplicación efectiva.</w:t>
      </w:r>
    </w:p>
    <w:p w14:paraId="59BDD603" w14:textId="77777777" w:rsidR="00647DA0" w:rsidRDefault="00647DA0" w:rsidP="00647DA0">
      <w:pPr>
        <w:shd w:val="clear" w:color="auto" w:fill="FFFFFF"/>
        <w:ind w:left="425"/>
        <w:jc w:val="both"/>
        <w:rPr>
          <w:rFonts w:ascii="Poppins" w:hAnsi="Poppins" w:cs="Poppins"/>
          <w:sz w:val="18"/>
          <w:szCs w:val="18"/>
        </w:rPr>
      </w:pPr>
    </w:p>
    <w:p w14:paraId="62C81D0F" w14:textId="77777777" w:rsidR="00647DA0" w:rsidRPr="00693094" w:rsidRDefault="00647DA0" w:rsidP="00647DA0">
      <w:pPr>
        <w:shd w:val="clear" w:color="auto" w:fill="FFFFFF"/>
        <w:ind w:left="425"/>
        <w:jc w:val="both"/>
        <w:rPr>
          <w:rFonts w:ascii="Poppins" w:hAnsi="Poppins" w:cs="Poppins"/>
          <w:sz w:val="18"/>
          <w:szCs w:val="18"/>
        </w:rPr>
      </w:pPr>
      <w:r w:rsidRPr="00693094">
        <w:rPr>
          <w:rFonts w:ascii="Poppins" w:hAnsi="Poppins" w:cs="Poppins"/>
          <w:sz w:val="18"/>
          <w:szCs w:val="18"/>
        </w:rPr>
        <w:t>Durante junio, la negociación entre EE.UU. e Irán transitó desde avances frágiles y episodios militares hacia un memorando interino formalizado el 17 de junio. El acuerdo estableció una tregua de 60 días, la reapertura gradual de Ormuz, el levantamiento progresivo del bloqueo naval y una autorización temporal para las ventas de crudo iraní. La mejora permitió elevar los cruces</w:t>
      </w:r>
      <w:r>
        <w:rPr>
          <w:rFonts w:ascii="Poppins" w:hAnsi="Poppins" w:cs="Poppins"/>
          <w:sz w:val="18"/>
          <w:szCs w:val="18"/>
        </w:rPr>
        <w:t xml:space="preserve"> en el Estrecho,</w:t>
      </w:r>
      <w:r w:rsidRPr="00693094">
        <w:rPr>
          <w:rFonts w:ascii="Poppins" w:hAnsi="Poppins" w:cs="Poppins"/>
          <w:sz w:val="18"/>
          <w:szCs w:val="18"/>
        </w:rPr>
        <w:t xml:space="preserve"> desde unos 10 hasta 45 buques diarios y recuperar exportaciones regionales cercanas a 10 millones de bpd, reduciendo significativamente la prima geopolítica y provocando nuevas caídas del Brent y el WTI. Sin embargo, el tránsito permaneció alrededor de 64% por debajo de la normalidad y persistieron riesgos relacionados con seguridad marítima, seguros, desminado, sanciones y verificación nuclear.</w:t>
      </w:r>
    </w:p>
    <w:p w14:paraId="320FBED6" w14:textId="77777777" w:rsidR="00647DA0" w:rsidRPr="00693094" w:rsidRDefault="00647DA0" w:rsidP="00647DA0">
      <w:pPr>
        <w:shd w:val="clear" w:color="auto" w:fill="FFFFFF"/>
        <w:ind w:left="425"/>
        <w:jc w:val="both"/>
        <w:rPr>
          <w:rFonts w:ascii="Poppins" w:hAnsi="Poppins" w:cs="Poppins"/>
          <w:sz w:val="18"/>
          <w:szCs w:val="18"/>
        </w:rPr>
      </w:pPr>
    </w:p>
    <w:p w14:paraId="2118F149" w14:textId="77777777" w:rsidR="00647DA0" w:rsidRDefault="00647DA0" w:rsidP="00647DA0">
      <w:pPr>
        <w:shd w:val="clear" w:color="auto" w:fill="FFFFFF"/>
        <w:ind w:left="425"/>
        <w:jc w:val="both"/>
        <w:rPr>
          <w:rFonts w:ascii="Poppins" w:hAnsi="Poppins" w:cs="Poppins"/>
          <w:sz w:val="18"/>
          <w:szCs w:val="18"/>
        </w:rPr>
      </w:pPr>
      <w:r w:rsidRPr="00693094">
        <w:rPr>
          <w:rFonts w:ascii="Poppins" w:hAnsi="Poppins" w:cs="Poppins"/>
          <w:sz w:val="18"/>
          <w:szCs w:val="18"/>
        </w:rPr>
        <w:t xml:space="preserve">Entre fines de junio y el 5 de julio, el impulso inicial del memorando comenzó a perder fuerza. Tras nuevos incidentes, EE.UU. e Irán retomaron conversaciones técnicas indirectas en Doha, pero sin resolver las diferencias sobre Ormuz ni el programa nuclear. El tránsito volvió a disminuir a 20–25 buques diarios, después del máximo de 59 cruces registrado el 24 de </w:t>
      </w:r>
      <w:r w:rsidRPr="00693094">
        <w:rPr>
          <w:rFonts w:ascii="Poppins" w:hAnsi="Poppins" w:cs="Poppins"/>
          <w:sz w:val="18"/>
          <w:szCs w:val="18"/>
        </w:rPr>
        <w:lastRenderedPageBreak/>
        <w:t>junio, y predominaban los ingresos al Golfo sobre las salidas. Aunque las exportaciones regionales continuaron por encima de 10 millones de bpd y mantuvieron una presión bajista sobre los precios, la rápida desaceleración de los cruces confirmó que la reapertura seguía siendo parcial, reversible y dependiente de una desescalada todavía no consolidada.</w:t>
      </w:r>
    </w:p>
    <w:p w14:paraId="54ED3351" w14:textId="77777777" w:rsidR="00647DA0" w:rsidRDefault="00647DA0" w:rsidP="00647DA0">
      <w:pPr>
        <w:shd w:val="clear" w:color="auto" w:fill="FFFFFF"/>
        <w:ind w:left="425"/>
        <w:jc w:val="both"/>
        <w:rPr>
          <w:rFonts w:ascii="Poppins" w:hAnsi="Poppins" w:cs="Poppins"/>
          <w:sz w:val="18"/>
          <w:szCs w:val="18"/>
        </w:rPr>
      </w:pPr>
    </w:p>
    <w:p w14:paraId="2AD6944D" w14:textId="77777777" w:rsidR="00647DA0" w:rsidRDefault="00647DA0" w:rsidP="00647DA0">
      <w:pPr>
        <w:shd w:val="clear" w:color="auto" w:fill="FFFFFF"/>
        <w:ind w:left="425"/>
        <w:jc w:val="both"/>
        <w:rPr>
          <w:rFonts w:ascii="Poppins" w:hAnsi="Poppins" w:cs="Poppins"/>
          <w:sz w:val="18"/>
          <w:szCs w:val="18"/>
        </w:rPr>
      </w:pPr>
      <w:r w:rsidRPr="000D63B9">
        <w:rPr>
          <w:rFonts w:ascii="Poppins" w:hAnsi="Poppins" w:cs="Poppins"/>
          <w:sz w:val="18"/>
          <w:szCs w:val="18"/>
        </w:rPr>
        <w:t xml:space="preserve">Entre el 6 y el 12 de julio, el memorando interino quedó severamente debilitado tras los ataques contra tres buques en Ormuz. El 7 de julio, EE.UU. revocó la autorización temporal para comercializar petróleo iraní y reanudó los ataques contra objetivos militares, mientras Irán respondió contra instalaciones estadounidenses y aliadas en el Golfo. Aunque el 11 de julio ambas partes mantuvieron contactos indirectos sobre el paso seguro de buques, no alcanzaron un nuevo alto el fuego; al cierre del 12 de julio, Irán volvió a declarar cerrado el estrecho y solo seis petroleros lo atravesaron, sin observarse metaneros. </w:t>
      </w:r>
      <w:r w:rsidRPr="00946F30">
        <w:rPr>
          <w:rFonts w:ascii="Poppins" w:hAnsi="Poppins" w:cs="Poppins"/>
          <w:sz w:val="18"/>
          <w:szCs w:val="18"/>
        </w:rPr>
        <w:t>Así, el memorando dejó de contener el riesgo geopolítico incorporado en los precios del crudo.</w:t>
      </w:r>
    </w:p>
    <w:p w14:paraId="05041AB4" w14:textId="77777777" w:rsidR="00647DA0" w:rsidRDefault="00647DA0" w:rsidP="00647DA0">
      <w:pPr>
        <w:shd w:val="clear" w:color="auto" w:fill="FFFFFF"/>
        <w:ind w:left="425"/>
        <w:jc w:val="both"/>
        <w:rPr>
          <w:rFonts w:ascii="Poppins" w:hAnsi="Poppins" w:cs="Poppins"/>
          <w:sz w:val="18"/>
          <w:szCs w:val="18"/>
        </w:rPr>
      </w:pPr>
    </w:p>
    <w:p w14:paraId="09811EDF" w14:textId="77777777" w:rsidR="00647DA0" w:rsidRDefault="00647DA0" w:rsidP="00647DA0">
      <w:pPr>
        <w:shd w:val="clear" w:color="auto" w:fill="FFFFFF"/>
        <w:ind w:left="425"/>
        <w:jc w:val="both"/>
        <w:rPr>
          <w:rFonts w:ascii="Poppins" w:hAnsi="Poppins" w:cs="Poppins"/>
          <w:sz w:val="18"/>
          <w:szCs w:val="18"/>
        </w:rPr>
      </w:pPr>
      <w:r w:rsidRPr="00552302">
        <w:rPr>
          <w:rFonts w:ascii="Poppins" w:hAnsi="Poppins" w:cs="Poppins"/>
          <w:sz w:val="18"/>
          <w:szCs w:val="18"/>
        </w:rPr>
        <w:t>Entre el 13 y el 19 de julio, el memorando interino colapsó definitivamente y el conflicto entró en una nueva fase de confrontación abierta. EE.UU. restableció el bloqueo naval contra los puertos iraníes y encadenó ataques contra infraestructura militar, portuaria y logística, mientras Irán respondió contra bases estadounidenses, instalaciones energéticas y buques comerciales en el Golfo</w:t>
      </w:r>
      <w:r>
        <w:rPr>
          <w:rFonts w:ascii="Poppins" w:hAnsi="Poppins" w:cs="Poppins"/>
          <w:sz w:val="18"/>
          <w:szCs w:val="18"/>
        </w:rPr>
        <w:t xml:space="preserve"> Pérsico</w:t>
      </w:r>
      <w:r w:rsidRPr="00552302">
        <w:rPr>
          <w:rFonts w:ascii="Poppins" w:hAnsi="Poppins" w:cs="Poppins"/>
          <w:sz w:val="18"/>
          <w:szCs w:val="18"/>
        </w:rPr>
        <w:t xml:space="preserve">. El tránsito por </w:t>
      </w:r>
      <w:r>
        <w:rPr>
          <w:rFonts w:ascii="Poppins" w:hAnsi="Poppins" w:cs="Poppins"/>
          <w:sz w:val="18"/>
          <w:szCs w:val="18"/>
        </w:rPr>
        <w:t xml:space="preserve">el estrecho de </w:t>
      </w:r>
      <w:r w:rsidRPr="00552302">
        <w:rPr>
          <w:rFonts w:ascii="Poppins" w:hAnsi="Poppins" w:cs="Poppins"/>
          <w:sz w:val="18"/>
          <w:szCs w:val="18"/>
        </w:rPr>
        <w:t>Ormuz cayó a mínimos, con apenas tres embarcaciones observadas el 16 de julio y cuatro el 19, sin cruces de buques metaneros</w:t>
      </w:r>
      <w:r>
        <w:rPr>
          <w:rFonts w:ascii="Poppins" w:hAnsi="Poppins" w:cs="Poppins"/>
          <w:sz w:val="18"/>
          <w:szCs w:val="18"/>
        </w:rPr>
        <w:t xml:space="preserve"> (transporte de GNL)</w:t>
      </w:r>
      <w:r w:rsidRPr="00552302">
        <w:rPr>
          <w:rFonts w:ascii="Poppins" w:hAnsi="Poppins" w:cs="Poppins"/>
          <w:sz w:val="18"/>
          <w:szCs w:val="18"/>
        </w:rPr>
        <w:t xml:space="preserve"> desde el 16. Paralelamente, </w:t>
      </w:r>
      <w:r>
        <w:rPr>
          <w:rFonts w:ascii="Poppins" w:hAnsi="Poppins" w:cs="Poppins"/>
          <w:sz w:val="18"/>
          <w:szCs w:val="18"/>
        </w:rPr>
        <w:t>Irán</w:t>
      </w:r>
      <w:r w:rsidRPr="00552302">
        <w:rPr>
          <w:rFonts w:ascii="Poppins" w:hAnsi="Poppins" w:cs="Poppins"/>
          <w:sz w:val="18"/>
          <w:szCs w:val="18"/>
        </w:rPr>
        <w:t xml:space="preserve"> amenazó con extender la interrupción hacia</w:t>
      </w:r>
      <w:r>
        <w:rPr>
          <w:rFonts w:ascii="Poppins" w:hAnsi="Poppins" w:cs="Poppins"/>
          <w:sz w:val="18"/>
          <w:szCs w:val="18"/>
        </w:rPr>
        <w:t xml:space="preserve"> el estrecho de</w:t>
      </w:r>
      <w:r w:rsidRPr="00552302">
        <w:rPr>
          <w:rFonts w:ascii="Poppins" w:hAnsi="Poppins" w:cs="Poppins"/>
          <w:sz w:val="18"/>
          <w:szCs w:val="18"/>
        </w:rPr>
        <w:t xml:space="preserve"> Bab el-Mandeb mediante los hutíes, aumentando el riesgo de afectación simultánea de las dos principales rutas de exportación de Oriente Medio. En este contexto, el Brent y el WTI </w:t>
      </w:r>
      <w:r>
        <w:rPr>
          <w:rFonts w:ascii="Poppins" w:hAnsi="Poppins" w:cs="Poppins"/>
          <w:sz w:val="18"/>
          <w:szCs w:val="18"/>
        </w:rPr>
        <w:t>se elevaron</w:t>
      </w:r>
      <w:r w:rsidRPr="00552302">
        <w:rPr>
          <w:rFonts w:ascii="Poppins" w:hAnsi="Poppins" w:cs="Poppins"/>
          <w:sz w:val="18"/>
          <w:szCs w:val="18"/>
        </w:rPr>
        <w:t xml:space="preserve"> 15,91% y 15,52% semanal, respectivamente.</w:t>
      </w:r>
    </w:p>
    <w:p w14:paraId="3989FC52" w14:textId="77777777" w:rsidR="00647DA0" w:rsidRDefault="00647DA0" w:rsidP="00647DA0">
      <w:pPr>
        <w:shd w:val="clear" w:color="auto" w:fill="FFFFFF"/>
        <w:ind w:left="425"/>
        <w:jc w:val="both"/>
        <w:rPr>
          <w:rFonts w:ascii="Poppins" w:hAnsi="Poppins" w:cs="Poppins"/>
          <w:sz w:val="18"/>
          <w:szCs w:val="18"/>
        </w:rPr>
      </w:pPr>
    </w:p>
    <w:p w14:paraId="7DA1AF2D" w14:textId="77777777" w:rsidR="00647DA0" w:rsidRDefault="00647DA0" w:rsidP="00647DA0">
      <w:pPr>
        <w:shd w:val="clear" w:color="auto" w:fill="FFFFFF"/>
        <w:ind w:left="425"/>
        <w:jc w:val="both"/>
        <w:rPr>
          <w:rFonts w:ascii="Poppins" w:hAnsi="Poppins" w:cs="Poppins"/>
          <w:sz w:val="18"/>
          <w:szCs w:val="18"/>
        </w:rPr>
      </w:pPr>
      <w:r w:rsidRPr="0057331F">
        <w:rPr>
          <w:rFonts w:ascii="Poppins" w:hAnsi="Poppins" w:cs="Poppins"/>
          <w:sz w:val="18"/>
          <w:szCs w:val="18"/>
        </w:rPr>
        <w:t>Entre el 20 y el 26 de julio, el conflicto se amplió hacia el mar Rojo. Los hutíes declararon un bloqueo naval contra Arabia Saudita y reivindicaron ataques contra dos petroleros saudíes en Bab el-Mandeb, mientras EE.UU. acumuló trece noches consecutivas de ataques contra Irán</w:t>
      </w:r>
      <w:r>
        <w:rPr>
          <w:rFonts w:ascii="Poppins" w:hAnsi="Poppins" w:cs="Poppins"/>
          <w:sz w:val="18"/>
          <w:szCs w:val="18"/>
        </w:rPr>
        <w:t xml:space="preserve">, mientras que el país persa </w:t>
      </w:r>
      <w:r w:rsidRPr="0057331F">
        <w:rPr>
          <w:rFonts w:ascii="Poppins" w:hAnsi="Poppins" w:cs="Poppins"/>
          <w:sz w:val="18"/>
          <w:szCs w:val="18"/>
        </w:rPr>
        <w:t xml:space="preserve">respondió contra posiciones estadounidenses y aliadas. En </w:t>
      </w:r>
      <w:r>
        <w:rPr>
          <w:rFonts w:ascii="Poppins" w:hAnsi="Poppins" w:cs="Poppins"/>
          <w:sz w:val="18"/>
          <w:szCs w:val="18"/>
        </w:rPr>
        <w:t xml:space="preserve">el estrecho de </w:t>
      </w:r>
      <w:r w:rsidRPr="0057331F">
        <w:rPr>
          <w:rFonts w:ascii="Poppins" w:hAnsi="Poppins" w:cs="Poppins"/>
          <w:sz w:val="18"/>
          <w:szCs w:val="18"/>
        </w:rPr>
        <w:t xml:space="preserve">Ormuz, el tránsito permaneció prácticamente paralizado, con apenas tres embarcaciones diarias entre el 22 y el 24 de julio. </w:t>
      </w:r>
      <w:r w:rsidRPr="00C852FF">
        <w:rPr>
          <w:rFonts w:ascii="Poppins" w:hAnsi="Poppins" w:cs="Poppins"/>
          <w:sz w:val="18"/>
          <w:szCs w:val="18"/>
        </w:rPr>
        <w:t xml:space="preserve">Sin embargo, el Pentágono suspendió su campaña aérea la noche del viernes 24 y no se registraron nuevos ataques estadounidenses durante el sábado y el domingo. La medida no constituyó una tregua formal ni un nuevo acuerdo firmado, sino una pausa unilateral y táctica destinada, según </w:t>
      </w:r>
      <w:r>
        <w:rPr>
          <w:rFonts w:ascii="Poppins" w:hAnsi="Poppins" w:cs="Poppins"/>
          <w:sz w:val="18"/>
          <w:szCs w:val="18"/>
        </w:rPr>
        <w:t>EE.UU.</w:t>
      </w:r>
      <w:r w:rsidRPr="00C852FF">
        <w:rPr>
          <w:rFonts w:ascii="Poppins" w:hAnsi="Poppins" w:cs="Poppins"/>
          <w:sz w:val="18"/>
          <w:szCs w:val="18"/>
        </w:rPr>
        <w:t>, a dar espacio a las negociaciones. Irán respondió aplicando un criterio de reciprocidad</w:t>
      </w:r>
      <w:r>
        <w:rPr>
          <w:rFonts w:ascii="Poppins" w:hAnsi="Poppins" w:cs="Poppins"/>
          <w:sz w:val="18"/>
          <w:szCs w:val="18"/>
        </w:rPr>
        <w:t xml:space="preserve"> y</w:t>
      </w:r>
      <w:r w:rsidRPr="00C852FF">
        <w:rPr>
          <w:rFonts w:ascii="Poppins" w:hAnsi="Poppins" w:cs="Poppins"/>
          <w:sz w:val="18"/>
          <w:szCs w:val="18"/>
        </w:rPr>
        <w:t xml:space="preserve"> señaló que mantendría suspendidas sus represalias mientras EE.UU. no reanudara los bombardeos, con lo cual ambas partes completaron dos días sin ataques directos</w:t>
      </w:r>
      <w:r>
        <w:rPr>
          <w:rFonts w:ascii="Poppins" w:hAnsi="Poppins" w:cs="Poppins"/>
          <w:sz w:val="18"/>
          <w:szCs w:val="18"/>
        </w:rPr>
        <w:t>.</w:t>
      </w:r>
    </w:p>
    <w:p w14:paraId="3ECA45F0" w14:textId="77777777" w:rsidR="00647DA0" w:rsidRDefault="00647DA0" w:rsidP="00647DA0">
      <w:pPr>
        <w:shd w:val="clear" w:color="auto" w:fill="FFFFFF"/>
        <w:ind w:left="425"/>
        <w:jc w:val="both"/>
        <w:rPr>
          <w:rFonts w:ascii="Poppins" w:hAnsi="Poppins" w:cs="Poppins"/>
          <w:sz w:val="18"/>
          <w:szCs w:val="18"/>
        </w:rPr>
      </w:pPr>
    </w:p>
    <w:p w14:paraId="70E9D3F0" w14:textId="77777777" w:rsidR="00647DA0" w:rsidRDefault="00647DA0" w:rsidP="00647DA0">
      <w:pPr>
        <w:shd w:val="clear" w:color="auto" w:fill="FFFFFF"/>
        <w:ind w:left="425"/>
        <w:jc w:val="both"/>
        <w:rPr>
          <w:rFonts w:ascii="Poppins" w:hAnsi="Poppins" w:cs="Poppins"/>
          <w:sz w:val="18"/>
          <w:szCs w:val="18"/>
        </w:rPr>
      </w:pPr>
      <w:r w:rsidRPr="006C669C">
        <w:rPr>
          <w:rFonts w:ascii="Poppins" w:hAnsi="Poppins" w:cs="Poppins"/>
          <w:sz w:val="18"/>
          <w:szCs w:val="18"/>
        </w:rPr>
        <w:t xml:space="preserve">Entre el 27 de julio y el 2 de agosto, la pausa táctica iniciada el fin de semana anterior se desvaneció sin transformarse en un alto el fuego formal. Las expectativas de desescalada impulsadas por Omán fueron desplazadas el 29 de julio por nuevos ataques de EE.UU. y Arabia Saudita contra posiciones de grupos respaldados por Irán en Irak, seguidos de acciones estadounidenses contra objetivos de la Guardia Revolucionaria y respuestas iraníes contra fuerzas norteamericanas. Omán mantuvo su mediación y presentó un mecanismo respaldado por países del Golfo para habilitar una ruta alternativa y contribuciones voluntarias en Ormuz; sin embargo, Irán rechazó una gestión regional conjunta y negó que existieran negociaciones formales con </w:t>
      </w:r>
      <w:r>
        <w:rPr>
          <w:rFonts w:ascii="Poppins" w:hAnsi="Poppins" w:cs="Poppins"/>
          <w:sz w:val="18"/>
          <w:szCs w:val="18"/>
        </w:rPr>
        <w:t>EE.UU</w:t>
      </w:r>
      <w:r w:rsidRPr="006C669C">
        <w:rPr>
          <w:rFonts w:ascii="Poppins" w:hAnsi="Poppins" w:cs="Poppins"/>
          <w:sz w:val="18"/>
          <w:szCs w:val="18"/>
        </w:rPr>
        <w:t>.</w:t>
      </w:r>
    </w:p>
    <w:p w14:paraId="55749087" w14:textId="77777777" w:rsidR="00647DA0" w:rsidRDefault="00647DA0" w:rsidP="00647DA0">
      <w:pPr>
        <w:shd w:val="clear" w:color="auto" w:fill="FFFFFF"/>
        <w:ind w:left="425"/>
        <w:jc w:val="both"/>
        <w:rPr>
          <w:rFonts w:ascii="Poppins" w:hAnsi="Poppins" w:cs="Poppins"/>
          <w:sz w:val="18"/>
          <w:szCs w:val="18"/>
        </w:rPr>
      </w:pPr>
    </w:p>
    <w:p w14:paraId="73D96C13" w14:textId="77777777" w:rsidR="00647DA0" w:rsidRDefault="00647DA0" w:rsidP="00647DA0">
      <w:pPr>
        <w:shd w:val="clear" w:color="auto" w:fill="FFFFFF"/>
        <w:ind w:left="425"/>
        <w:jc w:val="both"/>
        <w:rPr>
          <w:rFonts w:ascii="Poppins" w:hAnsi="Poppins" w:cs="Poppins"/>
          <w:sz w:val="18"/>
          <w:szCs w:val="18"/>
        </w:rPr>
      </w:pPr>
      <w:r w:rsidRPr="0041526B">
        <w:rPr>
          <w:rFonts w:ascii="Poppins" w:hAnsi="Poppins" w:cs="Poppins"/>
          <w:sz w:val="18"/>
          <w:szCs w:val="18"/>
        </w:rPr>
        <w:t>En el frente marítimo, Ormuz permaneció prácticamente paralizado</w:t>
      </w:r>
      <w:r>
        <w:rPr>
          <w:rFonts w:ascii="Poppins" w:hAnsi="Poppins" w:cs="Poppins"/>
          <w:sz w:val="18"/>
          <w:szCs w:val="18"/>
        </w:rPr>
        <w:t>. S</w:t>
      </w:r>
      <w:r w:rsidRPr="0041526B">
        <w:rPr>
          <w:rFonts w:ascii="Poppins" w:hAnsi="Poppins" w:cs="Poppins"/>
          <w:sz w:val="18"/>
          <w:szCs w:val="18"/>
        </w:rPr>
        <w:t xml:space="preserve">eis buques de materias primas cruzaron el 28 de julio y solo dos VLCC lograron salir el día 31, transportando cerca de 2 millones de barriles cada uno. </w:t>
      </w:r>
      <w:r>
        <w:rPr>
          <w:rFonts w:ascii="Poppins" w:hAnsi="Poppins" w:cs="Poppins"/>
          <w:sz w:val="18"/>
          <w:szCs w:val="18"/>
        </w:rPr>
        <w:t xml:space="preserve">El Estrecho de </w:t>
      </w:r>
      <w:r w:rsidRPr="0041526B">
        <w:rPr>
          <w:rFonts w:ascii="Poppins" w:hAnsi="Poppins" w:cs="Poppins"/>
          <w:sz w:val="18"/>
          <w:szCs w:val="18"/>
        </w:rPr>
        <w:t>Bab el-Mandeb registró una recuperación parcial, con 28 cruces el 27 de julio y 29 el día 30, aunque persistieron las amenazas hutíes y el riesgo sobre instalaciones saudíes. El 1 de agosto, EE.UU. suspendió una nueva ofensiva para facilitar la mediación omaní, pero la falta de un acuerdo sobre el programa nuclear, la seguridad marítima y el control de Ormuz mantuvo elevada la posibilidad de una nueva escalada</w:t>
      </w:r>
      <w:r>
        <w:rPr>
          <w:rFonts w:ascii="Poppins" w:hAnsi="Poppins" w:cs="Poppins"/>
          <w:sz w:val="18"/>
          <w:szCs w:val="18"/>
        </w:rPr>
        <w:t>.</w:t>
      </w:r>
    </w:p>
    <w:p w14:paraId="7713F75B" w14:textId="77777777" w:rsidR="00647DA0" w:rsidRDefault="00647DA0" w:rsidP="00647DA0">
      <w:pPr>
        <w:shd w:val="clear" w:color="auto" w:fill="FFFFFF"/>
        <w:ind w:left="425"/>
        <w:jc w:val="both"/>
        <w:rPr>
          <w:rFonts w:ascii="Poppins" w:hAnsi="Poppins" w:cs="Poppins"/>
          <w:sz w:val="18"/>
          <w:szCs w:val="18"/>
        </w:rPr>
      </w:pPr>
    </w:p>
    <w:p w14:paraId="540551F9" w14:textId="77777777" w:rsidR="00647DA0" w:rsidRDefault="00647DA0" w:rsidP="00647DA0">
      <w:pPr>
        <w:shd w:val="clear" w:color="auto" w:fill="FFFFFF"/>
        <w:ind w:left="425"/>
        <w:jc w:val="both"/>
        <w:rPr>
          <w:rFonts w:ascii="Poppins" w:hAnsi="Poppins" w:cs="Poppins"/>
          <w:sz w:val="18"/>
          <w:szCs w:val="18"/>
        </w:rPr>
      </w:pPr>
      <w:r w:rsidRPr="0041526B">
        <w:rPr>
          <w:rFonts w:ascii="Poppins" w:hAnsi="Poppins" w:cs="Poppins"/>
          <w:sz w:val="18"/>
          <w:szCs w:val="18"/>
        </w:rPr>
        <w:t>En consecuencia, la semana presentó una señal bajista para los precios, pero sin una reducción equivalente del riesgo físico de suministro. Las expectativas de negociación y la suspensión de nuevos ataques redujeron temporalmente la prima geopolítica; no obstante, la reanudación de las hostilidades, la ausencia de un acuerdo formal, el rechazo iraní a una gestión regional de Ormuz y el tránsito marítimo mínimo impidieron una normalización efectiva. Bab el-Mandeb recuperó parcialmente sus cruces, pero continuó expuesto a las amenazas hutíes, manteniendo abiertos dos focos simultáneos de riesgo para los flujos energéticos de Oriente Medio.</w:t>
      </w:r>
    </w:p>
    <w:p w14:paraId="6B26974B" w14:textId="77777777" w:rsidR="00647DA0" w:rsidRDefault="00647DA0" w:rsidP="00647DA0">
      <w:pPr>
        <w:shd w:val="clear" w:color="auto" w:fill="FFFFFF"/>
        <w:ind w:left="425"/>
        <w:jc w:val="both"/>
        <w:rPr>
          <w:rFonts w:ascii="Poppins" w:hAnsi="Poppins" w:cs="Poppins"/>
          <w:sz w:val="18"/>
          <w:szCs w:val="18"/>
        </w:rPr>
      </w:pPr>
    </w:p>
    <w:p w14:paraId="2DC23B87" w14:textId="77777777" w:rsidR="00647DA0" w:rsidRPr="004511A2" w:rsidRDefault="00647DA0" w:rsidP="00647DA0">
      <w:pPr>
        <w:pStyle w:val="Prrafodelista"/>
        <w:numPr>
          <w:ilvl w:val="0"/>
          <w:numId w:val="30"/>
        </w:numPr>
        <w:ind w:left="425"/>
        <w:contextualSpacing/>
        <w:jc w:val="both"/>
        <w:rPr>
          <w:rFonts w:ascii="Poppins" w:hAnsi="Poppins" w:cs="Poppins"/>
          <w:b/>
          <w:sz w:val="18"/>
          <w:szCs w:val="18"/>
        </w:rPr>
      </w:pPr>
      <w:r w:rsidRPr="00D55659">
        <w:rPr>
          <w:rFonts w:ascii="Poppins" w:hAnsi="Poppins" w:cs="Poppins"/>
          <w:b/>
          <w:sz w:val="18"/>
          <w:szCs w:val="18"/>
        </w:rPr>
        <w:t>La aplicación de zonas piloto reduce la violencia, pero el desarme de Hezbolá y la presencia israelí mantienen frágil la tregua</w:t>
      </w:r>
    </w:p>
    <w:p w14:paraId="0F7276C6" w14:textId="77777777" w:rsidR="00647DA0" w:rsidRPr="004511A2" w:rsidRDefault="00647DA0" w:rsidP="00647DA0">
      <w:pPr>
        <w:shd w:val="clear" w:color="auto" w:fill="FFFFFF"/>
        <w:ind w:left="425"/>
        <w:jc w:val="both"/>
        <w:rPr>
          <w:rFonts w:ascii="Poppins" w:hAnsi="Poppins" w:cs="Poppins"/>
          <w:sz w:val="18"/>
          <w:szCs w:val="18"/>
        </w:rPr>
      </w:pPr>
    </w:p>
    <w:p w14:paraId="35433D68" w14:textId="77777777" w:rsidR="00647DA0" w:rsidRDefault="00647DA0" w:rsidP="00647DA0">
      <w:pPr>
        <w:shd w:val="clear" w:color="auto" w:fill="FFFFFF"/>
        <w:ind w:left="425"/>
        <w:jc w:val="both"/>
        <w:rPr>
          <w:rFonts w:ascii="Poppins" w:hAnsi="Poppins" w:cs="Poppins"/>
          <w:sz w:val="18"/>
          <w:szCs w:val="18"/>
        </w:rPr>
      </w:pPr>
      <w:r w:rsidRPr="00867D0F">
        <w:rPr>
          <w:rFonts w:ascii="Poppins" w:hAnsi="Poppins" w:cs="Poppins"/>
          <w:sz w:val="18"/>
          <w:szCs w:val="18"/>
        </w:rPr>
        <w:t>Los enfrentamientos permanecieron por debajo de sus fases más intensas, mientras la atención se desplazó hacia la implementación del acuerdo del 3 de junio, mediado por EE.UU. y reforzado por el acuerdo marco firmado en Washington el 26 de junio. El primer ensayo en Zawtar al-Gharbiyeh permitió el despliegue del Ejército libanés y el retorno gradual de civiles; sin embargo, apenas 15 familias habían regresado y gran parte de las viviendas continuaba inhabitable debido a los daños ocasionados por la guerra.</w:t>
      </w:r>
    </w:p>
    <w:p w14:paraId="6F979073" w14:textId="77777777" w:rsidR="00647DA0" w:rsidRPr="008677A2" w:rsidRDefault="00647DA0" w:rsidP="00647DA0">
      <w:pPr>
        <w:shd w:val="clear" w:color="auto" w:fill="FFFFFF"/>
        <w:ind w:left="425"/>
        <w:jc w:val="both"/>
        <w:rPr>
          <w:rFonts w:ascii="Poppins" w:hAnsi="Poppins" w:cs="Poppins"/>
          <w:sz w:val="18"/>
          <w:szCs w:val="18"/>
        </w:rPr>
      </w:pPr>
    </w:p>
    <w:p w14:paraId="248D8B88" w14:textId="77777777" w:rsidR="00647DA0" w:rsidRPr="008677A2" w:rsidRDefault="00647DA0" w:rsidP="00647DA0">
      <w:pPr>
        <w:shd w:val="clear" w:color="auto" w:fill="FFFFFF"/>
        <w:ind w:left="425"/>
        <w:jc w:val="both"/>
        <w:rPr>
          <w:rFonts w:ascii="Poppins" w:hAnsi="Poppins" w:cs="Poppins"/>
          <w:sz w:val="18"/>
          <w:szCs w:val="18"/>
        </w:rPr>
      </w:pPr>
      <w:r w:rsidRPr="008677A2">
        <w:rPr>
          <w:rFonts w:ascii="Poppins" w:hAnsi="Poppins" w:cs="Poppins"/>
          <w:sz w:val="18"/>
          <w:szCs w:val="18"/>
        </w:rPr>
        <w:t>El avance territorial fue limitado. Fuerzas israelíes continuaron desplegadas cerca de la localidad y dentro de una franja de seguridad de hasta 10 kilómetros en el sur del Líbano. Además, el acuerdo no establece plazos concretos para los retiros ni un mecanismo o tercero encargado de verificar la eliminación de armas e infraestructura de Hezbolá, condición exigida por Israel para abandonar progresivamente las áreas ocupadas.</w:t>
      </w:r>
    </w:p>
    <w:p w14:paraId="652EAEB4" w14:textId="77777777" w:rsidR="00647DA0" w:rsidRPr="008677A2" w:rsidRDefault="00647DA0" w:rsidP="00647DA0">
      <w:pPr>
        <w:shd w:val="clear" w:color="auto" w:fill="FFFFFF"/>
        <w:ind w:left="425"/>
        <w:jc w:val="both"/>
        <w:rPr>
          <w:rFonts w:ascii="Poppins" w:hAnsi="Poppins" w:cs="Poppins"/>
          <w:sz w:val="18"/>
          <w:szCs w:val="18"/>
        </w:rPr>
      </w:pPr>
    </w:p>
    <w:p w14:paraId="4AF12879" w14:textId="77777777" w:rsidR="00647DA0" w:rsidRDefault="00647DA0" w:rsidP="00647DA0">
      <w:pPr>
        <w:shd w:val="clear" w:color="auto" w:fill="FFFFFF"/>
        <w:ind w:left="425"/>
        <w:jc w:val="both"/>
        <w:rPr>
          <w:rFonts w:ascii="Poppins" w:hAnsi="Poppins" w:cs="Poppins"/>
          <w:sz w:val="18"/>
          <w:szCs w:val="18"/>
        </w:rPr>
      </w:pPr>
      <w:r w:rsidRPr="008677A2">
        <w:rPr>
          <w:rFonts w:ascii="Poppins" w:hAnsi="Poppins" w:cs="Poppins"/>
          <w:sz w:val="18"/>
          <w:szCs w:val="18"/>
        </w:rPr>
        <w:t>Líbano planteó ampliar el modelo hacia dos o tres zonas mayores para acelerar los retiros, propuesta prevista para la siguiente ronda de conversaciones en Roma. Sin embargo, Hezbolá mantiene su rechazo al desarme y advierte que una imposición por la fuerza podría provocar una confrontación interna. En consecuencia, las zonas piloto reducen el riesgo inmediato de una guerra abierta, pero la ocupación israelí, la falta de verificación y el desacuerdo sobre las armas mantienen frágil la tregua.</w:t>
      </w:r>
    </w:p>
    <w:p w14:paraId="20AA982E" w14:textId="77777777" w:rsidR="00647DA0" w:rsidRDefault="00647DA0" w:rsidP="00647DA0">
      <w:pPr>
        <w:shd w:val="clear" w:color="auto" w:fill="FFFFFF"/>
        <w:ind w:left="425"/>
        <w:jc w:val="both"/>
        <w:rPr>
          <w:rFonts w:ascii="Poppins" w:hAnsi="Poppins" w:cs="Poppins"/>
          <w:sz w:val="18"/>
          <w:szCs w:val="18"/>
        </w:rPr>
      </w:pPr>
    </w:p>
    <w:p w14:paraId="4B9CD79B" w14:textId="77777777" w:rsidR="00647DA0" w:rsidRPr="00E36B6B" w:rsidRDefault="00647DA0" w:rsidP="00647DA0">
      <w:pPr>
        <w:pStyle w:val="Prrafodelista"/>
        <w:numPr>
          <w:ilvl w:val="0"/>
          <w:numId w:val="30"/>
        </w:numPr>
        <w:ind w:left="425"/>
        <w:contextualSpacing/>
        <w:jc w:val="both"/>
        <w:rPr>
          <w:rFonts w:ascii="Poppins" w:hAnsi="Poppins" w:cs="Poppins"/>
          <w:b/>
          <w:sz w:val="18"/>
          <w:szCs w:val="18"/>
        </w:rPr>
      </w:pPr>
      <w:r w:rsidRPr="00363DA2">
        <w:rPr>
          <w:rFonts w:ascii="Poppins" w:hAnsi="Poppins" w:cs="Poppins"/>
          <w:b/>
          <w:sz w:val="18"/>
          <w:szCs w:val="18"/>
        </w:rPr>
        <w:t xml:space="preserve">Ataques </w:t>
      </w:r>
      <w:r>
        <w:rPr>
          <w:rFonts w:ascii="Poppins" w:hAnsi="Poppins" w:cs="Poppins"/>
          <w:b/>
          <w:sz w:val="18"/>
          <w:szCs w:val="18"/>
        </w:rPr>
        <w:t xml:space="preserve">ucranianos paralizan el terminal </w:t>
      </w:r>
      <w:r w:rsidRPr="00363DA2">
        <w:rPr>
          <w:rFonts w:ascii="Poppins" w:hAnsi="Poppins" w:cs="Poppins"/>
          <w:b/>
          <w:sz w:val="18"/>
          <w:szCs w:val="18"/>
        </w:rPr>
        <w:t>CPC y</w:t>
      </w:r>
      <w:r>
        <w:rPr>
          <w:rFonts w:ascii="Poppins" w:hAnsi="Poppins" w:cs="Poppins"/>
          <w:b/>
          <w:sz w:val="18"/>
          <w:szCs w:val="18"/>
        </w:rPr>
        <w:t xml:space="preserve"> amplían los cierres de refinerías rusas</w:t>
      </w:r>
      <w:r w:rsidRPr="00363DA2">
        <w:rPr>
          <w:rFonts w:ascii="Poppins" w:hAnsi="Poppins" w:cs="Poppins"/>
          <w:b/>
          <w:sz w:val="18"/>
          <w:szCs w:val="18"/>
        </w:rPr>
        <w:t>, agravando la escasez de combustibles en Rusia</w:t>
      </w:r>
    </w:p>
    <w:p w14:paraId="5B08264E" w14:textId="77777777" w:rsidR="00647DA0" w:rsidRPr="00E36B6B" w:rsidRDefault="00647DA0" w:rsidP="00647DA0">
      <w:pPr>
        <w:shd w:val="clear" w:color="auto" w:fill="FFFFFF"/>
        <w:ind w:left="425"/>
        <w:jc w:val="both"/>
        <w:rPr>
          <w:rFonts w:ascii="Poppins" w:hAnsi="Poppins" w:cs="Poppins"/>
          <w:sz w:val="18"/>
          <w:szCs w:val="18"/>
        </w:rPr>
      </w:pPr>
    </w:p>
    <w:p w14:paraId="62B265BC" w14:textId="77777777" w:rsidR="00647DA0" w:rsidRPr="00C51513" w:rsidRDefault="00647DA0" w:rsidP="00647DA0">
      <w:pPr>
        <w:shd w:val="clear" w:color="auto" w:fill="FFFFFF"/>
        <w:ind w:left="425"/>
        <w:jc w:val="both"/>
        <w:rPr>
          <w:rFonts w:ascii="Poppins" w:hAnsi="Poppins" w:cs="Poppins"/>
          <w:sz w:val="18"/>
          <w:szCs w:val="18"/>
        </w:rPr>
      </w:pPr>
      <w:r w:rsidRPr="00C51513">
        <w:rPr>
          <w:rFonts w:ascii="Poppins" w:hAnsi="Poppins" w:cs="Poppins"/>
          <w:sz w:val="18"/>
          <w:szCs w:val="18"/>
        </w:rPr>
        <w:t xml:space="preserve">Ucrania intensificó su ofensiva contra la infraestructura energética rusa. El 30 de julio, el terminal marítimo del Caspian Pipeline Consortium (CPC) suspendió cargas por tercera vez en el mes, apenas dos días después de reabrir, tras ataques contra los petroleros Nissos </w:t>
      </w:r>
      <w:r w:rsidRPr="00C51513">
        <w:rPr>
          <w:rFonts w:ascii="Poppins" w:hAnsi="Poppins" w:cs="Poppins"/>
          <w:sz w:val="18"/>
          <w:szCs w:val="18"/>
        </w:rPr>
        <w:lastRenderedPageBreak/>
        <w:t>Sifnos y Marathi. El sistema transporta alrededor del 80% de las exportaciones petroleras de Kazajistán. Aunque las operaciones volvieron a reanudarse, los ataques recurrentes mantuvieron elevado el riesgo sobre este corredor.</w:t>
      </w:r>
    </w:p>
    <w:p w14:paraId="70F5D09C" w14:textId="77777777" w:rsidR="00647DA0" w:rsidRPr="00C51513" w:rsidRDefault="00647DA0" w:rsidP="00647DA0">
      <w:pPr>
        <w:shd w:val="clear" w:color="auto" w:fill="FFFFFF"/>
        <w:ind w:left="425"/>
        <w:jc w:val="both"/>
        <w:rPr>
          <w:rFonts w:ascii="Poppins" w:hAnsi="Poppins" w:cs="Poppins"/>
          <w:sz w:val="18"/>
          <w:szCs w:val="18"/>
        </w:rPr>
      </w:pPr>
    </w:p>
    <w:p w14:paraId="2150DF6B" w14:textId="77777777" w:rsidR="00647DA0" w:rsidRDefault="00647DA0" w:rsidP="00647DA0">
      <w:pPr>
        <w:shd w:val="clear" w:color="auto" w:fill="FFFFFF"/>
        <w:ind w:left="425"/>
        <w:jc w:val="both"/>
        <w:rPr>
          <w:rFonts w:ascii="Poppins" w:hAnsi="Poppins" w:cs="Poppins"/>
          <w:sz w:val="18"/>
          <w:szCs w:val="18"/>
        </w:rPr>
      </w:pPr>
      <w:r w:rsidRPr="00C51513">
        <w:rPr>
          <w:rFonts w:ascii="Poppins" w:hAnsi="Poppins" w:cs="Poppins"/>
          <w:sz w:val="18"/>
          <w:szCs w:val="18"/>
        </w:rPr>
        <w:t xml:space="preserve">Paralelamente, drones alcanzaron instalaciones en Yaroslavl, Riazán, Perm, Volgogrado y Saratov. La refinería de Riazán detuvo el procesamiento, Perm paralizó una unidad de destilación y Saratov fue atacada nuevamente el 2 de agosto. Estas interrupciones, sumadas al cierre previo de Tyumen, redujeron la producción rusa de gasolina a cerca del 65% de la demanda estacional. </w:t>
      </w:r>
      <w:r>
        <w:rPr>
          <w:rFonts w:ascii="Poppins" w:hAnsi="Poppins" w:cs="Poppins"/>
          <w:sz w:val="18"/>
          <w:szCs w:val="18"/>
        </w:rPr>
        <w:t>Rusia</w:t>
      </w:r>
      <w:r w:rsidRPr="00C51513">
        <w:rPr>
          <w:rFonts w:ascii="Poppins" w:hAnsi="Poppins" w:cs="Poppins"/>
          <w:sz w:val="18"/>
          <w:szCs w:val="18"/>
        </w:rPr>
        <w:t xml:space="preserve"> extendió las restricciones de exportación hasta enero de 2027 y amplió suministros desde Bielorrusia, Kazajistán, India y Marruecos, incluido un cargamento de 30</w:t>
      </w:r>
      <w:r>
        <w:rPr>
          <w:rFonts w:ascii="Poppins" w:hAnsi="Poppins" w:cs="Poppins"/>
          <w:sz w:val="18"/>
          <w:szCs w:val="18"/>
        </w:rPr>
        <w:t xml:space="preserve"> mil</w:t>
      </w:r>
      <w:r w:rsidRPr="00C51513">
        <w:rPr>
          <w:rFonts w:ascii="Poppins" w:hAnsi="Poppins" w:cs="Poppins"/>
          <w:sz w:val="18"/>
          <w:szCs w:val="18"/>
        </w:rPr>
        <w:t xml:space="preserve"> toneladas descargado en Murmansk</w:t>
      </w:r>
      <w:r>
        <w:rPr>
          <w:rFonts w:ascii="Poppins" w:hAnsi="Poppins" w:cs="Poppins"/>
          <w:sz w:val="18"/>
          <w:szCs w:val="18"/>
        </w:rPr>
        <w:t>.</w:t>
      </w:r>
    </w:p>
    <w:p w14:paraId="3697D155" w14:textId="77777777" w:rsidR="00647DA0" w:rsidRDefault="00647DA0" w:rsidP="00647DA0">
      <w:pPr>
        <w:shd w:val="clear" w:color="auto" w:fill="FFFFFF"/>
        <w:ind w:left="425"/>
        <w:jc w:val="both"/>
        <w:rPr>
          <w:rFonts w:ascii="Poppins" w:hAnsi="Poppins" w:cs="Poppins"/>
          <w:sz w:val="18"/>
          <w:szCs w:val="18"/>
        </w:rPr>
      </w:pPr>
    </w:p>
    <w:p w14:paraId="79466BF6" w14:textId="77777777" w:rsidR="00647DA0" w:rsidRPr="002D3A6F" w:rsidRDefault="00647DA0" w:rsidP="00647DA0">
      <w:pPr>
        <w:pStyle w:val="Prrafodelista"/>
        <w:numPr>
          <w:ilvl w:val="0"/>
          <w:numId w:val="30"/>
        </w:numPr>
        <w:ind w:left="425"/>
        <w:contextualSpacing/>
        <w:jc w:val="both"/>
        <w:rPr>
          <w:rFonts w:ascii="Poppins" w:hAnsi="Poppins" w:cs="Poppins"/>
          <w:b/>
          <w:sz w:val="18"/>
          <w:szCs w:val="18"/>
        </w:rPr>
      </w:pPr>
      <w:r w:rsidRPr="00A17839">
        <w:rPr>
          <w:rFonts w:ascii="Poppins" w:hAnsi="Poppins" w:cs="Poppins"/>
          <w:b/>
          <w:sz w:val="18"/>
          <w:szCs w:val="18"/>
        </w:rPr>
        <w:t>China recupera parcialmente sus importaciones de crudo</w:t>
      </w:r>
      <w:r w:rsidRPr="00276216">
        <w:rPr>
          <w:rFonts w:ascii="Poppins" w:hAnsi="Poppins" w:cs="Poppins"/>
          <w:b/>
          <w:sz w:val="18"/>
          <w:szCs w:val="18"/>
        </w:rPr>
        <w:t>,</w:t>
      </w:r>
      <w:r>
        <w:rPr>
          <w:rFonts w:ascii="Poppins" w:hAnsi="Poppins" w:cs="Poppins"/>
          <w:b/>
          <w:sz w:val="18"/>
          <w:szCs w:val="18"/>
        </w:rPr>
        <w:t xml:space="preserve"> </w:t>
      </w:r>
      <w:r w:rsidRPr="00276216">
        <w:rPr>
          <w:rFonts w:ascii="Poppins" w:hAnsi="Poppins" w:cs="Poppins"/>
          <w:b/>
          <w:sz w:val="18"/>
          <w:szCs w:val="18"/>
        </w:rPr>
        <w:t>mientras mayores exportaciones de combustibles amplían la oferta asiática</w:t>
      </w:r>
    </w:p>
    <w:p w14:paraId="1DA8C484" w14:textId="77777777" w:rsidR="00647DA0" w:rsidRPr="002D3A6F" w:rsidRDefault="00647DA0" w:rsidP="00647DA0">
      <w:pPr>
        <w:shd w:val="clear" w:color="auto" w:fill="FFFFFF"/>
        <w:ind w:left="425"/>
        <w:jc w:val="both"/>
        <w:rPr>
          <w:rFonts w:ascii="Poppins" w:hAnsi="Poppins" w:cs="Poppins"/>
          <w:sz w:val="18"/>
          <w:szCs w:val="18"/>
        </w:rPr>
      </w:pPr>
    </w:p>
    <w:p w14:paraId="6E87B113" w14:textId="77777777" w:rsidR="00647DA0" w:rsidRPr="00A17839" w:rsidRDefault="00647DA0" w:rsidP="00647DA0">
      <w:pPr>
        <w:shd w:val="clear" w:color="auto" w:fill="FFFFFF"/>
        <w:ind w:left="425"/>
        <w:jc w:val="both"/>
        <w:rPr>
          <w:rFonts w:ascii="Poppins" w:hAnsi="Poppins" w:cs="Poppins"/>
          <w:sz w:val="18"/>
          <w:szCs w:val="18"/>
        </w:rPr>
      </w:pPr>
      <w:r w:rsidRPr="00A17839">
        <w:rPr>
          <w:rFonts w:ascii="Poppins" w:hAnsi="Poppins" w:cs="Poppins"/>
          <w:sz w:val="18"/>
          <w:szCs w:val="18"/>
        </w:rPr>
        <w:t>Las llegadas marítimas de crudo a China aumentaron a 6,94 millones de bpd en julio, desde el mínimo de una década de 5,99 millones de bpd en junio, según Kpler. Sin embargo, permanecieron 39% por debajo del promedio pre</w:t>
      </w:r>
      <w:r>
        <w:rPr>
          <w:rFonts w:ascii="Poppins" w:hAnsi="Poppins" w:cs="Poppins"/>
          <w:sz w:val="18"/>
          <w:szCs w:val="18"/>
        </w:rPr>
        <w:t>-</w:t>
      </w:r>
      <w:r w:rsidRPr="00A17839">
        <w:rPr>
          <w:rFonts w:ascii="Poppins" w:hAnsi="Poppins" w:cs="Poppins"/>
          <w:sz w:val="18"/>
          <w:szCs w:val="18"/>
        </w:rPr>
        <w:t xml:space="preserve">conflicto de 11,43 millones de bpd. La recuperación respondió principalmente a cargamentos liberados durante la tregua de junio, mientras la débil demanda interna, los elevados precios y el uso de inventarios continuaron limitando las compras. China dispondría de existencias superiores </w:t>
      </w:r>
      <w:r>
        <w:rPr>
          <w:rFonts w:ascii="Poppins" w:hAnsi="Poppins" w:cs="Poppins"/>
          <w:sz w:val="18"/>
          <w:szCs w:val="18"/>
        </w:rPr>
        <w:t>a 1 200</w:t>
      </w:r>
      <w:r w:rsidRPr="00A17839">
        <w:rPr>
          <w:rFonts w:ascii="Poppins" w:hAnsi="Poppins" w:cs="Poppins"/>
          <w:sz w:val="18"/>
          <w:szCs w:val="18"/>
        </w:rPr>
        <w:t xml:space="preserve"> millones de barriles, aunque una reducción prolongada de importaciones aumentaría la necesidad de recurrir a esas reservas.</w:t>
      </w:r>
    </w:p>
    <w:p w14:paraId="66A11DC9" w14:textId="77777777" w:rsidR="00647DA0" w:rsidRPr="00A17839" w:rsidRDefault="00647DA0" w:rsidP="00647DA0">
      <w:pPr>
        <w:shd w:val="clear" w:color="auto" w:fill="FFFFFF"/>
        <w:ind w:left="425"/>
        <w:jc w:val="both"/>
        <w:rPr>
          <w:rFonts w:ascii="Poppins" w:hAnsi="Poppins" w:cs="Poppins"/>
          <w:sz w:val="18"/>
          <w:szCs w:val="18"/>
        </w:rPr>
      </w:pPr>
    </w:p>
    <w:p w14:paraId="4E0099D6" w14:textId="77777777" w:rsidR="00647DA0" w:rsidRDefault="00647DA0" w:rsidP="00647DA0">
      <w:pPr>
        <w:shd w:val="clear" w:color="auto" w:fill="FFFFFF"/>
        <w:ind w:left="425"/>
        <w:jc w:val="both"/>
        <w:rPr>
          <w:rFonts w:ascii="Poppins" w:hAnsi="Poppins" w:cs="Poppins"/>
          <w:sz w:val="18"/>
          <w:szCs w:val="18"/>
        </w:rPr>
      </w:pPr>
      <w:r w:rsidRPr="00A17839">
        <w:rPr>
          <w:rFonts w:ascii="Poppins" w:hAnsi="Poppins" w:cs="Poppins"/>
          <w:sz w:val="18"/>
          <w:szCs w:val="18"/>
        </w:rPr>
        <w:t>Paralelamente, China flexibilizó en julio las restricciones impuestas a las exportaciones de gasolina, diésel y combustible de aviación. Las refinerías programaron alrededor de 3 millones de toneladas, frente a 2 millones previstos inicialmente, incluyendo más de 400 mil toneladas de gasolina, entre 600 mil y 700 mil de diésel y cerca de 1,9 millones de jet fuel. Kpler estimó embarques de destilados ligeros y medios por 787 mil bpd, casi el doble que en junio. No obstante, estos volúmenes corresponden todavía a estimaciones marítimas y programas de carga, pues el dato aduanero definitivo de julio aún no había sido publicado.</w:t>
      </w:r>
    </w:p>
    <w:p w14:paraId="081A7D37" w14:textId="77777777" w:rsidR="00647DA0" w:rsidRDefault="00647DA0" w:rsidP="00647DA0">
      <w:pPr>
        <w:shd w:val="clear" w:color="auto" w:fill="FFFFFF"/>
        <w:ind w:left="425"/>
        <w:jc w:val="both"/>
        <w:rPr>
          <w:rFonts w:ascii="Poppins" w:hAnsi="Poppins" w:cs="Poppins"/>
          <w:sz w:val="18"/>
          <w:szCs w:val="18"/>
        </w:rPr>
      </w:pPr>
    </w:p>
    <w:p w14:paraId="7B424B9E" w14:textId="77777777" w:rsidR="00647DA0" w:rsidRPr="0044753D" w:rsidRDefault="00647DA0" w:rsidP="00647DA0">
      <w:pPr>
        <w:pStyle w:val="Prrafodelista"/>
        <w:numPr>
          <w:ilvl w:val="0"/>
          <w:numId w:val="30"/>
        </w:numPr>
        <w:ind w:left="425"/>
        <w:contextualSpacing/>
        <w:jc w:val="both"/>
        <w:rPr>
          <w:rFonts w:ascii="Poppins" w:hAnsi="Poppins" w:cs="Poppins"/>
          <w:b/>
          <w:sz w:val="18"/>
          <w:szCs w:val="18"/>
        </w:rPr>
      </w:pPr>
      <w:r w:rsidRPr="0044753D">
        <w:rPr>
          <w:rFonts w:ascii="Poppins" w:hAnsi="Poppins" w:cs="Poppins"/>
          <w:b/>
          <w:sz w:val="18"/>
          <w:szCs w:val="18"/>
        </w:rPr>
        <w:t>Nuevos aranceles elevan el riesgo de desaceleración del comercio mundial</w:t>
      </w:r>
    </w:p>
    <w:p w14:paraId="395BE5C8" w14:textId="77777777" w:rsidR="00647DA0" w:rsidRDefault="00647DA0" w:rsidP="00647DA0">
      <w:pPr>
        <w:shd w:val="clear" w:color="auto" w:fill="FFFFFF"/>
        <w:ind w:left="425"/>
        <w:jc w:val="both"/>
        <w:rPr>
          <w:rFonts w:ascii="Poppins" w:hAnsi="Poppins" w:cs="Poppins"/>
          <w:sz w:val="18"/>
          <w:szCs w:val="18"/>
        </w:rPr>
      </w:pPr>
    </w:p>
    <w:p w14:paraId="158B0D64" w14:textId="77777777" w:rsidR="00647DA0" w:rsidRDefault="00647DA0" w:rsidP="00647DA0">
      <w:pPr>
        <w:shd w:val="clear" w:color="auto" w:fill="FFFFFF"/>
        <w:ind w:left="425"/>
        <w:jc w:val="both"/>
        <w:rPr>
          <w:rFonts w:ascii="Poppins" w:hAnsi="Poppins" w:cs="Poppins"/>
          <w:sz w:val="18"/>
          <w:szCs w:val="18"/>
        </w:rPr>
      </w:pPr>
      <w:r w:rsidRPr="000E48D8">
        <w:rPr>
          <w:rFonts w:ascii="Poppins" w:hAnsi="Poppins" w:cs="Poppins"/>
          <w:sz w:val="18"/>
          <w:szCs w:val="18"/>
        </w:rPr>
        <w:t>Desde el 24 de julio, EE.UU. aplica aranceles adicionales de entre 10% y 12,5% a productos de 60 socios comerciales, que concentran el 99,4% del valor de sus importaciones, aunque existen exenciones sectoriales. Las medidas, justificadas por deficiencias en el control de mercancías vinculadas con trabajo forzoso, podrían elevar costos, reforzar la inflación y debilitar la actividad manufacturera, el transporte y la demanda de combustibles.</w:t>
      </w:r>
    </w:p>
    <w:p w14:paraId="128D5FBE" w14:textId="77777777" w:rsidR="00647DA0" w:rsidRPr="008945D5" w:rsidRDefault="00647DA0" w:rsidP="00647DA0">
      <w:pPr>
        <w:shd w:val="clear" w:color="auto" w:fill="FFFFFF"/>
        <w:ind w:left="425"/>
        <w:jc w:val="both"/>
        <w:rPr>
          <w:rFonts w:ascii="Poppins" w:hAnsi="Poppins" w:cs="Poppins"/>
          <w:sz w:val="18"/>
          <w:szCs w:val="18"/>
        </w:rPr>
      </w:pPr>
    </w:p>
    <w:p w14:paraId="65A5DFD8" w14:textId="4340D947" w:rsidR="00647DA0" w:rsidRDefault="00647DA0" w:rsidP="00647DA0">
      <w:pPr>
        <w:shd w:val="clear" w:color="auto" w:fill="FFFFFF"/>
        <w:ind w:left="425"/>
        <w:jc w:val="both"/>
        <w:rPr>
          <w:rFonts w:ascii="Poppins" w:hAnsi="Poppins" w:cs="Poppins"/>
          <w:sz w:val="18"/>
          <w:szCs w:val="18"/>
        </w:rPr>
      </w:pPr>
      <w:r w:rsidRPr="008945D5">
        <w:rPr>
          <w:rFonts w:ascii="Poppins" w:hAnsi="Poppins" w:cs="Poppins"/>
          <w:sz w:val="18"/>
          <w:szCs w:val="18"/>
        </w:rPr>
        <w:t>Perú recibió una tasa de 12,5%, que afectaría a casi la mitad de sus exportaciones hacia EE.UU., valorizadas en US$</w:t>
      </w:r>
      <w:r>
        <w:rPr>
          <w:rFonts w:ascii="Poppins" w:hAnsi="Poppins" w:cs="Poppins"/>
          <w:sz w:val="18"/>
          <w:szCs w:val="18"/>
        </w:rPr>
        <w:t xml:space="preserve"> </w:t>
      </w:r>
      <w:r w:rsidRPr="008945D5">
        <w:rPr>
          <w:rFonts w:ascii="Poppins" w:hAnsi="Poppins" w:cs="Poppins"/>
          <w:sz w:val="18"/>
          <w:szCs w:val="18"/>
        </w:rPr>
        <w:t>10</w:t>
      </w:r>
      <w:r>
        <w:rPr>
          <w:rFonts w:ascii="Poppins" w:hAnsi="Poppins" w:cs="Poppins"/>
          <w:sz w:val="18"/>
          <w:szCs w:val="18"/>
        </w:rPr>
        <w:t xml:space="preserve"> </w:t>
      </w:r>
      <w:r w:rsidRPr="008945D5">
        <w:rPr>
          <w:rFonts w:ascii="Poppins" w:hAnsi="Poppins" w:cs="Poppins"/>
          <w:sz w:val="18"/>
          <w:szCs w:val="18"/>
        </w:rPr>
        <w:t>150 millones el último año. El Gobierno presentó un proyecto contra las importaciones producidas con trabajo forzoso y buscará una revisión. No obstante, petróleo, gas, fertilizantes, minerales críticos y otros productos quedaron exentos, por lo que el efecto energético será principalmente macroeconómico.</w:t>
      </w:r>
    </w:p>
    <w:p w14:paraId="69240A9A" w14:textId="77777777" w:rsidR="00C76522" w:rsidRDefault="00C76522" w:rsidP="00647DA0">
      <w:pPr>
        <w:shd w:val="clear" w:color="auto" w:fill="FFFFFF"/>
        <w:ind w:left="425"/>
        <w:jc w:val="both"/>
        <w:rPr>
          <w:rFonts w:ascii="Poppins" w:hAnsi="Poppins" w:cs="Poppins"/>
          <w:sz w:val="18"/>
          <w:szCs w:val="18"/>
        </w:rPr>
      </w:pPr>
    </w:p>
    <w:p w14:paraId="6E0221EF" w14:textId="77777777" w:rsidR="00C76522" w:rsidRDefault="00C76522" w:rsidP="00647DA0">
      <w:pPr>
        <w:shd w:val="clear" w:color="auto" w:fill="FFFFFF"/>
        <w:ind w:left="425"/>
        <w:jc w:val="both"/>
        <w:rPr>
          <w:rFonts w:ascii="Poppins" w:hAnsi="Poppins" w:cs="Poppins"/>
          <w:sz w:val="18"/>
          <w:szCs w:val="18"/>
        </w:rPr>
      </w:pPr>
    </w:p>
    <w:p w14:paraId="27894F17" w14:textId="77777777" w:rsidR="00647DA0" w:rsidRPr="000B5C67" w:rsidRDefault="00647DA0" w:rsidP="00647DA0">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lastRenderedPageBreak/>
        <w:t>Temporada de alta m</w:t>
      </w:r>
      <w:r w:rsidRPr="00901237">
        <w:rPr>
          <w:rFonts w:ascii="Poppins" w:hAnsi="Poppins" w:cs="Poppins"/>
          <w:b/>
          <w:sz w:val="18"/>
          <w:szCs w:val="18"/>
        </w:rPr>
        <w:t xml:space="preserve">ovilidad sostiene </w:t>
      </w:r>
      <w:r>
        <w:rPr>
          <w:rFonts w:ascii="Poppins" w:hAnsi="Poppins" w:cs="Poppins"/>
          <w:b/>
          <w:sz w:val="18"/>
          <w:szCs w:val="18"/>
        </w:rPr>
        <w:t xml:space="preserve">los precios </w:t>
      </w:r>
      <w:r w:rsidRPr="00901237">
        <w:rPr>
          <w:rFonts w:ascii="Poppins" w:hAnsi="Poppins" w:cs="Poppins"/>
          <w:b/>
          <w:sz w:val="18"/>
          <w:szCs w:val="18"/>
        </w:rPr>
        <w:t>de gasolina</w:t>
      </w:r>
      <w:r>
        <w:rPr>
          <w:rFonts w:ascii="Poppins" w:hAnsi="Poppins" w:cs="Poppins"/>
          <w:b/>
          <w:sz w:val="18"/>
          <w:szCs w:val="18"/>
        </w:rPr>
        <w:t xml:space="preserve"> en EE.UU.</w:t>
      </w:r>
      <w:r w:rsidRPr="00901237">
        <w:rPr>
          <w:rFonts w:ascii="Poppins" w:hAnsi="Poppins" w:cs="Poppins"/>
          <w:b/>
          <w:sz w:val="18"/>
          <w:szCs w:val="18"/>
        </w:rPr>
        <w:t xml:space="preserve">, </w:t>
      </w:r>
      <w:r w:rsidRPr="00ED54DD">
        <w:rPr>
          <w:rFonts w:ascii="Poppins" w:hAnsi="Poppins" w:cs="Poppins"/>
          <w:b/>
          <w:sz w:val="18"/>
          <w:szCs w:val="18"/>
        </w:rPr>
        <w:t>aunque la movilidad se normaliza y el consumo permanece por debajo de 2025</w:t>
      </w:r>
    </w:p>
    <w:p w14:paraId="59ABF53A" w14:textId="77777777" w:rsidR="00647DA0" w:rsidRDefault="00647DA0" w:rsidP="00647DA0">
      <w:pPr>
        <w:shd w:val="clear" w:color="auto" w:fill="FFFFFF"/>
        <w:ind w:left="425"/>
        <w:jc w:val="both"/>
        <w:rPr>
          <w:rFonts w:ascii="Poppins" w:hAnsi="Poppins" w:cs="Poppins"/>
          <w:sz w:val="18"/>
          <w:szCs w:val="18"/>
        </w:rPr>
      </w:pPr>
    </w:p>
    <w:p w14:paraId="34EBA40A" w14:textId="77777777" w:rsidR="00647DA0" w:rsidRPr="00956796" w:rsidRDefault="00647DA0" w:rsidP="00647DA0">
      <w:pPr>
        <w:shd w:val="clear" w:color="auto" w:fill="FFFFFF"/>
        <w:ind w:left="425"/>
        <w:jc w:val="both"/>
        <w:rPr>
          <w:rFonts w:ascii="Poppins" w:hAnsi="Poppins" w:cs="Poppins"/>
          <w:sz w:val="18"/>
          <w:szCs w:val="18"/>
        </w:rPr>
      </w:pPr>
      <w:r>
        <w:rPr>
          <w:rFonts w:ascii="Poppins" w:hAnsi="Poppins" w:cs="Poppins"/>
          <w:sz w:val="18"/>
          <w:szCs w:val="18"/>
        </w:rPr>
        <w:t>Durante la última semana</w:t>
      </w:r>
      <w:r w:rsidRPr="00956796">
        <w:rPr>
          <w:rFonts w:ascii="Poppins" w:hAnsi="Poppins" w:cs="Poppins"/>
          <w:sz w:val="18"/>
          <w:szCs w:val="18"/>
        </w:rPr>
        <w:t>, l</w:t>
      </w:r>
      <w:r>
        <w:rPr>
          <w:rFonts w:ascii="Poppins" w:hAnsi="Poppins" w:cs="Poppins"/>
          <w:sz w:val="18"/>
          <w:szCs w:val="18"/>
        </w:rPr>
        <w:t>os datos disponibles de</w:t>
      </w:r>
      <w:r w:rsidRPr="00956796">
        <w:rPr>
          <w:rFonts w:ascii="Poppins" w:hAnsi="Poppins" w:cs="Poppins"/>
          <w:sz w:val="18"/>
          <w:szCs w:val="18"/>
        </w:rPr>
        <w:t xml:space="preserve"> demanda</w:t>
      </w:r>
      <w:r>
        <w:rPr>
          <w:rFonts w:ascii="Poppins" w:hAnsi="Poppins" w:cs="Poppins"/>
          <w:sz w:val="18"/>
          <w:szCs w:val="18"/>
        </w:rPr>
        <w:t xml:space="preserve"> </w:t>
      </w:r>
      <w:r w:rsidRPr="00956796">
        <w:rPr>
          <w:rFonts w:ascii="Poppins" w:hAnsi="Poppins" w:cs="Poppins"/>
          <w:sz w:val="18"/>
          <w:szCs w:val="18"/>
        </w:rPr>
        <w:t xml:space="preserve">de gasolina </w:t>
      </w:r>
      <w:r>
        <w:rPr>
          <w:rFonts w:ascii="Poppins" w:hAnsi="Poppins" w:cs="Poppins"/>
          <w:sz w:val="18"/>
          <w:szCs w:val="18"/>
        </w:rPr>
        <w:t xml:space="preserve">muestran un aumento de 8,95 a 9,04 </w:t>
      </w:r>
      <w:r w:rsidRPr="00956796">
        <w:rPr>
          <w:rFonts w:ascii="Poppins" w:hAnsi="Poppins" w:cs="Poppins"/>
          <w:sz w:val="18"/>
          <w:szCs w:val="18"/>
        </w:rPr>
        <w:t xml:space="preserve">millones de bpd, </w:t>
      </w:r>
      <w:r>
        <w:rPr>
          <w:rFonts w:ascii="Poppins" w:hAnsi="Poppins" w:cs="Poppins"/>
          <w:sz w:val="18"/>
          <w:szCs w:val="18"/>
        </w:rPr>
        <w:t>asimismo,</w:t>
      </w:r>
      <w:r w:rsidRPr="00956796">
        <w:rPr>
          <w:rFonts w:ascii="Poppins" w:hAnsi="Poppins" w:cs="Poppins"/>
          <w:sz w:val="18"/>
          <w:szCs w:val="18"/>
        </w:rPr>
        <w:t xml:space="preserve"> el promedio de las últimas cuatro semanas alcanzó 8,9</w:t>
      </w:r>
      <w:r>
        <w:rPr>
          <w:rFonts w:ascii="Poppins" w:hAnsi="Poppins" w:cs="Poppins"/>
          <w:sz w:val="18"/>
          <w:szCs w:val="18"/>
        </w:rPr>
        <w:t>2</w:t>
      </w:r>
      <w:r w:rsidRPr="00956796">
        <w:rPr>
          <w:rFonts w:ascii="Poppins" w:hAnsi="Poppins" w:cs="Poppins"/>
          <w:sz w:val="18"/>
          <w:szCs w:val="18"/>
        </w:rPr>
        <w:t xml:space="preserve"> millones de bpd, </w:t>
      </w:r>
      <w:r>
        <w:rPr>
          <w:rFonts w:ascii="Poppins" w:hAnsi="Poppins" w:cs="Poppins"/>
          <w:sz w:val="18"/>
          <w:szCs w:val="18"/>
        </w:rPr>
        <w:t>0,3</w:t>
      </w:r>
      <w:r w:rsidRPr="00956796">
        <w:rPr>
          <w:rFonts w:ascii="Poppins" w:hAnsi="Poppins" w:cs="Poppins"/>
          <w:sz w:val="18"/>
          <w:szCs w:val="18"/>
        </w:rPr>
        <w:t xml:space="preserve">% menos interanual. </w:t>
      </w:r>
    </w:p>
    <w:p w14:paraId="4F00D1AC" w14:textId="77777777" w:rsidR="00647DA0" w:rsidRPr="00956796" w:rsidRDefault="00647DA0" w:rsidP="00647DA0">
      <w:pPr>
        <w:shd w:val="clear" w:color="auto" w:fill="FFFFFF"/>
        <w:ind w:left="425"/>
        <w:jc w:val="both"/>
        <w:rPr>
          <w:rFonts w:ascii="Poppins" w:hAnsi="Poppins" w:cs="Poppins"/>
          <w:sz w:val="18"/>
          <w:szCs w:val="18"/>
        </w:rPr>
      </w:pPr>
    </w:p>
    <w:p w14:paraId="6D789C9B" w14:textId="77777777" w:rsidR="00647DA0" w:rsidRDefault="00647DA0" w:rsidP="00647DA0">
      <w:pPr>
        <w:shd w:val="clear" w:color="auto" w:fill="FFFFFF"/>
        <w:ind w:left="425"/>
        <w:jc w:val="both"/>
        <w:rPr>
          <w:rFonts w:ascii="Poppins" w:hAnsi="Poppins" w:cs="Poppins"/>
          <w:sz w:val="18"/>
          <w:szCs w:val="18"/>
        </w:rPr>
      </w:pPr>
      <w:r w:rsidRPr="00956796">
        <w:rPr>
          <w:rFonts w:ascii="Poppins" w:hAnsi="Poppins" w:cs="Poppins"/>
          <w:sz w:val="18"/>
          <w:szCs w:val="18"/>
        </w:rPr>
        <w:t>Tras el máximo de movilidad del periodo festivo</w:t>
      </w:r>
      <w:r>
        <w:rPr>
          <w:rFonts w:ascii="Poppins" w:hAnsi="Poppins" w:cs="Poppins"/>
          <w:sz w:val="18"/>
          <w:szCs w:val="18"/>
        </w:rPr>
        <w:t xml:space="preserve">, </w:t>
      </w:r>
      <w:r w:rsidRPr="00956796">
        <w:rPr>
          <w:rFonts w:ascii="Poppins" w:hAnsi="Poppins" w:cs="Poppins"/>
          <w:sz w:val="18"/>
          <w:szCs w:val="18"/>
        </w:rPr>
        <w:t>para el cual</w:t>
      </w:r>
      <w:r>
        <w:rPr>
          <w:rFonts w:ascii="Poppins" w:hAnsi="Poppins" w:cs="Poppins"/>
          <w:sz w:val="18"/>
          <w:szCs w:val="18"/>
        </w:rPr>
        <w:t xml:space="preserve"> la </w:t>
      </w:r>
      <w:r w:rsidRPr="00F44A86">
        <w:rPr>
          <w:rFonts w:ascii="Poppins" w:hAnsi="Poppins" w:cs="Poppins"/>
          <w:i/>
          <w:iCs/>
          <w:sz w:val="18"/>
          <w:szCs w:val="18"/>
        </w:rPr>
        <w:t>American Automobile Associati</w:t>
      </w:r>
      <w:r w:rsidRPr="00901237">
        <w:rPr>
          <w:rFonts w:ascii="Poppins" w:hAnsi="Poppins" w:cs="Poppins"/>
          <w:i/>
          <w:iCs/>
          <w:sz w:val="18"/>
          <w:szCs w:val="18"/>
        </w:rPr>
        <w:t>on</w:t>
      </w:r>
      <w:r>
        <w:rPr>
          <w:rFonts w:ascii="Poppins" w:hAnsi="Poppins" w:cs="Poppins"/>
          <w:sz w:val="18"/>
          <w:szCs w:val="18"/>
        </w:rPr>
        <w:t xml:space="preserve"> (</w:t>
      </w:r>
      <w:r w:rsidRPr="00956796">
        <w:rPr>
          <w:rFonts w:ascii="Poppins" w:hAnsi="Poppins" w:cs="Poppins"/>
          <w:sz w:val="18"/>
          <w:szCs w:val="18"/>
        </w:rPr>
        <w:t>AAA</w:t>
      </w:r>
      <w:r>
        <w:rPr>
          <w:rFonts w:ascii="Poppins" w:hAnsi="Poppins" w:cs="Poppins"/>
          <w:sz w:val="18"/>
          <w:szCs w:val="18"/>
        </w:rPr>
        <w:t>)</w:t>
      </w:r>
      <w:r w:rsidRPr="00956796">
        <w:rPr>
          <w:rFonts w:ascii="Poppins" w:hAnsi="Poppins" w:cs="Poppins"/>
          <w:sz w:val="18"/>
          <w:szCs w:val="18"/>
        </w:rPr>
        <w:t xml:space="preserve"> proyectó 61,4 millones de viajeros por carretera, los desplazamientos continuaron elevados, pero </w:t>
      </w:r>
      <w:r>
        <w:rPr>
          <w:rFonts w:ascii="Poppins" w:hAnsi="Poppins" w:cs="Poppins"/>
          <w:sz w:val="18"/>
          <w:szCs w:val="18"/>
        </w:rPr>
        <w:t xml:space="preserve">siguieron </w:t>
      </w:r>
      <w:r w:rsidRPr="00956796">
        <w:rPr>
          <w:rFonts w:ascii="Poppins" w:hAnsi="Poppins" w:cs="Poppins"/>
          <w:sz w:val="18"/>
          <w:szCs w:val="18"/>
        </w:rPr>
        <w:t>normaliz</w:t>
      </w:r>
      <w:r>
        <w:rPr>
          <w:rFonts w:ascii="Poppins" w:hAnsi="Poppins" w:cs="Poppins"/>
          <w:sz w:val="18"/>
          <w:szCs w:val="18"/>
        </w:rPr>
        <w:t xml:space="preserve">ándose. </w:t>
      </w:r>
    </w:p>
    <w:p w14:paraId="471CE071" w14:textId="77777777" w:rsidR="00647DA0" w:rsidRDefault="00647DA0" w:rsidP="00647DA0">
      <w:pPr>
        <w:shd w:val="clear" w:color="auto" w:fill="FFFFFF"/>
        <w:ind w:left="425"/>
        <w:jc w:val="both"/>
        <w:rPr>
          <w:rFonts w:ascii="Poppins" w:hAnsi="Poppins" w:cs="Poppins"/>
          <w:sz w:val="18"/>
          <w:szCs w:val="18"/>
        </w:rPr>
      </w:pPr>
    </w:p>
    <w:p w14:paraId="39DB2BE3" w14:textId="77777777" w:rsidR="00647DA0" w:rsidRDefault="00647DA0" w:rsidP="00647DA0">
      <w:pPr>
        <w:shd w:val="clear" w:color="auto" w:fill="FFFFFF"/>
        <w:ind w:left="425"/>
        <w:jc w:val="both"/>
        <w:rPr>
          <w:rFonts w:ascii="Poppins" w:hAnsi="Poppins" w:cs="Poppins"/>
          <w:sz w:val="18"/>
          <w:szCs w:val="18"/>
        </w:rPr>
      </w:pPr>
      <w:r w:rsidRPr="007B5ECC">
        <w:rPr>
          <w:rFonts w:ascii="Poppins" w:hAnsi="Poppins" w:cs="Poppins"/>
          <w:sz w:val="18"/>
          <w:szCs w:val="18"/>
        </w:rPr>
        <w:t xml:space="preserve">En cuanto a los precios, el promedio nacional de la gasolina regular </w:t>
      </w:r>
      <w:r>
        <w:rPr>
          <w:rFonts w:ascii="Poppins" w:hAnsi="Poppins" w:cs="Poppins"/>
          <w:sz w:val="18"/>
          <w:szCs w:val="18"/>
        </w:rPr>
        <w:t xml:space="preserve">en EE.UU. </w:t>
      </w:r>
      <w:r w:rsidRPr="007B5ECC">
        <w:rPr>
          <w:rFonts w:ascii="Poppins" w:hAnsi="Poppins" w:cs="Poppins"/>
          <w:sz w:val="18"/>
          <w:szCs w:val="18"/>
        </w:rPr>
        <w:t>aumentó de aproximadamente US$ 3,</w:t>
      </w:r>
      <w:r>
        <w:rPr>
          <w:rFonts w:ascii="Poppins" w:hAnsi="Poppins" w:cs="Poppins"/>
          <w:sz w:val="18"/>
          <w:szCs w:val="18"/>
        </w:rPr>
        <w:t>94</w:t>
      </w:r>
      <w:r w:rsidRPr="007B5ECC">
        <w:rPr>
          <w:rFonts w:ascii="Poppins" w:hAnsi="Poppins" w:cs="Poppins"/>
          <w:sz w:val="18"/>
          <w:szCs w:val="18"/>
        </w:rPr>
        <w:t xml:space="preserve"> por galón el </w:t>
      </w:r>
      <w:r>
        <w:rPr>
          <w:rFonts w:ascii="Poppins" w:hAnsi="Poppins" w:cs="Poppins"/>
          <w:sz w:val="18"/>
          <w:szCs w:val="18"/>
        </w:rPr>
        <w:t>16</w:t>
      </w:r>
      <w:r w:rsidRPr="007B5ECC">
        <w:rPr>
          <w:rFonts w:ascii="Poppins" w:hAnsi="Poppins" w:cs="Poppins"/>
          <w:sz w:val="18"/>
          <w:szCs w:val="18"/>
        </w:rPr>
        <w:t xml:space="preserve"> de julio a US$ </w:t>
      </w:r>
      <w:r>
        <w:rPr>
          <w:rFonts w:ascii="Poppins" w:hAnsi="Poppins" w:cs="Poppins"/>
          <w:sz w:val="18"/>
          <w:szCs w:val="18"/>
        </w:rPr>
        <w:t>4,09</w:t>
      </w:r>
      <w:r w:rsidRPr="007B5ECC">
        <w:rPr>
          <w:rFonts w:ascii="Poppins" w:hAnsi="Poppins" w:cs="Poppins"/>
          <w:sz w:val="18"/>
          <w:szCs w:val="18"/>
        </w:rPr>
        <w:t xml:space="preserve"> el </w:t>
      </w:r>
      <w:r>
        <w:rPr>
          <w:rFonts w:ascii="Poppins" w:hAnsi="Poppins" w:cs="Poppins"/>
          <w:sz w:val="18"/>
          <w:szCs w:val="18"/>
        </w:rPr>
        <w:t>23</w:t>
      </w:r>
      <w:r w:rsidRPr="007B5ECC">
        <w:rPr>
          <w:rFonts w:ascii="Poppins" w:hAnsi="Poppins" w:cs="Poppins"/>
          <w:sz w:val="18"/>
          <w:szCs w:val="18"/>
        </w:rPr>
        <w:t xml:space="preserve"> de julio, un incremento cercano a 1</w:t>
      </w:r>
      <w:r>
        <w:rPr>
          <w:rFonts w:ascii="Poppins" w:hAnsi="Poppins" w:cs="Poppins"/>
          <w:sz w:val="18"/>
          <w:szCs w:val="18"/>
        </w:rPr>
        <w:t>5</w:t>
      </w:r>
      <w:r w:rsidRPr="007B5ECC">
        <w:rPr>
          <w:rFonts w:ascii="Poppins" w:hAnsi="Poppins" w:cs="Poppins"/>
          <w:sz w:val="18"/>
          <w:szCs w:val="18"/>
        </w:rPr>
        <w:t xml:space="preserve"> centavos. El avance estuvo impulsado principalmente por el encarecimiento del crudo</w:t>
      </w:r>
      <w:r>
        <w:rPr>
          <w:rFonts w:ascii="Poppins" w:hAnsi="Poppins" w:cs="Poppins"/>
          <w:sz w:val="18"/>
          <w:szCs w:val="18"/>
        </w:rPr>
        <w:t xml:space="preserve">, </w:t>
      </w:r>
      <w:r w:rsidRPr="007B5ECC">
        <w:rPr>
          <w:rFonts w:ascii="Poppins" w:hAnsi="Poppins" w:cs="Poppins"/>
          <w:sz w:val="18"/>
          <w:szCs w:val="18"/>
        </w:rPr>
        <w:t>la renovada tensión entre EE.UU. e Irán</w:t>
      </w:r>
      <w:r>
        <w:rPr>
          <w:rFonts w:ascii="Poppins" w:hAnsi="Poppins" w:cs="Poppins"/>
          <w:sz w:val="18"/>
          <w:szCs w:val="18"/>
        </w:rPr>
        <w:t xml:space="preserve"> y la subsecuente la inestabilidad del Estrecho de Ormuz</w:t>
      </w:r>
      <w:r w:rsidRPr="007B5ECC">
        <w:rPr>
          <w:rFonts w:ascii="Poppins" w:hAnsi="Poppins" w:cs="Poppins"/>
          <w:sz w:val="18"/>
          <w:szCs w:val="18"/>
        </w:rPr>
        <w:t>.</w:t>
      </w:r>
    </w:p>
    <w:p w14:paraId="282F7F54" w14:textId="77777777" w:rsidR="00647DA0" w:rsidRPr="00956796" w:rsidRDefault="00647DA0" w:rsidP="00647DA0">
      <w:pPr>
        <w:shd w:val="clear" w:color="auto" w:fill="FFFFFF"/>
        <w:ind w:left="425"/>
        <w:jc w:val="both"/>
        <w:rPr>
          <w:rFonts w:ascii="Poppins" w:hAnsi="Poppins" w:cs="Poppins"/>
          <w:sz w:val="18"/>
          <w:szCs w:val="18"/>
        </w:rPr>
      </w:pPr>
    </w:p>
    <w:p w14:paraId="41348784" w14:textId="77777777" w:rsidR="00647DA0" w:rsidRDefault="00647DA0" w:rsidP="00647DA0">
      <w:pPr>
        <w:shd w:val="clear" w:color="auto" w:fill="FFFFFF"/>
        <w:ind w:left="425"/>
        <w:jc w:val="both"/>
        <w:rPr>
          <w:rFonts w:ascii="Poppins" w:hAnsi="Poppins" w:cs="Poppins"/>
          <w:sz w:val="18"/>
          <w:szCs w:val="18"/>
        </w:rPr>
      </w:pPr>
      <w:r w:rsidRPr="007B5ECC">
        <w:rPr>
          <w:rFonts w:ascii="Poppins" w:hAnsi="Poppins" w:cs="Poppins"/>
          <w:sz w:val="18"/>
          <w:szCs w:val="18"/>
        </w:rPr>
        <w:t xml:space="preserve">En consecuencia, la movilidad estacional y los reducidos inventarios continuaron respaldando los precios de la gasolina. Sin embargo, la estabilización de los desplazamientos y el consumo inferior a 2025 confirmaron que el impulso alcista provino principalmente del encarecimiento del crudo y del riesgo geopolítico, más que de un fortalecimiento </w:t>
      </w:r>
      <w:r>
        <w:rPr>
          <w:rFonts w:ascii="Poppins" w:hAnsi="Poppins" w:cs="Poppins"/>
          <w:sz w:val="18"/>
          <w:szCs w:val="18"/>
        </w:rPr>
        <w:t xml:space="preserve">significativo </w:t>
      </w:r>
      <w:r w:rsidRPr="007B5ECC">
        <w:rPr>
          <w:rFonts w:ascii="Poppins" w:hAnsi="Poppins" w:cs="Poppins"/>
          <w:sz w:val="18"/>
          <w:szCs w:val="18"/>
        </w:rPr>
        <w:t>de la demanda.</w:t>
      </w:r>
    </w:p>
    <w:p w14:paraId="684EB54E" w14:textId="77777777" w:rsidR="00647DA0" w:rsidRDefault="00647DA0" w:rsidP="0026393A">
      <w:pPr>
        <w:shd w:val="clear" w:color="auto" w:fill="FFFFFF"/>
        <w:ind w:left="425"/>
        <w:jc w:val="both"/>
        <w:rPr>
          <w:rFonts w:ascii="Poppins" w:hAnsi="Poppins" w:cs="Poppins"/>
          <w:sz w:val="18"/>
          <w:szCs w:val="18"/>
        </w:rPr>
      </w:pPr>
    </w:p>
    <w:p w14:paraId="0511EA0A" w14:textId="77777777" w:rsidR="006925F8" w:rsidRDefault="006925F8" w:rsidP="0026393A">
      <w:pPr>
        <w:shd w:val="clear" w:color="auto" w:fill="FFFFFF"/>
        <w:ind w:left="425"/>
        <w:jc w:val="both"/>
        <w:rPr>
          <w:rFonts w:ascii="Poppins" w:hAnsi="Poppins" w:cs="Poppins"/>
          <w:sz w:val="18"/>
          <w:szCs w:val="18"/>
        </w:rPr>
      </w:pPr>
    </w:p>
    <w:p w14:paraId="533CE043" w14:textId="77777777" w:rsidR="006925F8" w:rsidRDefault="006925F8" w:rsidP="0026393A">
      <w:pPr>
        <w:shd w:val="clear" w:color="auto" w:fill="FFFFFF"/>
        <w:ind w:left="425"/>
        <w:jc w:val="both"/>
        <w:rPr>
          <w:rFonts w:ascii="Poppins" w:hAnsi="Poppins" w:cs="Poppins"/>
          <w:sz w:val="18"/>
          <w:szCs w:val="18"/>
        </w:rPr>
      </w:pPr>
    </w:p>
    <w:p w14:paraId="4309BA29" w14:textId="77777777" w:rsidR="006925F8" w:rsidRDefault="006925F8" w:rsidP="0026393A">
      <w:pPr>
        <w:shd w:val="clear" w:color="auto" w:fill="FFFFFF"/>
        <w:ind w:left="425"/>
        <w:jc w:val="both"/>
        <w:rPr>
          <w:rFonts w:ascii="Poppins" w:hAnsi="Poppins" w:cs="Poppins"/>
          <w:sz w:val="18"/>
          <w:szCs w:val="18"/>
        </w:rPr>
      </w:pPr>
    </w:p>
    <w:p w14:paraId="5A4247C3" w14:textId="77777777" w:rsidR="006925F8" w:rsidRDefault="006925F8" w:rsidP="0026393A">
      <w:pPr>
        <w:shd w:val="clear" w:color="auto" w:fill="FFFFFF"/>
        <w:ind w:left="425"/>
        <w:jc w:val="both"/>
        <w:rPr>
          <w:rFonts w:ascii="Poppins" w:hAnsi="Poppins" w:cs="Poppins"/>
          <w:sz w:val="18"/>
          <w:szCs w:val="18"/>
        </w:rPr>
      </w:pPr>
    </w:p>
    <w:p w14:paraId="7C98F900" w14:textId="77777777" w:rsidR="006925F8" w:rsidRDefault="006925F8" w:rsidP="0026393A">
      <w:pPr>
        <w:shd w:val="clear" w:color="auto" w:fill="FFFFFF"/>
        <w:ind w:left="425"/>
        <w:jc w:val="both"/>
        <w:rPr>
          <w:rFonts w:ascii="Poppins" w:hAnsi="Poppins" w:cs="Poppins"/>
          <w:sz w:val="18"/>
          <w:szCs w:val="18"/>
        </w:rPr>
      </w:pPr>
    </w:p>
    <w:p w14:paraId="690B8EA2" w14:textId="77777777" w:rsidR="006925F8" w:rsidRDefault="006925F8" w:rsidP="0026393A">
      <w:pPr>
        <w:shd w:val="clear" w:color="auto" w:fill="FFFFFF"/>
        <w:ind w:left="425"/>
        <w:jc w:val="both"/>
        <w:rPr>
          <w:rFonts w:ascii="Poppins" w:hAnsi="Poppins" w:cs="Poppins"/>
          <w:sz w:val="18"/>
          <w:szCs w:val="18"/>
        </w:rPr>
      </w:pPr>
    </w:p>
    <w:p w14:paraId="725FE706" w14:textId="77777777" w:rsidR="006925F8" w:rsidRDefault="006925F8" w:rsidP="0026393A">
      <w:pPr>
        <w:shd w:val="clear" w:color="auto" w:fill="FFFFFF"/>
        <w:ind w:left="425"/>
        <w:jc w:val="both"/>
        <w:rPr>
          <w:rFonts w:ascii="Poppins" w:hAnsi="Poppins" w:cs="Poppins"/>
          <w:sz w:val="18"/>
          <w:szCs w:val="18"/>
        </w:rPr>
      </w:pPr>
    </w:p>
    <w:p w14:paraId="731DAE9B" w14:textId="77777777" w:rsidR="006925F8" w:rsidRDefault="006925F8" w:rsidP="0026393A">
      <w:pPr>
        <w:shd w:val="clear" w:color="auto" w:fill="FFFFFF"/>
        <w:ind w:left="425"/>
        <w:jc w:val="both"/>
        <w:rPr>
          <w:rFonts w:ascii="Poppins" w:hAnsi="Poppins" w:cs="Poppins"/>
          <w:sz w:val="18"/>
          <w:szCs w:val="18"/>
        </w:rPr>
      </w:pPr>
    </w:p>
    <w:p w14:paraId="721FABFF" w14:textId="77777777" w:rsidR="006925F8" w:rsidRDefault="006925F8" w:rsidP="0026393A">
      <w:pPr>
        <w:shd w:val="clear" w:color="auto" w:fill="FFFFFF"/>
        <w:ind w:left="425"/>
        <w:jc w:val="both"/>
        <w:rPr>
          <w:rFonts w:ascii="Poppins" w:hAnsi="Poppins" w:cs="Poppins"/>
          <w:sz w:val="18"/>
          <w:szCs w:val="18"/>
        </w:rPr>
      </w:pPr>
    </w:p>
    <w:p w14:paraId="26E81670" w14:textId="77777777" w:rsidR="006925F8" w:rsidRDefault="006925F8" w:rsidP="0026393A">
      <w:pPr>
        <w:shd w:val="clear" w:color="auto" w:fill="FFFFFF"/>
        <w:ind w:left="425"/>
        <w:jc w:val="both"/>
        <w:rPr>
          <w:rFonts w:ascii="Poppins" w:hAnsi="Poppins" w:cs="Poppins"/>
          <w:sz w:val="18"/>
          <w:szCs w:val="18"/>
        </w:rPr>
      </w:pPr>
    </w:p>
    <w:p w14:paraId="28E6D289" w14:textId="77777777" w:rsidR="006925F8" w:rsidRDefault="006925F8" w:rsidP="0026393A">
      <w:pPr>
        <w:shd w:val="clear" w:color="auto" w:fill="FFFFFF"/>
        <w:ind w:left="425"/>
        <w:jc w:val="both"/>
        <w:rPr>
          <w:rFonts w:ascii="Poppins" w:hAnsi="Poppins" w:cs="Poppins"/>
          <w:sz w:val="18"/>
          <w:szCs w:val="18"/>
        </w:rPr>
      </w:pPr>
    </w:p>
    <w:p w14:paraId="1DE9BD1D" w14:textId="77777777" w:rsidR="006925F8" w:rsidRDefault="006925F8" w:rsidP="0026393A">
      <w:pPr>
        <w:shd w:val="clear" w:color="auto" w:fill="FFFFFF"/>
        <w:ind w:left="425"/>
        <w:jc w:val="both"/>
        <w:rPr>
          <w:rFonts w:ascii="Poppins" w:hAnsi="Poppins" w:cs="Poppins"/>
          <w:sz w:val="18"/>
          <w:szCs w:val="18"/>
        </w:rPr>
      </w:pPr>
    </w:p>
    <w:p w14:paraId="0C78F333" w14:textId="77777777" w:rsidR="006925F8" w:rsidRDefault="006925F8" w:rsidP="0026393A">
      <w:pPr>
        <w:shd w:val="clear" w:color="auto" w:fill="FFFFFF"/>
        <w:ind w:left="425"/>
        <w:jc w:val="both"/>
        <w:rPr>
          <w:rFonts w:ascii="Poppins" w:hAnsi="Poppins" w:cs="Poppins"/>
          <w:sz w:val="18"/>
          <w:szCs w:val="18"/>
        </w:rPr>
      </w:pPr>
    </w:p>
    <w:p w14:paraId="59CA9BF0" w14:textId="77777777" w:rsidR="006925F8" w:rsidRDefault="006925F8" w:rsidP="0026393A">
      <w:pPr>
        <w:shd w:val="clear" w:color="auto" w:fill="FFFFFF"/>
        <w:ind w:left="425"/>
        <w:jc w:val="both"/>
        <w:rPr>
          <w:rFonts w:ascii="Poppins" w:hAnsi="Poppins" w:cs="Poppins"/>
          <w:sz w:val="18"/>
          <w:szCs w:val="18"/>
        </w:rPr>
      </w:pPr>
    </w:p>
    <w:p w14:paraId="7893ED32" w14:textId="77777777" w:rsidR="006925F8" w:rsidRDefault="006925F8" w:rsidP="0026393A">
      <w:pPr>
        <w:shd w:val="clear" w:color="auto" w:fill="FFFFFF"/>
        <w:ind w:left="425"/>
        <w:jc w:val="both"/>
        <w:rPr>
          <w:rFonts w:ascii="Poppins" w:hAnsi="Poppins" w:cs="Poppins"/>
          <w:sz w:val="18"/>
          <w:szCs w:val="18"/>
        </w:rPr>
      </w:pPr>
    </w:p>
    <w:p w14:paraId="32F41096" w14:textId="77777777" w:rsidR="006925F8" w:rsidRDefault="006925F8" w:rsidP="0026393A">
      <w:pPr>
        <w:shd w:val="clear" w:color="auto" w:fill="FFFFFF"/>
        <w:ind w:left="425"/>
        <w:jc w:val="both"/>
        <w:rPr>
          <w:rFonts w:ascii="Poppins" w:hAnsi="Poppins" w:cs="Poppins"/>
          <w:sz w:val="18"/>
          <w:szCs w:val="18"/>
        </w:rPr>
      </w:pPr>
    </w:p>
    <w:p w14:paraId="55EECD06" w14:textId="77777777" w:rsidR="006925F8" w:rsidRDefault="006925F8" w:rsidP="0026393A">
      <w:pPr>
        <w:shd w:val="clear" w:color="auto" w:fill="FFFFFF"/>
        <w:ind w:left="425"/>
        <w:jc w:val="both"/>
        <w:rPr>
          <w:rFonts w:ascii="Poppins" w:hAnsi="Poppins" w:cs="Poppins"/>
          <w:sz w:val="18"/>
          <w:szCs w:val="18"/>
        </w:rPr>
      </w:pPr>
    </w:p>
    <w:p w14:paraId="365AF8D6" w14:textId="77777777" w:rsidR="006925F8" w:rsidRDefault="006925F8" w:rsidP="0026393A">
      <w:pPr>
        <w:shd w:val="clear" w:color="auto" w:fill="FFFFFF"/>
        <w:ind w:left="425"/>
        <w:jc w:val="both"/>
        <w:rPr>
          <w:rFonts w:ascii="Poppins" w:hAnsi="Poppins" w:cs="Poppins"/>
          <w:sz w:val="18"/>
          <w:szCs w:val="18"/>
        </w:rPr>
      </w:pPr>
    </w:p>
    <w:p w14:paraId="043FD847" w14:textId="77777777" w:rsidR="006925F8" w:rsidRDefault="006925F8" w:rsidP="0026393A">
      <w:pPr>
        <w:shd w:val="clear" w:color="auto" w:fill="FFFFFF"/>
        <w:ind w:left="425"/>
        <w:jc w:val="both"/>
        <w:rPr>
          <w:rFonts w:ascii="Poppins" w:hAnsi="Poppins" w:cs="Poppins"/>
          <w:sz w:val="18"/>
          <w:szCs w:val="18"/>
        </w:rPr>
      </w:pPr>
    </w:p>
    <w:p w14:paraId="0B64AC9C" w14:textId="77777777" w:rsidR="006925F8" w:rsidRDefault="006925F8" w:rsidP="0026393A">
      <w:pPr>
        <w:shd w:val="clear" w:color="auto" w:fill="FFFFFF"/>
        <w:ind w:left="425"/>
        <w:jc w:val="both"/>
        <w:rPr>
          <w:rFonts w:ascii="Poppins" w:hAnsi="Poppins" w:cs="Poppins"/>
          <w:sz w:val="18"/>
          <w:szCs w:val="18"/>
        </w:rPr>
      </w:pPr>
    </w:p>
    <w:p w14:paraId="40013BC8" w14:textId="77777777" w:rsidR="001E25D0" w:rsidRDefault="001E25D0" w:rsidP="0026393A">
      <w:pPr>
        <w:shd w:val="clear" w:color="auto" w:fill="FFFFFF"/>
        <w:ind w:left="425"/>
        <w:jc w:val="both"/>
        <w:rPr>
          <w:rFonts w:ascii="Poppins" w:hAnsi="Poppins" w:cs="Poppins"/>
          <w:sz w:val="18"/>
          <w:szCs w:val="18"/>
        </w:rPr>
      </w:pPr>
    </w:p>
    <w:p w14:paraId="00893788" w14:textId="77777777" w:rsidR="001E25D0" w:rsidRDefault="001E25D0" w:rsidP="0026393A">
      <w:pPr>
        <w:shd w:val="clear" w:color="auto" w:fill="FFFFFF"/>
        <w:ind w:left="425"/>
        <w:jc w:val="both"/>
        <w:rPr>
          <w:rFonts w:ascii="Poppins" w:hAnsi="Poppins" w:cs="Poppins"/>
          <w:sz w:val="18"/>
          <w:szCs w:val="18"/>
        </w:rPr>
      </w:pPr>
    </w:p>
    <w:p w14:paraId="227677C9" w14:textId="77777777" w:rsidR="001E25D0" w:rsidRDefault="001E25D0" w:rsidP="0026393A">
      <w:pPr>
        <w:shd w:val="clear" w:color="auto" w:fill="FFFFFF"/>
        <w:ind w:left="425"/>
        <w:jc w:val="both"/>
        <w:rPr>
          <w:rFonts w:ascii="Poppins" w:hAnsi="Poppins" w:cs="Poppins"/>
          <w:sz w:val="18"/>
          <w:szCs w:val="18"/>
        </w:rPr>
      </w:pPr>
    </w:p>
    <w:p w14:paraId="6D96D7AB" w14:textId="77777777" w:rsidR="006925F8" w:rsidRDefault="006925F8" w:rsidP="0026393A">
      <w:pPr>
        <w:shd w:val="clear" w:color="auto" w:fill="FFFFFF"/>
        <w:ind w:left="425"/>
        <w:jc w:val="both"/>
        <w:rPr>
          <w:rFonts w:ascii="Poppins" w:hAnsi="Poppins" w:cs="Poppins"/>
          <w:sz w:val="18"/>
          <w:szCs w:val="18"/>
        </w:rPr>
      </w:pPr>
    </w:p>
    <w:p w14:paraId="046D17F1" w14:textId="77777777" w:rsidR="006925F8" w:rsidRDefault="006925F8" w:rsidP="0026393A">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0B15F6C"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916CE3">
        <w:rPr>
          <w:rFonts w:ascii="Poppins" w:hAnsi="Poppins" w:cs="Poppins"/>
          <w:sz w:val="18"/>
          <w:szCs w:val="18"/>
        </w:rPr>
        <w:t>1</w:t>
      </w:r>
      <w:r w:rsidR="00FA464F">
        <w:rPr>
          <w:rFonts w:ascii="Poppins" w:hAnsi="Poppins" w:cs="Poppins"/>
          <w:sz w:val="18"/>
          <w:szCs w:val="18"/>
        </w:rPr>
        <w:t>6</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FA464F">
        <w:rPr>
          <w:rFonts w:ascii="Poppins" w:hAnsi="Poppins" w:cs="Poppins"/>
          <w:sz w:val="18"/>
          <w:szCs w:val="18"/>
        </w:rPr>
        <w:t>26</w:t>
      </w:r>
      <w:r w:rsidR="004748A9" w:rsidRPr="00581B20">
        <w:rPr>
          <w:rFonts w:ascii="Poppins" w:hAnsi="Poppins" w:cs="Poppins"/>
          <w:sz w:val="18"/>
          <w:szCs w:val="18"/>
        </w:rPr>
        <w:t xml:space="preserve"> de </w:t>
      </w:r>
      <w:r w:rsidR="00FA464F">
        <w:rPr>
          <w:rFonts w:ascii="Poppins" w:hAnsi="Poppins" w:cs="Poppins"/>
          <w:sz w:val="18"/>
          <w:szCs w:val="18"/>
        </w:rPr>
        <w:t>junio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w:t>
      </w:r>
      <w:r w:rsidR="00FA464F">
        <w:rPr>
          <w:rFonts w:ascii="Poppins" w:hAnsi="Poppins" w:cs="Poppins"/>
          <w:sz w:val="18"/>
          <w:szCs w:val="18"/>
        </w:rPr>
        <w:t>7</w:t>
      </w:r>
      <w:r w:rsidR="004748A9" w:rsidRPr="00581B20">
        <w:rPr>
          <w:rFonts w:ascii="Poppins" w:hAnsi="Poppins" w:cs="Poppins"/>
          <w:sz w:val="18"/>
          <w:szCs w:val="18"/>
        </w:rPr>
        <w:t xml:space="preserve"> de </w:t>
      </w:r>
      <w:r w:rsidR="00FA464F">
        <w:rPr>
          <w:rFonts w:ascii="Poppins" w:hAnsi="Poppins" w:cs="Poppins"/>
          <w:sz w:val="18"/>
          <w:szCs w:val="18"/>
        </w:rPr>
        <w:t>agosto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3E58B5C"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BA6B91">
        <w:rPr>
          <w:rFonts w:ascii="Poppins" w:hAnsi="Poppins" w:cs="Poppins"/>
          <w:sz w:val="18"/>
          <w:szCs w:val="18"/>
        </w:rPr>
        <w:t>20</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BA6B91">
        <w:rPr>
          <w:rFonts w:ascii="Poppins" w:hAnsi="Poppins" w:cs="Poppins"/>
          <w:sz w:val="18"/>
          <w:szCs w:val="18"/>
        </w:rPr>
        <w:t>31</w:t>
      </w:r>
      <w:r w:rsidR="007C4098">
        <w:rPr>
          <w:rFonts w:ascii="Poppins" w:hAnsi="Poppins" w:cs="Poppins"/>
          <w:sz w:val="18"/>
          <w:szCs w:val="18"/>
        </w:rPr>
        <w:t xml:space="preserve"> de</w:t>
      </w:r>
      <w:r w:rsidRPr="00581B20">
        <w:rPr>
          <w:rFonts w:ascii="Poppins" w:hAnsi="Poppins" w:cs="Poppins"/>
          <w:sz w:val="18"/>
          <w:szCs w:val="18"/>
        </w:rPr>
        <w:t xml:space="preserve"> </w:t>
      </w:r>
      <w:r w:rsidR="00FA464F">
        <w:rPr>
          <w:rFonts w:ascii="Poppins" w:hAnsi="Poppins" w:cs="Poppins"/>
          <w:sz w:val="18"/>
          <w:szCs w:val="18"/>
        </w:rPr>
        <w:t>ju</w:t>
      </w:r>
      <w:r w:rsidR="00BA6B91">
        <w:rPr>
          <w:rFonts w:ascii="Poppins" w:hAnsi="Poppins" w:cs="Poppins"/>
          <w:sz w:val="18"/>
          <w:szCs w:val="18"/>
        </w:rPr>
        <w:t>l</w:t>
      </w:r>
      <w:r w:rsidR="00FA464F">
        <w:rPr>
          <w:rFonts w:ascii="Poppins" w:hAnsi="Poppins" w:cs="Poppins"/>
          <w:sz w:val="18"/>
          <w:szCs w:val="18"/>
        </w:rPr>
        <w:t>io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BA6B91">
        <w:rPr>
          <w:rFonts w:ascii="Poppins" w:hAnsi="Poppins" w:cs="Poppins"/>
          <w:sz w:val="18"/>
          <w:szCs w:val="18"/>
        </w:rPr>
        <w:t>27</w:t>
      </w:r>
      <w:r w:rsidRPr="00581B20">
        <w:rPr>
          <w:rFonts w:ascii="Poppins" w:hAnsi="Poppins" w:cs="Poppins"/>
          <w:sz w:val="18"/>
          <w:szCs w:val="18"/>
        </w:rPr>
        <w:t xml:space="preserve"> de </w:t>
      </w:r>
      <w:r w:rsidR="00BA6B91">
        <w:rPr>
          <w:rFonts w:ascii="Poppins" w:hAnsi="Poppins" w:cs="Poppins"/>
          <w:sz w:val="18"/>
          <w:szCs w:val="18"/>
        </w:rPr>
        <w:t>agosto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936E30B"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r w:rsidR="0079223F" w:rsidRPr="00581B20">
        <w:rPr>
          <w:rFonts w:ascii="Poppins" w:hAnsi="Poppins" w:cs="Poppins"/>
          <w:sz w:val="18"/>
          <w:szCs w:val="18"/>
        </w:rPr>
        <w:t>N° 0</w:t>
      </w:r>
      <w:r w:rsidR="0079223F">
        <w:rPr>
          <w:rFonts w:ascii="Poppins" w:hAnsi="Poppins" w:cs="Poppins"/>
          <w:sz w:val="18"/>
          <w:szCs w:val="18"/>
        </w:rPr>
        <w:t>1</w:t>
      </w:r>
      <w:r w:rsidR="00FA464F">
        <w:rPr>
          <w:rFonts w:ascii="Poppins" w:hAnsi="Poppins" w:cs="Poppins"/>
          <w:sz w:val="18"/>
          <w:szCs w:val="18"/>
        </w:rPr>
        <w:t>6</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085C3D">
        <w:rPr>
          <w:rFonts w:ascii="Poppins" w:hAnsi="Poppins" w:cs="Poppins"/>
          <w:sz w:val="18"/>
          <w:szCs w:val="18"/>
        </w:rPr>
        <w:t xml:space="preserve"> y </w:t>
      </w:r>
      <w:r w:rsidR="00085C3D" w:rsidRPr="00581B20">
        <w:rPr>
          <w:rFonts w:ascii="Poppins" w:hAnsi="Poppins" w:cs="Poppins"/>
          <w:sz w:val="18"/>
          <w:szCs w:val="18"/>
        </w:rPr>
        <w:t>N° 0</w:t>
      </w:r>
      <w:r w:rsidR="00085C3D">
        <w:rPr>
          <w:rFonts w:ascii="Poppins" w:hAnsi="Poppins" w:cs="Poppins"/>
          <w:sz w:val="18"/>
          <w:szCs w:val="18"/>
        </w:rPr>
        <w:t>20</w:t>
      </w:r>
      <w:r w:rsidR="00085C3D" w:rsidRPr="00581B20">
        <w:rPr>
          <w:rFonts w:ascii="Poppins" w:hAnsi="Poppins" w:cs="Poppins"/>
          <w:sz w:val="18"/>
          <w:szCs w:val="18"/>
        </w:rPr>
        <w:t>-202</w:t>
      </w:r>
      <w:r w:rsidR="00085C3D">
        <w:rPr>
          <w:rFonts w:ascii="Poppins" w:hAnsi="Poppins" w:cs="Poppins"/>
          <w:sz w:val="18"/>
          <w:szCs w:val="18"/>
        </w:rPr>
        <w:t>6</w:t>
      </w:r>
      <w:r w:rsidR="00085C3D" w:rsidRPr="00581B20">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684F36">
        <w:rPr>
          <w:rFonts w:ascii="Poppins" w:hAnsi="Poppins" w:cs="Poppins"/>
          <w:sz w:val="18"/>
          <w:szCs w:val="18"/>
        </w:rPr>
        <w:t>04</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684F36">
        <w:rPr>
          <w:rFonts w:ascii="Poppins" w:hAnsi="Poppins" w:cs="Poppins"/>
          <w:sz w:val="18"/>
          <w:szCs w:val="18"/>
        </w:rPr>
        <w:t>agosto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684F36">
        <w:rPr>
          <w:rFonts w:ascii="Poppins" w:hAnsi="Poppins" w:cs="Poppins"/>
          <w:sz w:val="18"/>
          <w:szCs w:val="18"/>
        </w:rPr>
        <w:t>lunes</w:t>
      </w:r>
      <w:r w:rsidR="001A4A01">
        <w:rPr>
          <w:rFonts w:ascii="Poppins" w:hAnsi="Poppins" w:cs="Poppins"/>
          <w:sz w:val="18"/>
          <w:szCs w:val="18"/>
        </w:rPr>
        <w:t xml:space="preserve"> </w:t>
      </w:r>
      <w:r w:rsidR="00684F36">
        <w:rPr>
          <w:rFonts w:ascii="Poppins" w:hAnsi="Poppins" w:cs="Poppins"/>
          <w:sz w:val="18"/>
          <w:szCs w:val="18"/>
        </w:rPr>
        <w:t>1</w:t>
      </w:r>
      <w:r w:rsidR="0013457D">
        <w:rPr>
          <w:rFonts w:ascii="Poppins" w:hAnsi="Poppins" w:cs="Poppins"/>
          <w:sz w:val="18"/>
          <w:szCs w:val="18"/>
        </w:rPr>
        <w:t>0</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684F36">
        <w:rPr>
          <w:rFonts w:ascii="Poppins" w:hAnsi="Poppins" w:cs="Poppins"/>
          <w:sz w:val="18"/>
          <w:szCs w:val="18"/>
        </w:rPr>
        <w:t>agosto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0E110A4" w:rsidR="00944C17" w:rsidRDefault="00593ACE" w:rsidP="009B438E">
      <w:pPr>
        <w:pStyle w:val="Sangradetextonormal"/>
        <w:numPr>
          <w:ilvl w:val="0"/>
          <w:numId w:val="16"/>
        </w:numPr>
        <w:ind w:left="568" w:hanging="426"/>
        <w:rPr>
          <w:rFonts w:ascii="Poppins" w:hAnsi="Poppins" w:cs="Poppins"/>
          <w:sz w:val="18"/>
          <w:szCs w:val="18"/>
          <w:lang w:val="es-PE"/>
        </w:rPr>
      </w:pPr>
      <w:r w:rsidRPr="00493AC4">
        <w:rPr>
          <w:rFonts w:ascii="Poppins" w:hAnsi="Poppins" w:cs="Poppins"/>
          <w:sz w:val="18"/>
          <w:szCs w:val="18"/>
        </w:rPr>
        <w:t xml:space="preserve">El día </w:t>
      </w:r>
      <w:r w:rsidR="00B83B09">
        <w:rPr>
          <w:rFonts w:ascii="Poppins" w:hAnsi="Poppins" w:cs="Poppins"/>
          <w:sz w:val="18"/>
          <w:szCs w:val="18"/>
        </w:rPr>
        <w:t>03</w:t>
      </w:r>
      <w:r w:rsidRPr="00493AC4">
        <w:rPr>
          <w:rFonts w:ascii="Poppins" w:hAnsi="Poppins" w:cs="Poppins"/>
          <w:sz w:val="18"/>
          <w:szCs w:val="18"/>
        </w:rPr>
        <w:t>.</w:t>
      </w:r>
      <w:r w:rsidR="005151B0" w:rsidRPr="00493AC4">
        <w:rPr>
          <w:rFonts w:ascii="Poppins" w:hAnsi="Poppins" w:cs="Poppins"/>
          <w:sz w:val="18"/>
          <w:szCs w:val="18"/>
        </w:rPr>
        <w:t>0</w:t>
      </w:r>
      <w:r w:rsidR="00B83B09">
        <w:rPr>
          <w:rFonts w:ascii="Poppins" w:hAnsi="Poppins" w:cs="Poppins"/>
          <w:sz w:val="18"/>
          <w:szCs w:val="18"/>
        </w:rPr>
        <w:t>8</w:t>
      </w:r>
      <w:r w:rsidRPr="00493AC4">
        <w:rPr>
          <w:rFonts w:ascii="Poppins" w:hAnsi="Poppins" w:cs="Poppins"/>
          <w:sz w:val="18"/>
          <w:szCs w:val="18"/>
        </w:rPr>
        <w:t>.202</w:t>
      </w:r>
      <w:r w:rsidR="005151B0" w:rsidRPr="00493AC4">
        <w:rPr>
          <w:rFonts w:ascii="Poppins" w:hAnsi="Poppins" w:cs="Poppins"/>
          <w:sz w:val="18"/>
          <w:szCs w:val="18"/>
        </w:rPr>
        <w:t>6</w:t>
      </w:r>
      <w:r w:rsidRPr="00493AC4">
        <w:rPr>
          <w:rFonts w:ascii="Poppins" w:hAnsi="Poppins" w:cs="Poppins"/>
          <w:sz w:val="18"/>
          <w:szCs w:val="18"/>
        </w:rPr>
        <w:t>, Petroperú publicó su lista de precios de venta de combustibles</w:t>
      </w:r>
      <w:r w:rsidR="00F93AFF">
        <w:rPr>
          <w:rFonts w:ascii="Poppins" w:hAnsi="Poppins" w:cs="Poppins"/>
          <w:sz w:val="18"/>
          <w:szCs w:val="18"/>
        </w:rPr>
        <w:t>, con vigencia a partir del 04.08.2026</w:t>
      </w:r>
      <w:r w:rsidRPr="00493AC4">
        <w:rPr>
          <w:rFonts w:ascii="Poppins" w:hAnsi="Poppins" w:cs="Poppins"/>
          <w:sz w:val="18"/>
          <w:szCs w:val="18"/>
        </w:rPr>
        <w:t xml:space="preserve">. </w:t>
      </w:r>
      <w:r w:rsidR="005B7181" w:rsidRPr="00493AC4">
        <w:rPr>
          <w:rFonts w:ascii="Poppins" w:hAnsi="Poppins" w:cs="Poppins"/>
          <w:sz w:val="18"/>
          <w:szCs w:val="18"/>
        </w:rPr>
        <w:t>En dicha lista</w:t>
      </w:r>
      <w:r w:rsidR="00493AC4" w:rsidRPr="00493AC4">
        <w:rPr>
          <w:rFonts w:ascii="Poppins" w:hAnsi="Poppins" w:cs="Poppins"/>
          <w:sz w:val="18"/>
          <w:szCs w:val="18"/>
        </w:rPr>
        <w:t xml:space="preserve"> </w:t>
      </w:r>
      <w:r w:rsidR="005B7181" w:rsidRPr="00493AC4">
        <w:rPr>
          <w:rFonts w:ascii="Poppins" w:hAnsi="Poppins" w:cs="Poppins"/>
          <w:sz w:val="18"/>
          <w:szCs w:val="18"/>
        </w:rPr>
        <w:t>se</w:t>
      </w:r>
      <w:r w:rsidRPr="00493AC4">
        <w:rPr>
          <w:rFonts w:ascii="Poppins" w:hAnsi="Poppins" w:cs="Poppins"/>
          <w:sz w:val="18"/>
          <w:szCs w:val="18"/>
        </w:rPr>
        <w:t xml:space="preserve"> registraron variaciones en los precios </w:t>
      </w:r>
      <w:r w:rsidR="00493AC4" w:rsidRPr="00493AC4">
        <w:rPr>
          <w:rFonts w:ascii="Poppins" w:hAnsi="Poppins" w:cs="Poppins"/>
          <w:sz w:val="18"/>
          <w:szCs w:val="18"/>
        </w:rPr>
        <w:t xml:space="preserve">en la planta de ventas Callao </w:t>
      </w:r>
      <w:r w:rsidR="009076DF" w:rsidRPr="00493AC4">
        <w:rPr>
          <w:rFonts w:ascii="Poppins" w:hAnsi="Poppins" w:cs="Poppins"/>
          <w:sz w:val="18"/>
          <w:szCs w:val="18"/>
        </w:rPr>
        <w:t>de</w:t>
      </w:r>
      <w:r w:rsidR="009E527C" w:rsidRPr="00493AC4">
        <w:rPr>
          <w:rFonts w:ascii="Poppins" w:hAnsi="Poppins" w:cs="Poppins"/>
          <w:sz w:val="18"/>
          <w:szCs w:val="18"/>
        </w:rPr>
        <w:t xml:space="preserve"> </w:t>
      </w:r>
      <w:r w:rsidR="00A7646E" w:rsidRPr="00493AC4">
        <w:rPr>
          <w:rFonts w:ascii="Poppins" w:hAnsi="Poppins" w:cs="Poppins"/>
          <w:sz w:val="18"/>
          <w:szCs w:val="18"/>
        </w:rPr>
        <w:t>l</w:t>
      </w:r>
      <w:r w:rsidR="009E527C" w:rsidRPr="00493AC4">
        <w:rPr>
          <w:rFonts w:ascii="Poppins" w:hAnsi="Poppins" w:cs="Poppins"/>
          <w:sz w:val="18"/>
          <w:szCs w:val="18"/>
        </w:rPr>
        <w:t>a</w:t>
      </w:r>
      <w:r w:rsidR="00A7646E" w:rsidRPr="00493AC4">
        <w:rPr>
          <w:rFonts w:ascii="Poppins" w:hAnsi="Poppins" w:cs="Poppins"/>
          <w:sz w:val="18"/>
          <w:szCs w:val="18"/>
        </w:rPr>
        <w:t xml:space="preserve"> </w:t>
      </w:r>
      <w:r w:rsidR="00093757" w:rsidRPr="00493AC4">
        <w:rPr>
          <w:rFonts w:ascii="Poppins" w:hAnsi="Poppins" w:cs="Poppins"/>
          <w:sz w:val="18"/>
          <w:szCs w:val="18"/>
        </w:rPr>
        <w:t>Gasolina Premium (</w:t>
      </w:r>
      <w:r w:rsidR="00E930C3">
        <w:rPr>
          <w:rFonts w:ascii="Poppins" w:hAnsi="Poppins" w:cs="Poppins"/>
          <w:sz w:val="18"/>
          <w:szCs w:val="18"/>
        </w:rPr>
        <w:t>+</w:t>
      </w:r>
      <w:r w:rsidR="00D56576">
        <w:rPr>
          <w:rFonts w:ascii="Poppins" w:hAnsi="Poppins" w:cs="Poppins"/>
          <w:sz w:val="18"/>
          <w:szCs w:val="18"/>
        </w:rPr>
        <w:t>0</w:t>
      </w:r>
      <w:r w:rsidR="00460518" w:rsidRPr="00493AC4">
        <w:rPr>
          <w:rFonts w:ascii="Poppins" w:hAnsi="Poppins" w:cs="Poppins"/>
          <w:sz w:val="18"/>
          <w:szCs w:val="18"/>
        </w:rPr>
        <w:t>,</w:t>
      </w:r>
      <w:r w:rsidR="00254C76">
        <w:rPr>
          <w:rFonts w:ascii="Poppins" w:hAnsi="Poppins" w:cs="Poppins"/>
          <w:sz w:val="18"/>
          <w:szCs w:val="18"/>
        </w:rPr>
        <w:t>67</w:t>
      </w:r>
      <w:r w:rsidR="0033361B" w:rsidRPr="00493AC4">
        <w:rPr>
          <w:rFonts w:ascii="Poppins" w:hAnsi="Poppins" w:cs="Poppins"/>
          <w:sz w:val="18"/>
          <w:szCs w:val="18"/>
        </w:rPr>
        <w:t xml:space="preserve"> </w:t>
      </w:r>
      <w:r w:rsidR="00093757" w:rsidRPr="00493AC4">
        <w:rPr>
          <w:rFonts w:ascii="Poppins" w:hAnsi="Poppins" w:cs="Poppins"/>
          <w:sz w:val="18"/>
          <w:szCs w:val="18"/>
        </w:rPr>
        <w:t xml:space="preserve">S/Gln), </w:t>
      </w:r>
      <w:r w:rsidR="00465772" w:rsidRPr="00493AC4">
        <w:rPr>
          <w:rFonts w:ascii="Poppins" w:hAnsi="Poppins" w:cs="Poppins"/>
          <w:sz w:val="18"/>
          <w:szCs w:val="18"/>
        </w:rPr>
        <w:t>Gaso</w:t>
      </w:r>
      <w:r w:rsidR="00A01E92" w:rsidRPr="00493AC4">
        <w:rPr>
          <w:rFonts w:ascii="Poppins" w:hAnsi="Poppins" w:cs="Poppins"/>
          <w:sz w:val="18"/>
          <w:szCs w:val="18"/>
        </w:rPr>
        <w:t>lina</w:t>
      </w:r>
      <w:r w:rsidR="00465772" w:rsidRPr="00493AC4">
        <w:rPr>
          <w:rFonts w:ascii="Poppins" w:hAnsi="Poppins" w:cs="Poppins"/>
          <w:sz w:val="18"/>
          <w:szCs w:val="18"/>
        </w:rPr>
        <w:t xml:space="preserve"> </w:t>
      </w:r>
      <w:r w:rsidR="00093757" w:rsidRPr="00493AC4">
        <w:rPr>
          <w:rFonts w:ascii="Poppins" w:hAnsi="Poppins" w:cs="Poppins"/>
          <w:sz w:val="18"/>
          <w:szCs w:val="18"/>
        </w:rPr>
        <w:t>Regular</w:t>
      </w:r>
      <w:r w:rsidR="00465772" w:rsidRPr="00493AC4">
        <w:rPr>
          <w:rFonts w:ascii="Poppins" w:hAnsi="Poppins" w:cs="Poppins"/>
          <w:sz w:val="18"/>
          <w:szCs w:val="18"/>
        </w:rPr>
        <w:t xml:space="preserve"> (</w:t>
      </w:r>
      <w:r w:rsidR="00E930C3">
        <w:rPr>
          <w:rFonts w:ascii="Poppins" w:hAnsi="Poppins" w:cs="Poppins"/>
          <w:sz w:val="18"/>
          <w:szCs w:val="18"/>
        </w:rPr>
        <w:t>+</w:t>
      </w:r>
      <w:r w:rsidR="00254C76">
        <w:rPr>
          <w:rFonts w:ascii="Poppins" w:hAnsi="Poppins" w:cs="Poppins"/>
          <w:sz w:val="18"/>
          <w:szCs w:val="18"/>
        </w:rPr>
        <w:t>0,64</w:t>
      </w:r>
      <w:r w:rsidR="00640D73" w:rsidRPr="00493AC4">
        <w:rPr>
          <w:rFonts w:ascii="Poppins" w:hAnsi="Poppins" w:cs="Poppins"/>
          <w:sz w:val="18"/>
          <w:szCs w:val="18"/>
        </w:rPr>
        <w:t xml:space="preserve"> </w:t>
      </w:r>
      <w:r w:rsidR="00465772" w:rsidRPr="00493AC4">
        <w:rPr>
          <w:rFonts w:ascii="Poppins" w:hAnsi="Poppins" w:cs="Poppins"/>
          <w:sz w:val="18"/>
          <w:szCs w:val="18"/>
        </w:rPr>
        <w:t>S/Gln)</w:t>
      </w:r>
      <w:r w:rsidR="00BC45B5" w:rsidRPr="00493AC4">
        <w:rPr>
          <w:rFonts w:ascii="Poppins" w:hAnsi="Poppins" w:cs="Poppins"/>
          <w:sz w:val="18"/>
          <w:szCs w:val="18"/>
        </w:rPr>
        <w:t xml:space="preserve">, </w:t>
      </w:r>
      <w:r w:rsidR="00845353" w:rsidRPr="00493AC4">
        <w:rPr>
          <w:rFonts w:ascii="Poppins" w:hAnsi="Poppins" w:cs="Poppins"/>
          <w:sz w:val="18"/>
          <w:szCs w:val="18"/>
        </w:rPr>
        <w:t>Gasohol Premium (</w:t>
      </w:r>
      <w:r w:rsidR="00E930C3">
        <w:rPr>
          <w:rFonts w:ascii="Poppins" w:hAnsi="Poppins" w:cs="Poppins"/>
          <w:sz w:val="18"/>
          <w:szCs w:val="18"/>
        </w:rPr>
        <w:t>+</w:t>
      </w:r>
      <w:r w:rsidR="00493AC4" w:rsidRPr="00493AC4">
        <w:rPr>
          <w:rFonts w:ascii="Poppins" w:hAnsi="Poppins" w:cs="Poppins"/>
          <w:sz w:val="18"/>
          <w:szCs w:val="18"/>
        </w:rPr>
        <w:t>0</w:t>
      </w:r>
      <w:r w:rsidR="00845353" w:rsidRPr="00493AC4">
        <w:rPr>
          <w:rFonts w:ascii="Poppins" w:hAnsi="Poppins" w:cs="Poppins"/>
          <w:sz w:val="18"/>
          <w:szCs w:val="18"/>
        </w:rPr>
        <w:t>,</w:t>
      </w:r>
      <w:r w:rsidR="00254C76">
        <w:rPr>
          <w:rFonts w:ascii="Poppins" w:hAnsi="Poppins" w:cs="Poppins"/>
          <w:sz w:val="18"/>
          <w:szCs w:val="18"/>
        </w:rPr>
        <w:t>66</w:t>
      </w:r>
      <w:r w:rsidR="00845353" w:rsidRPr="00493AC4">
        <w:rPr>
          <w:rFonts w:ascii="Poppins" w:hAnsi="Poppins" w:cs="Poppins"/>
          <w:sz w:val="18"/>
          <w:szCs w:val="18"/>
        </w:rPr>
        <w:t xml:space="preserve"> S/Gln), </w:t>
      </w:r>
      <w:r w:rsidR="00A01E92" w:rsidRPr="00493AC4">
        <w:rPr>
          <w:rFonts w:ascii="Poppins" w:hAnsi="Poppins" w:cs="Poppins"/>
          <w:sz w:val="18"/>
          <w:szCs w:val="18"/>
        </w:rPr>
        <w:t>Gasohol Regular (</w:t>
      </w:r>
      <w:r w:rsidR="00E930C3">
        <w:rPr>
          <w:rFonts w:ascii="Poppins" w:hAnsi="Poppins" w:cs="Poppins"/>
          <w:sz w:val="18"/>
          <w:szCs w:val="18"/>
        </w:rPr>
        <w:t>+</w:t>
      </w:r>
      <w:r w:rsidR="00254C76">
        <w:rPr>
          <w:rFonts w:ascii="Poppins" w:hAnsi="Poppins" w:cs="Poppins"/>
          <w:sz w:val="18"/>
          <w:szCs w:val="18"/>
        </w:rPr>
        <w:t>0,63</w:t>
      </w:r>
      <w:r w:rsidR="00626502" w:rsidRPr="00493AC4">
        <w:rPr>
          <w:rFonts w:ascii="Poppins" w:hAnsi="Poppins" w:cs="Poppins"/>
          <w:sz w:val="18"/>
          <w:szCs w:val="18"/>
        </w:rPr>
        <w:t> </w:t>
      </w:r>
      <w:r w:rsidR="00A01E92" w:rsidRPr="00493AC4">
        <w:rPr>
          <w:rFonts w:ascii="Poppins" w:hAnsi="Poppins" w:cs="Poppins"/>
          <w:sz w:val="18"/>
          <w:szCs w:val="18"/>
        </w:rPr>
        <w:t>S/Gln)</w:t>
      </w:r>
      <w:r w:rsidR="00B66A52" w:rsidRPr="00493AC4">
        <w:rPr>
          <w:rFonts w:ascii="Poppins" w:hAnsi="Poppins" w:cs="Poppins"/>
          <w:sz w:val="18"/>
          <w:szCs w:val="18"/>
        </w:rPr>
        <w:t>, Diesel B5 UV S-50 (</w:t>
      </w:r>
      <w:r w:rsidR="00013F5B">
        <w:rPr>
          <w:rFonts w:ascii="Poppins" w:hAnsi="Poppins" w:cs="Poppins"/>
          <w:sz w:val="18"/>
          <w:szCs w:val="18"/>
        </w:rPr>
        <w:t>+</w:t>
      </w:r>
      <w:r w:rsidR="00254C76">
        <w:rPr>
          <w:rFonts w:ascii="Poppins" w:hAnsi="Poppins" w:cs="Poppins"/>
          <w:sz w:val="18"/>
          <w:szCs w:val="18"/>
        </w:rPr>
        <w:t>0,49</w:t>
      </w:r>
      <w:r w:rsidR="00B66A52" w:rsidRPr="00493AC4">
        <w:rPr>
          <w:rFonts w:ascii="Poppins" w:hAnsi="Poppins" w:cs="Poppins"/>
          <w:sz w:val="18"/>
          <w:szCs w:val="18"/>
        </w:rPr>
        <w:t xml:space="preserve"> S/Gln)</w:t>
      </w:r>
      <w:r w:rsidR="00D56576">
        <w:rPr>
          <w:rFonts w:ascii="Poppins" w:hAnsi="Poppins" w:cs="Poppins"/>
          <w:sz w:val="18"/>
          <w:szCs w:val="18"/>
        </w:rPr>
        <w:t>,</w:t>
      </w:r>
      <w:r w:rsidR="000869FB" w:rsidRPr="00493AC4">
        <w:rPr>
          <w:rFonts w:ascii="Poppins" w:hAnsi="Poppins" w:cs="Poppins"/>
          <w:sz w:val="18"/>
          <w:szCs w:val="18"/>
        </w:rPr>
        <w:t xml:space="preserve"> </w:t>
      </w:r>
      <w:r w:rsidR="00B66A52" w:rsidRPr="00493AC4">
        <w:rPr>
          <w:rFonts w:ascii="Poppins" w:hAnsi="Poppins" w:cs="Poppins"/>
          <w:sz w:val="18"/>
          <w:szCs w:val="18"/>
          <w:lang w:val="es-PE"/>
        </w:rPr>
        <w:t>Diesel B5 S-50</w:t>
      </w:r>
      <w:r w:rsidR="00B66A52" w:rsidRPr="00493AC4">
        <w:rPr>
          <w:rFonts w:ascii="Poppins" w:hAnsi="Poppins" w:cs="Poppins"/>
          <w:sz w:val="18"/>
          <w:szCs w:val="18"/>
        </w:rPr>
        <w:t xml:space="preserve"> (</w:t>
      </w:r>
      <w:r w:rsidR="00013F5B">
        <w:rPr>
          <w:rFonts w:ascii="Poppins" w:hAnsi="Poppins" w:cs="Poppins"/>
          <w:sz w:val="18"/>
          <w:szCs w:val="18"/>
        </w:rPr>
        <w:t>+</w:t>
      </w:r>
      <w:r w:rsidR="00254C76">
        <w:rPr>
          <w:rFonts w:ascii="Poppins" w:hAnsi="Poppins" w:cs="Poppins"/>
          <w:sz w:val="18"/>
          <w:szCs w:val="18"/>
        </w:rPr>
        <w:t>0,49</w:t>
      </w:r>
      <w:r w:rsidR="00B66A52" w:rsidRPr="00493AC4">
        <w:rPr>
          <w:rFonts w:ascii="Poppins" w:hAnsi="Poppins" w:cs="Poppins"/>
          <w:sz w:val="18"/>
          <w:szCs w:val="18"/>
        </w:rPr>
        <w:t xml:space="preserve"> S/Gln</w:t>
      </w:r>
      <w:r w:rsidR="00655A5E" w:rsidRPr="00493AC4">
        <w:rPr>
          <w:rFonts w:ascii="Poppins" w:hAnsi="Poppins" w:cs="Poppins"/>
          <w:sz w:val="18"/>
          <w:szCs w:val="18"/>
        </w:rPr>
        <w:t>)</w:t>
      </w:r>
      <w:r w:rsidR="00D56576">
        <w:rPr>
          <w:rFonts w:ascii="Poppins" w:hAnsi="Poppins" w:cs="Poppins"/>
          <w:sz w:val="18"/>
          <w:szCs w:val="18"/>
        </w:rPr>
        <w:t>, Petróleo Industrial N°</w:t>
      </w:r>
      <w:r w:rsidR="00254C76">
        <w:rPr>
          <w:rFonts w:ascii="Poppins" w:hAnsi="Poppins" w:cs="Poppins"/>
          <w:sz w:val="18"/>
          <w:szCs w:val="18"/>
        </w:rPr>
        <w:t xml:space="preserve"> </w:t>
      </w:r>
      <w:r w:rsidR="00D56576">
        <w:rPr>
          <w:rFonts w:ascii="Poppins" w:hAnsi="Poppins" w:cs="Poppins"/>
          <w:sz w:val="18"/>
          <w:szCs w:val="18"/>
        </w:rPr>
        <w:t xml:space="preserve">6 </w:t>
      </w:r>
      <w:r w:rsidR="00D56576" w:rsidRPr="00493AC4">
        <w:rPr>
          <w:rFonts w:ascii="Poppins" w:hAnsi="Poppins" w:cs="Poppins"/>
          <w:sz w:val="18"/>
          <w:szCs w:val="18"/>
        </w:rPr>
        <w:t>(</w:t>
      </w:r>
      <w:r w:rsidR="00E930C3">
        <w:rPr>
          <w:rFonts w:ascii="Poppins" w:hAnsi="Poppins" w:cs="Poppins"/>
          <w:sz w:val="18"/>
          <w:szCs w:val="18"/>
        </w:rPr>
        <w:t>+</w:t>
      </w:r>
      <w:r w:rsidR="00D56576" w:rsidRPr="00493AC4">
        <w:rPr>
          <w:rFonts w:ascii="Poppins" w:hAnsi="Poppins" w:cs="Poppins"/>
          <w:sz w:val="18"/>
          <w:szCs w:val="18"/>
        </w:rPr>
        <w:t>0,</w:t>
      </w:r>
      <w:r w:rsidR="00254C76">
        <w:rPr>
          <w:rFonts w:ascii="Poppins" w:hAnsi="Poppins" w:cs="Poppins"/>
          <w:sz w:val="18"/>
          <w:szCs w:val="18"/>
        </w:rPr>
        <w:t>12</w:t>
      </w:r>
      <w:r w:rsidR="00D56576" w:rsidRPr="00493AC4">
        <w:rPr>
          <w:rFonts w:ascii="Poppins" w:hAnsi="Poppins" w:cs="Poppins"/>
          <w:sz w:val="18"/>
          <w:szCs w:val="18"/>
        </w:rPr>
        <w:t xml:space="preserve"> S/Gln)</w:t>
      </w:r>
      <w:r w:rsidR="00D56576">
        <w:rPr>
          <w:rFonts w:ascii="Poppins" w:hAnsi="Poppins" w:cs="Poppins"/>
          <w:sz w:val="18"/>
          <w:szCs w:val="18"/>
        </w:rPr>
        <w:t xml:space="preserve"> y</w:t>
      </w:r>
      <w:r w:rsidR="00D56576" w:rsidRPr="00D56576">
        <w:rPr>
          <w:rFonts w:ascii="Poppins" w:hAnsi="Poppins" w:cs="Poppins"/>
          <w:sz w:val="18"/>
          <w:szCs w:val="18"/>
        </w:rPr>
        <w:t xml:space="preserve"> </w:t>
      </w:r>
      <w:r w:rsidR="00D56576">
        <w:rPr>
          <w:rFonts w:ascii="Poppins" w:hAnsi="Poppins" w:cs="Poppins"/>
          <w:sz w:val="18"/>
          <w:szCs w:val="18"/>
        </w:rPr>
        <w:t>Petróleo Industrial N°</w:t>
      </w:r>
      <w:r w:rsidR="00254C76">
        <w:rPr>
          <w:rFonts w:ascii="Poppins" w:hAnsi="Poppins" w:cs="Poppins"/>
          <w:sz w:val="18"/>
          <w:szCs w:val="18"/>
        </w:rPr>
        <w:t xml:space="preserve"> </w:t>
      </w:r>
      <w:r w:rsidR="00D56576">
        <w:rPr>
          <w:rFonts w:ascii="Poppins" w:hAnsi="Poppins" w:cs="Poppins"/>
          <w:sz w:val="18"/>
          <w:szCs w:val="18"/>
        </w:rPr>
        <w:t xml:space="preserve">500 </w:t>
      </w:r>
      <w:r w:rsidR="00D56576" w:rsidRPr="00493AC4">
        <w:rPr>
          <w:rFonts w:ascii="Poppins" w:hAnsi="Poppins" w:cs="Poppins"/>
          <w:sz w:val="18"/>
          <w:szCs w:val="18"/>
        </w:rPr>
        <w:t>(</w:t>
      </w:r>
      <w:r w:rsidR="00E930C3">
        <w:rPr>
          <w:rFonts w:ascii="Poppins" w:hAnsi="Poppins" w:cs="Poppins"/>
          <w:sz w:val="18"/>
          <w:szCs w:val="18"/>
        </w:rPr>
        <w:t>+</w:t>
      </w:r>
      <w:r w:rsidR="00D56576" w:rsidRPr="00493AC4">
        <w:rPr>
          <w:rFonts w:ascii="Poppins" w:hAnsi="Poppins" w:cs="Poppins"/>
          <w:sz w:val="18"/>
          <w:szCs w:val="18"/>
        </w:rPr>
        <w:t>0,</w:t>
      </w:r>
      <w:r w:rsidR="00254C76">
        <w:rPr>
          <w:rFonts w:ascii="Poppins" w:hAnsi="Poppins" w:cs="Poppins"/>
          <w:sz w:val="18"/>
          <w:szCs w:val="18"/>
        </w:rPr>
        <w:t>10</w:t>
      </w:r>
      <w:r w:rsidR="00D56576" w:rsidRPr="00493AC4">
        <w:rPr>
          <w:rFonts w:ascii="Poppins" w:hAnsi="Poppins" w:cs="Poppins"/>
          <w:sz w:val="18"/>
          <w:szCs w:val="18"/>
        </w:rPr>
        <w:t xml:space="preserve"> S/Gln)</w:t>
      </w:r>
      <w:r w:rsidR="00D56576">
        <w:rPr>
          <w:rFonts w:ascii="Poppins" w:hAnsi="Poppins" w:cs="Poppins"/>
          <w:sz w:val="18"/>
          <w:szCs w:val="18"/>
        </w:rPr>
        <w:t>,</w:t>
      </w:r>
      <w:r w:rsidR="00D56576" w:rsidRPr="00493AC4">
        <w:rPr>
          <w:rFonts w:ascii="Poppins" w:hAnsi="Poppins" w:cs="Poppins"/>
          <w:sz w:val="18"/>
          <w:szCs w:val="18"/>
        </w:rPr>
        <w:t xml:space="preserve"> </w:t>
      </w:r>
      <w:r w:rsidR="00432D6B" w:rsidRPr="00493AC4">
        <w:rPr>
          <w:rFonts w:ascii="Poppins" w:hAnsi="Poppins" w:cs="Poppins"/>
          <w:sz w:val="18"/>
          <w:szCs w:val="18"/>
          <w:lang w:val="es-PE"/>
        </w:rPr>
        <w:t>respecto de sus precios de la semana anterior.</w:t>
      </w:r>
    </w:p>
    <w:p w14:paraId="7897706E" w14:textId="79D2D574" w:rsidR="00013F5B" w:rsidRPr="00944C17" w:rsidRDefault="00944C17" w:rsidP="00944C17">
      <w:pPr>
        <w:rPr>
          <w:rFonts w:ascii="Poppins" w:hAnsi="Poppins" w:cs="Poppins"/>
          <w:sz w:val="18"/>
          <w:szCs w:val="18"/>
          <w:lang w:val="es-PE"/>
        </w:rPr>
      </w:pPr>
      <w:r>
        <w:rPr>
          <w:rFonts w:ascii="Poppins" w:hAnsi="Poppins" w:cs="Poppins"/>
          <w:sz w:val="18"/>
          <w:szCs w:val="18"/>
          <w:lang w:val="es-PE"/>
        </w:rPr>
        <w:br w:type="page"/>
      </w: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3D7613A6" w14:textId="77777777" w:rsidR="00135BF0" w:rsidRDefault="00135BF0" w:rsidP="00313709">
      <w:pPr>
        <w:jc w:val="both"/>
        <w:rPr>
          <w:rFonts w:ascii="Poppins" w:hAnsi="Poppins" w:cs="Poppins"/>
          <w:sz w:val="18"/>
          <w:szCs w:val="18"/>
        </w:rPr>
      </w:pPr>
    </w:p>
    <w:p w14:paraId="2B55A32B" w14:textId="77777777" w:rsidR="00135BF0" w:rsidRDefault="00135BF0" w:rsidP="00313709">
      <w:pPr>
        <w:jc w:val="both"/>
        <w:rPr>
          <w:rFonts w:ascii="Poppins" w:hAnsi="Poppins" w:cs="Poppins"/>
          <w:sz w:val="18"/>
          <w:szCs w:val="18"/>
        </w:rPr>
      </w:pPr>
    </w:p>
    <w:p w14:paraId="578FF8B3" w14:textId="77777777" w:rsidR="006925F8" w:rsidRDefault="006925F8" w:rsidP="00313709">
      <w:pPr>
        <w:jc w:val="both"/>
        <w:rPr>
          <w:rFonts w:ascii="Poppins" w:hAnsi="Poppins" w:cs="Poppins"/>
          <w:sz w:val="18"/>
          <w:szCs w:val="18"/>
        </w:rPr>
      </w:pPr>
    </w:p>
    <w:p w14:paraId="70CDCCF6" w14:textId="77777777" w:rsidR="006925F8" w:rsidRDefault="006925F8" w:rsidP="00313709">
      <w:pPr>
        <w:jc w:val="both"/>
        <w:rPr>
          <w:rFonts w:ascii="Poppins" w:hAnsi="Poppins" w:cs="Poppins"/>
          <w:sz w:val="18"/>
          <w:szCs w:val="18"/>
        </w:rPr>
      </w:pPr>
    </w:p>
    <w:p w14:paraId="15F7A1F8" w14:textId="77777777" w:rsidR="006925F8" w:rsidRPr="0096213B" w:rsidRDefault="006925F8" w:rsidP="00313709">
      <w:pPr>
        <w:jc w:val="both"/>
        <w:rPr>
          <w:rFonts w:ascii="Poppins" w:hAnsi="Poppins" w:cs="Poppins"/>
          <w:sz w:val="18"/>
          <w:szCs w:val="18"/>
        </w:rPr>
      </w:pPr>
    </w:p>
    <w:p w14:paraId="5FB158F8" w14:textId="4E02237D" w:rsidR="00B877D1" w:rsidRDefault="00B877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660E7917" w:rsidR="00FE7A18"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91646E">
        <w:rPr>
          <w:rFonts w:ascii="Poppins" w:hAnsi="Poppins" w:cs="Poppins"/>
          <w:sz w:val="18"/>
          <w:szCs w:val="18"/>
        </w:rPr>
        <w:t>20</w:t>
      </w:r>
      <w:r w:rsidR="00E7305B">
        <w:rPr>
          <w:rFonts w:ascii="Poppins" w:hAnsi="Poppins" w:cs="Poppins"/>
          <w:sz w:val="18"/>
          <w:szCs w:val="18"/>
        </w:rPr>
        <w:t>/</w:t>
      </w:r>
      <w:r w:rsidR="006B489A">
        <w:rPr>
          <w:rFonts w:ascii="Poppins" w:hAnsi="Poppins" w:cs="Poppins"/>
          <w:sz w:val="18"/>
          <w:szCs w:val="18"/>
        </w:rPr>
        <w:t>0</w:t>
      </w:r>
      <w:r w:rsidR="00135BF0">
        <w:rPr>
          <w:rFonts w:ascii="Poppins" w:hAnsi="Poppins" w:cs="Poppins"/>
          <w:sz w:val="18"/>
          <w:szCs w:val="18"/>
        </w:rPr>
        <w:t>7</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91646E">
        <w:rPr>
          <w:rFonts w:ascii="Poppins" w:hAnsi="Poppins" w:cs="Poppins"/>
          <w:sz w:val="18"/>
          <w:szCs w:val="18"/>
        </w:rPr>
        <w:t>31</w:t>
      </w:r>
      <w:r w:rsidR="00336251" w:rsidRPr="0096213B">
        <w:rPr>
          <w:rFonts w:ascii="Poppins" w:hAnsi="Poppins" w:cs="Poppins"/>
          <w:sz w:val="18"/>
          <w:szCs w:val="18"/>
        </w:rPr>
        <w:t>/</w:t>
      </w:r>
      <w:r w:rsidR="005151B0">
        <w:rPr>
          <w:rFonts w:ascii="Poppins" w:hAnsi="Poppins" w:cs="Poppins"/>
          <w:sz w:val="18"/>
          <w:szCs w:val="18"/>
        </w:rPr>
        <w:t>0</w:t>
      </w:r>
      <w:r w:rsidR="00DB47C0">
        <w:rPr>
          <w:rFonts w:ascii="Poppins" w:hAnsi="Poppins" w:cs="Poppins"/>
          <w:sz w:val="18"/>
          <w:szCs w:val="18"/>
        </w:rPr>
        <w:t>7</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0091646E">
        <w:rPr>
          <w:rFonts w:ascii="Poppins" w:hAnsi="Poppins" w:cs="Poppins"/>
          <w:sz w:val="18"/>
          <w:szCs w:val="18"/>
        </w:rPr>
        <w:t>.</w:t>
      </w:r>
    </w:p>
    <w:p w14:paraId="5C3E5569" w14:textId="77777777" w:rsidR="00044A8A" w:rsidRPr="0096213B" w:rsidRDefault="00044A8A" w:rsidP="00CD537C">
      <w:pPr>
        <w:tabs>
          <w:tab w:val="left" w:pos="1560"/>
        </w:tabs>
        <w:jc w:val="both"/>
        <w:rPr>
          <w:rFonts w:ascii="Poppins" w:hAnsi="Poppins" w:cs="Poppins"/>
          <w:sz w:val="18"/>
          <w:szCs w:val="18"/>
        </w:rPr>
      </w:pPr>
    </w:p>
    <w:p w14:paraId="179751A3" w14:textId="77777777" w:rsidR="00713C2F" w:rsidRPr="0096213B" w:rsidRDefault="00713C2F" w:rsidP="00A86191">
      <w:pPr>
        <w:rPr>
          <w:rFonts w:ascii="Poppins" w:hAnsi="Poppins" w:cs="Poppins"/>
          <w:b/>
          <w:bCs/>
          <w:i/>
          <w:sz w:val="18"/>
          <w:szCs w:val="18"/>
          <w:lang w:eastAsia="es-PE"/>
        </w:rPr>
      </w:pPr>
    </w:p>
    <w:p w14:paraId="086D8755" w14:textId="3EF7E9A6"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1E25D0">
        <w:rPr>
          <w:rFonts w:ascii="Poppins" w:hAnsi="Poppins" w:cs="Poppins"/>
          <w:b/>
          <w:bCs/>
          <w:i/>
          <w:sz w:val="18"/>
          <w:szCs w:val="18"/>
          <w:lang w:eastAsia="es-PE"/>
        </w:rPr>
        <w:t>03</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1E25D0">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4A9F6919" w14:textId="77777777" w:rsidR="0091646E" w:rsidRDefault="0091646E" w:rsidP="00A86191">
      <w:pPr>
        <w:spacing w:line="360" w:lineRule="auto"/>
        <w:ind w:right="49"/>
        <w:jc w:val="both"/>
        <w:rPr>
          <w:rFonts w:ascii="Poppins" w:eastAsia="Calibri" w:hAnsi="Poppins" w:cs="Poppins"/>
          <w:b/>
          <w:i/>
          <w:sz w:val="12"/>
          <w:szCs w:val="12"/>
        </w:rPr>
      </w:pPr>
      <w:r>
        <w:rPr>
          <w:rFonts w:ascii="Poppins" w:eastAsia="Calibri" w:hAnsi="Poppins" w:cs="Poppins"/>
          <w:b/>
          <w:i/>
          <w:noProof/>
          <w:sz w:val="12"/>
          <w:szCs w:val="12"/>
        </w:rPr>
        <w:drawing>
          <wp:inline distT="0" distB="0" distL="0" distR="0" wp14:anchorId="7A2BDC8D" wp14:editId="059B36BB">
            <wp:extent cx="5446800" cy="2779200"/>
            <wp:effectExtent l="0" t="0" r="1905" b="2540"/>
            <wp:docPr id="919426512" name="Imagen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46800" cy="2779200"/>
                    </a:xfrm>
                    <a:prstGeom prst="rect">
                      <a:avLst/>
                    </a:prstGeom>
                    <a:noFill/>
                  </pic:spPr>
                </pic:pic>
              </a:graphicData>
            </a:graphic>
          </wp:inline>
        </w:drawing>
      </w:r>
    </w:p>
    <w:p w14:paraId="6F543033" w14:textId="1DEDE60E"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E1E0889"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A2967">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6925F8">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2814E9">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w:t>
      </w:r>
      <w:r w:rsidR="00FA2967">
        <w:rPr>
          <w:rFonts w:ascii="Poppins" w:hAnsi="Poppins" w:cs="Poppins"/>
          <w:sz w:val="18"/>
          <w:szCs w:val="18"/>
        </w:rPr>
        <w:t xml:space="preserve"> respectivamente,</w:t>
      </w:r>
      <w:r w:rsidRPr="0096213B">
        <w:rPr>
          <w:rFonts w:ascii="Poppins" w:hAnsi="Poppins" w:cs="Poppins"/>
          <w:sz w:val="18"/>
          <w:szCs w:val="18"/>
        </w:rPr>
        <w:t xml:space="preserve"> </w:t>
      </w:r>
      <w:r w:rsidR="0005557A">
        <w:rPr>
          <w:rFonts w:ascii="Poppins" w:hAnsi="Poppins" w:cs="Poppins"/>
          <w:sz w:val="18"/>
          <w:szCs w:val="18"/>
        </w:rPr>
        <w:t>8</w:t>
      </w:r>
      <w:r w:rsidR="00FA2967">
        <w:rPr>
          <w:rFonts w:ascii="Poppins" w:hAnsi="Poppins" w:cs="Poppins"/>
          <w:sz w:val="18"/>
          <w:szCs w:val="18"/>
        </w:rPr>
        <w:t>3</w:t>
      </w:r>
      <w:r w:rsidR="0005557A">
        <w:rPr>
          <w:rFonts w:ascii="Poppins" w:hAnsi="Poppins" w:cs="Poppins"/>
          <w:sz w:val="18"/>
          <w:szCs w:val="18"/>
        </w:rPr>
        <w:t>%</w:t>
      </w:r>
      <w:r w:rsidR="00FA2967">
        <w:rPr>
          <w:rFonts w:ascii="Poppins" w:hAnsi="Poppins" w:cs="Poppins"/>
          <w:sz w:val="18"/>
          <w:szCs w:val="18"/>
        </w:rPr>
        <w:t xml:space="preserve"> y 82%</w:t>
      </w:r>
      <w:r w:rsidR="003118CE">
        <w:rPr>
          <w:rFonts w:ascii="Poppins" w:hAnsi="Poppins" w:cs="Poppins"/>
          <w:sz w:val="18"/>
          <w:szCs w:val="18"/>
        </w:rPr>
        <w:t xml:space="preserve"> </w:t>
      </w:r>
      <w:r w:rsidRPr="0096213B">
        <w:rPr>
          <w:rFonts w:ascii="Poppins" w:hAnsi="Poppins" w:cs="Poppins"/>
          <w:sz w:val="18"/>
          <w:szCs w:val="18"/>
        </w:rPr>
        <w:t>del precio de los residuales R6 y R500</w:t>
      </w:r>
      <w:r w:rsidR="00FA2967">
        <w:rPr>
          <w:rFonts w:ascii="Poppins" w:hAnsi="Poppins" w:cs="Poppins"/>
          <w:sz w:val="18"/>
          <w:szCs w:val="18"/>
        </w:rPr>
        <w:t>, respectivamente</w:t>
      </w:r>
      <w:r w:rsidRPr="0096213B">
        <w:rPr>
          <w:rFonts w:ascii="Poppins" w:hAnsi="Poppins" w:cs="Poppins"/>
          <w:sz w:val="18"/>
          <w:szCs w:val="18"/>
        </w:rPr>
        <w:t xml:space="preserve">; y fue igual o superior al </w:t>
      </w:r>
      <w:r w:rsidR="00530DC3">
        <w:rPr>
          <w:rFonts w:ascii="Poppins" w:hAnsi="Poppins" w:cs="Poppins"/>
          <w:sz w:val="18"/>
          <w:szCs w:val="18"/>
        </w:rPr>
        <w:t>8</w:t>
      </w:r>
      <w:r w:rsidR="00FA2967">
        <w:rPr>
          <w:rFonts w:ascii="Poppins" w:hAnsi="Poppins" w:cs="Poppins"/>
          <w:sz w:val="18"/>
          <w:szCs w:val="18"/>
        </w:rPr>
        <w:t>8</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4F5F7A9D"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FA2967">
        <w:rPr>
          <w:rFonts w:ascii="Poppins" w:hAnsi="Poppins" w:cs="Poppins"/>
          <w:sz w:val="18"/>
          <w:szCs w:val="18"/>
        </w:rPr>
        <w:t>03</w:t>
      </w:r>
      <w:r w:rsidR="00F07057">
        <w:rPr>
          <w:rFonts w:ascii="Poppins" w:hAnsi="Poppins" w:cs="Poppins"/>
          <w:sz w:val="18"/>
          <w:szCs w:val="18"/>
        </w:rPr>
        <w:t xml:space="preserve"> </w:t>
      </w:r>
      <w:r w:rsidRPr="0096213B">
        <w:rPr>
          <w:rFonts w:ascii="Poppins" w:hAnsi="Poppins" w:cs="Poppins"/>
          <w:sz w:val="18"/>
          <w:szCs w:val="18"/>
        </w:rPr>
        <w:t xml:space="preserve">de </w:t>
      </w:r>
      <w:r w:rsidR="00FA2967">
        <w:rPr>
          <w:rFonts w:ascii="Poppins" w:hAnsi="Poppins" w:cs="Poppins"/>
          <w:sz w:val="18"/>
          <w:szCs w:val="18"/>
        </w:rPr>
        <w:t>agosto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A9495AA"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B1667">
        <w:rPr>
          <w:rFonts w:ascii="Poppins" w:hAnsi="Poppins" w:cs="Poppins"/>
          <w:sz w:val="18"/>
          <w:szCs w:val="18"/>
        </w:rPr>
        <w:t>4,11</w:t>
      </w:r>
      <w:r w:rsidR="00A33C99" w:rsidRPr="0096213B">
        <w:rPr>
          <w:rFonts w:ascii="Poppins" w:hAnsi="Poppins" w:cs="Poppins"/>
          <w:sz w:val="18"/>
          <w:szCs w:val="18"/>
        </w:rPr>
        <w:t xml:space="preserve"> cent$/galón equivalente a </w:t>
      </w:r>
      <w:r w:rsidR="00022AF5">
        <w:rPr>
          <w:rFonts w:ascii="Poppins" w:hAnsi="Poppins" w:cs="Poppins"/>
          <w:sz w:val="18"/>
          <w:szCs w:val="18"/>
        </w:rPr>
        <w:t>1</w:t>
      </w:r>
      <w:r w:rsidR="00322939">
        <w:rPr>
          <w:rFonts w:ascii="Poppins" w:hAnsi="Poppins" w:cs="Poppins"/>
          <w:sz w:val="18"/>
          <w:szCs w:val="18"/>
        </w:rPr>
        <w:t>,</w:t>
      </w:r>
      <w:r w:rsidR="00EB1667">
        <w:rPr>
          <w:rFonts w:ascii="Poppins" w:hAnsi="Poppins" w:cs="Poppins"/>
          <w:sz w:val="18"/>
          <w:szCs w:val="18"/>
        </w:rPr>
        <w:t>73</w:t>
      </w:r>
      <w:r w:rsidR="00A33C99" w:rsidRPr="0096213B">
        <w:rPr>
          <w:rFonts w:ascii="Poppins" w:hAnsi="Poppins" w:cs="Poppins"/>
          <w:sz w:val="18"/>
          <w:szCs w:val="18"/>
        </w:rPr>
        <w:t xml:space="preserve"> US$/Bl</w:t>
      </w:r>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6D3F02D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B54588">
        <w:rPr>
          <w:rFonts w:ascii="Poppins" w:hAnsi="Poppins" w:cs="Poppins"/>
          <w:sz w:val="18"/>
          <w:szCs w:val="18"/>
        </w:rPr>
        <w:t>4,85</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5405418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BD4B80">
        <w:rPr>
          <w:rFonts w:ascii="Poppins" w:hAnsi="Poppins" w:cs="Poppins"/>
          <w:sz w:val="18"/>
          <w:szCs w:val="18"/>
        </w:rPr>
        <w:t>1</w:t>
      </w:r>
      <w:r w:rsidR="00901532">
        <w:rPr>
          <w:rFonts w:ascii="Poppins" w:hAnsi="Poppins" w:cs="Poppins"/>
          <w:sz w:val="18"/>
          <w:szCs w:val="18"/>
        </w:rPr>
        <w:t>,</w:t>
      </w:r>
      <w:r w:rsidR="006925F8">
        <w:rPr>
          <w:rFonts w:ascii="Poppins" w:hAnsi="Poppins" w:cs="Poppins"/>
          <w:sz w:val="18"/>
          <w:szCs w:val="18"/>
        </w:rPr>
        <w:t>13</w:t>
      </w:r>
      <w:r w:rsidRPr="0096213B">
        <w:rPr>
          <w:rFonts w:ascii="Poppins" w:hAnsi="Poppins" w:cs="Poppins"/>
          <w:sz w:val="18"/>
          <w:szCs w:val="18"/>
        </w:rPr>
        <w:t xml:space="preserve"> US$/Bl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D53B90">
        <w:rPr>
          <w:rFonts w:ascii="Poppins" w:hAnsi="Poppins" w:cs="Poppins"/>
          <w:sz w:val="18"/>
          <w:szCs w:val="18"/>
        </w:rPr>
        <w:t>9</w:t>
      </w:r>
      <w:r w:rsidR="00B54588">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544351A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814E9">
        <w:rPr>
          <w:rFonts w:ascii="Poppins" w:hAnsi="Poppins" w:cs="Poppins"/>
          <w:sz w:val="18"/>
          <w:szCs w:val="18"/>
        </w:rPr>
        <w:t>2</w:t>
      </w:r>
      <w:r w:rsidR="003F2A3A">
        <w:rPr>
          <w:rFonts w:ascii="Poppins" w:hAnsi="Poppins" w:cs="Poppins"/>
          <w:sz w:val="18"/>
          <w:szCs w:val="18"/>
        </w:rPr>
        <w:t>,</w:t>
      </w:r>
      <w:r w:rsidR="00B54588">
        <w:rPr>
          <w:rFonts w:ascii="Poppins" w:hAnsi="Poppins" w:cs="Poppins"/>
          <w:sz w:val="18"/>
          <w:szCs w:val="18"/>
        </w:rPr>
        <w:t>27</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BD4B80">
        <w:rPr>
          <w:rFonts w:ascii="Poppins" w:hAnsi="Poppins" w:cs="Poppins"/>
          <w:sz w:val="18"/>
          <w:szCs w:val="18"/>
        </w:rPr>
        <w:t>1</w:t>
      </w:r>
      <w:r w:rsidR="00B54588">
        <w:rPr>
          <w:rFonts w:ascii="Poppins" w:hAnsi="Poppins" w:cs="Poppins"/>
          <w:sz w:val="18"/>
          <w:szCs w:val="18"/>
        </w:rPr>
        <w:t>2,20</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6000520"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B54588">
        <w:rPr>
          <w:rFonts w:ascii="Poppins" w:hAnsi="Poppins" w:cs="Poppins"/>
          <w:sz w:val="18"/>
          <w:szCs w:val="18"/>
        </w:rPr>
        <w:t>4,85</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635CD04A" w14:textId="77777777" w:rsidR="005809B2" w:rsidRPr="005809B2" w:rsidRDefault="005809B2" w:rsidP="005809B2">
      <w:pPr>
        <w:pStyle w:val="Prrafodelista"/>
        <w:rPr>
          <w:rFonts w:ascii="Poppins" w:hAnsi="Poppins" w:cs="Poppins"/>
          <w:sz w:val="18"/>
          <w:szCs w:val="18"/>
        </w:rPr>
      </w:pPr>
    </w:p>
    <w:p w14:paraId="3DB93CDB" w14:textId="2A36A79A"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6925F8">
        <w:rPr>
          <w:rFonts w:ascii="Poppins" w:hAnsi="Poppins" w:cs="Poppins"/>
          <w:bCs/>
          <w:sz w:val="18"/>
          <w:szCs w:val="18"/>
        </w:rPr>
        <w:t>4</w:t>
      </w:r>
      <w:r w:rsidRPr="004C5B09">
        <w:rPr>
          <w:rFonts w:ascii="Poppins" w:hAnsi="Poppins" w:cs="Poppins"/>
          <w:bCs/>
          <w:sz w:val="18"/>
          <w:szCs w:val="18"/>
        </w:rPr>
        <w:t>,</w:t>
      </w:r>
      <w:r w:rsidR="006925F8">
        <w:rPr>
          <w:rFonts w:ascii="Poppins" w:hAnsi="Poppins" w:cs="Poppins"/>
          <w:bCs/>
          <w:sz w:val="18"/>
          <w:szCs w:val="18"/>
        </w:rPr>
        <w:t>10</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05796AE8"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041DC0">
        <w:rPr>
          <w:rFonts w:ascii="Poppins" w:hAnsi="Poppins" w:cs="Poppins"/>
          <w:sz w:val="18"/>
          <w:szCs w:val="18"/>
        </w:rPr>
        <w:t>4</w:t>
      </w:r>
      <w:r w:rsidR="003F2A3A">
        <w:rPr>
          <w:rFonts w:ascii="Poppins" w:hAnsi="Poppins" w:cs="Poppins"/>
          <w:sz w:val="18"/>
          <w:szCs w:val="18"/>
        </w:rPr>
        <w:t>,</w:t>
      </w:r>
      <w:r w:rsidR="006925F8">
        <w:rPr>
          <w:rFonts w:ascii="Poppins" w:hAnsi="Poppins" w:cs="Poppins"/>
          <w:sz w:val="18"/>
          <w:szCs w:val="18"/>
        </w:rPr>
        <w:t>5</w:t>
      </w:r>
      <w:r w:rsidR="00B54588">
        <w:rPr>
          <w:rFonts w:ascii="Poppins" w:hAnsi="Poppins" w:cs="Poppins"/>
          <w:sz w:val="18"/>
          <w:szCs w:val="18"/>
        </w:rPr>
        <w:t>3</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4B2634A3" w14:textId="1E3B5AB5" w:rsidR="00CD6A33" w:rsidRDefault="00CB3778" w:rsidP="004F74EE">
      <w:pPr>
        <w:jc w:val="both"/>
        <w:rPr>
          <w:rFonts w:ascii="Poppins" w:hAnsi="Poppins" w:cs="Poppins"/>
          <w:sz w:val="18"/>
          <w:szCs w:val="18"/>
          <w:u w:val="single"/>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r w:rsidR="00884C25">
        <w:rPr>
          <w:rFonts w:ascii="Poppins" w:hAnsi="Poppins" w:cs="Poppins"/>
          <w:sz w:val="18"/>
          <w:szCs w:val="18"/>
          <w:lang w:eastAsia="en-US"/>
        </w:rPr>
        <w:t xml:space="preserve"> </w:t>
      </w:r>
      <w:r w:rsidR="006B7746" w:rsidRPr="006B7746">
        <w:rPr>
          <w:rFonts w:ascii="Poppins" w:hAnsi="Poppins" w:cs="Poppins"/>
          <w:sz w:val="18"/>
          <w:szCs w:val="18"/>
          <w:lang w:eastAsia="en-US"/>
        </w:rPr>
        <w:t>En ese contexto, de las diez cotizaciones comprendidas entre el 20 y el 31 de julio consideradas en el presente reporte, únicamente las correspondientes al 30 y 31 de julio registraron demoras superiores al umbral. Por tanto, los valores de flete utilizados para la presente semana incorporan el costo por demora para las cotizaciones que no superaron dicho umbral y, para las correspondientes al 30 y 31 de julio, el costo asociado a la priorización del cruce por el Canal de Panamá mediante subastas.</w:t>
      </w:r>
      <w:r w:rsidR="00CD6A33" w:rsidRPr="00CD6A33">
        <w:rPr>
          <w:rFonts w:ascii="Poppins" w:hAnsi="Poppins" w:cs="Poppins"/>
          <w:sz w:val="18"/>
          <w:szCs w:val="18"/>
          <w:lang w:eastAsia="en-US"/>
        </w:rPr>
        <w:t xml:space="preserve"> Como resultado, los costos considerados ascienden a </w:t>
      </w:r>
      <w:r w:rsidR="008A2049">
        <w:rPr>
          <w:rFonts w:ascii="Poppins" w:hAnsi="Poppins" w:cs="Poppins"/>
          <w:sz w:val="18"/>
          <w:szCs w:val="18"/>
          <w:lang w:eastAsia="en-US"/>
        </w:rPr>
        <w:t>0</w:t>
      </w:r>
      <w:r w:rsidR="00CD6A33" w:rsidRPr="00CD6A33">
        <w:rPr>
          <w:rFonts w:ascii="Poppins" w:hAnsi="Poppins" w:cs="Poppins"/>
          <w:sz w:val="18"/>
          <w:szCs w:val="18"/>
          <w:lang w:eastAsia="en-US"/>
        </w:rPr>
        <w:t>,</w:t>
      </w:r>
      <w:r w:rsidR="0009738E">
        <w:rPr>
          <w:rFonts w:ascii="Poppins" w:hAnsi="Poppins" w:cs="Poppins"/>
          <w:sz w:val="18"/>
          <w:szCs w:val="18"/>
          <w:lang w:eastAsia="en-US"/>
        </w:rPr>
        <w:t>45</w:t>
      </w:r>
      <w:r w:rsidR="00CD6A33" w:rsidRPr="00CD6A33">
        <w:rPr>
          <w:rFonts w:ascii="Poppins" w:hAnsi="Poppins" w:cs="Poppins"/>
          <w:sz w:val="18"/>
          <w:szCs w:val="18"/>
          <w:lang w:eastAsia="en-US"/>
        </w:rPr>
        <w:t xml:space="preserve"> US$/Bl para el GLP,</w:t>
      </w:r>
      <w:r w:rsidR="00BD4B80">
        <w:rPr>
          <w:rFonts w:ascii="Poppins" w:hAnsi="Poppins" w:cs="Poppins"/>
          <w:sz w:val="18"/>
          <w:szCs w:val="18"/>
          <w:lang w:eastAsia="en-US"/>
        </w:rPr>
        <w:t xml:space="preserve"> 0</w:t>
      </w:r>
      <w:r w:rsidR="002814E9">
        <w:rPr>
          <w:rFonts w:ascii="Poppins" w:hAnsi="Poppins" w:cs="Poppins"/>
          <w:sz w:val="18"/>
          <w:szCs w:val="18"/>
          <w:lang w:eastAsia="en-US"/>
        </w:rPr>
        <w:t>,</w:t>
      </w:r>
      <w:r w:rsidR="0009738E">
        <w:rPr>
          <w:rFonts w:ascii="Poppins" w:hAnsi="Poppins" w:cs="Poppins"/>
          <w:sz w:val="18"/>
          <w:szCs w:val="18"/>
          <w:lang w:eastAsia="en-US"/>
        </w:rPr>
        <w:t>6</w:t>
      </w:r>
      <w:r w:rsidR="00041DC0">
        <w:rPr>
          <w:rFonts w:ascii="Poppins" w:hAnsi="Poppins" w:cs="Poppins"/>
          <w:sz w:val="18"/>
          <w:szCs w:val="18"/>
          <w:lang w:eastAsia="en-US"/>
        </w:rPr>
        <w:t>2</w:t>
      </w:r>
      <w:r w:rsidR="00CD6A33" w:rsidRPr="00CD6A33">
        <w:rPr>
          <w:rFonts w:ascii="Poppins" w:hAnsi="Poppins" w:cs="Poppins"/>
          <w:sz w:val="18"/>
          <w:szCs w:val="18"/>
          <w:lang w:eastAsia="en-US"/>
        </w:rPr>
        <w:t xml:space="preserve"> US$/Bl para las gasolinas y </w:t>
      </w:r>
      <w:r w:rsidR="002814E9">
        <w:rPr>
          <w:rFonts w:ascii="Poppins" w:hAnsi="Poppins" w:cs="Poppins"/>
          <w:sz w:val="18"/>
          <w:szCs w:val="18"/>
          <w:lang w:eastAsia="en-US"/>
        </w:rPr>
        <w:t>0</w:t>
      </w:r>
      <w:r w:rsidR="00CD6A33" w:rsidRPr="00CD6A33">
        <w:rPr>
          <w:rFonts w:ascii="Poppins" w:hAnsi="Poppins" w:cs="Poppins"/>
          <w:sz w:val="18"/>
          <w:szCs w:val="18"/>
          <w:lang w:eastAsia="en-US"/>
        </w:rPr>
        <w:t>,</w:t>
      </w:r>
      <w:r w:rsidR="0009738E">
        <w:rPr>
          <w:rFonts w:ascii="Poppins" w:hAnsi="Poppins" w:cs="Poppins"/>
          <w:sz w:val="18"/>
          <w:szCs w:val="18"/>
          <w:lang w:eastAsia="en-US"/>
        </w:rPr>
        <w:t>6</w:t>
      </w:r>
      <w:r w:rsidR="00041DC0">
        <w:rPr>
          <w:rFonts w:ascii="Poppins" w:hAnsi="Poppins" w:cs="Poppins"/>
          <w:sz w:val="18"/>
          <w:szCs w:val="18"/>
          <w:lang w:eastAsia="en-US"/>
        </w:rPr>
        <w:t>2</w:t>
      </w:r>
      <w:r w:rsidR="00CD6A33" w:rsidRPr="00CD6A33">
        <w:rPr>
          <w:rFonts w:ascii="Poppins" w:hAnsi="Poppins" w:cs="Poppins"/>
          <w:sz w:val="18"/>
          <w:szCs w:val="18"/>
          <w:lang w:eastAsia="en-US"/>
        </w:rPr>
        <w:t xml:space="preserve"> US$/Bl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3EB1D4D1"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041DC0">
        <w:rPr>
          <w:rFonts w:ascii="Poppins" w:hAnsi="Poppins" w:cs="Poppins"/>
          <w:sz w:val="18"/>
          <w:szCs w:val="18"/>
          <w:lang w:eastAsia="en-US"/>
        </w:rPr>
        <w:t>8</w:t>
      </w:r>
      <w:r w:rsidR="009E085E" w:rsidRPr="0096213B">
        <w:rPr>
          <w:rFonts w:ascii="Poppins" w:hAnsi="Poppins" w:cs="Poppins"/>
          <w:sz w:val="18"/>
          <w:szCs w:val="18"/>
          <w:lang w:eastAsia="en-US"/>
        </w:rPr>
        <w:t>,</w:t>
      </w:r>
      <w:r w:rsidR="00041DC0">
        <w:rPr>
          <w:rFonts w:ascii="Poppins" w:hAnsi="Poppins" w:cs="Poppins"/>
          <w:sz w:val="18"/>
          <w:szCs w:val="18"/>
          <w:lang w:eastAsia="en-US"/>
        </w:rPr>
        <w:t>33</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US$/Bl),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F90D8B">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41D4A41F" w:rsidR="006B489A" w:rsidRPr="00F90D8B"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F90D8B">
              <w:rPr>
                <w:noProof/>
              </w:rPr>
              <w:drawing>
                <wp:inline distT="0" distB="0" distL="0" distR="0" wp14:anchorId="15A90DA2" wp14:editId="54173A14">
                  <wp:extent cx="8172000" cy="3027600"/>
                  <wp:effectExtent l="0" t="0" r="635" b="1905"/>
                  <wp:docPr id="2" name="Imagen 1">
                    <a:extLst xmlns:a="http://schemas.openxmlformats.org/drawingml/2006/main">
                      <a:ext uri="{FF2B5EF4-FFF2-40B4-BE49-F238E27FC236}">
                        <a16:creationId xmlns:a16="http://schemas.microsoft.com/office/drawing/2014/main" id="{95BE3860-FF0C-DF4A-2CD0-ABEDDCA878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95BE3860-FF0C-DF4A-2CD0-ABEDDCA87899}"/>
                              </a:ext>
                            </a:extLs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72000" cy="3027600"/>
                          </a:xfrm>
                          <a:prstGeom prst="rect">
                            <a:avLst/>
                          </a:prstGeom>
                          <a:noFill/>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73446359" w:rsidR="00F85D23" w:rsidRPr="0096213B" w:rsidRDefault="001839E1" w:rsidP="006A2A6B">
      <w:pPr>
        <w:tabs>
          <w:tab w:val="left" w:pos="8785"/>
        </w:tabs>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r w:rsidR="006A2A6B">
        <w:rPr>
          <w:rFonts w:ascii="Poppins" w:hAnsi="Poppins" w:cs="Poppins"/>
          <w:b/>
          <w:i/>
          <w:sz w:val="18"/>
          <w:szCs w:val="18"/>
        </w:rPr>
        <w:tab/>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A0C4E">
        <w:trPr>
          <w:trHeight w:val="4509"/>
        </w:trPr>
        <w:tc>
          <w:tcPr>
            <w:tcW w:w="5758" w:type="dxa"/>
            <w:tcBorders>
              <w:top w:val="single" w:sz="4" w:space="0" w:color="auto"/>
              <w:bottom w:val="single" w:sz="4" w:space="0" w:color="auto"/>
            </w:tcBorders>
          </w:tcPr>
          <w:p w14:paraId="5FE1CE67" w14:textId="4C479D98" w:rsidR="000F7442" w:rsidRPr="0096213B" w:rsidRDefault="002A0C4E" w:rsidP="000F7442">
            <w:pPr>
              <w:jc w:val="center"/>
              <w:rPr>
                <w:rFonts w:ascii="Poppins" w:hAnsi="Poppins" w:cs="Poppins"/>
                <w:sz w:val="8"/>
                <w:szCs w:val="20"/>
              </w:rPr>
            </w:pPr>
            <w:r>
              <w:rPr>
                <w:noProof/>
              </w:rPr>
              <w:drawing>
                <wp:inline distT="0" distB="0" distL="0" distR="0" wp14:anchorId="7275AAF4" wp14:editId="716969AB">
                  <wp:extent cx="3528000" cy="2790000"/>
                  <wp:effectExtent l="0" t="0" r="0" b="0"/>
                  <wp:docPr id="1556427342" name="Imagen 1">
                    <a:extLst xmlns:a="http://schemas.openxmlformats.org/drawingml/2006/main">
                      <a:ext uri="{FF2B5EF4-FFF2-40B4-BE49-F238E27FC236}">
                        <a16:creationId xmlns:a16="http://schemas.microsoft.com/office/drawing/2014/main" id="{9023AF62-C994-01DF-E3C1-9736635FFB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9023AF62-C994-01DF-E3C1-9736635FFB35}"/>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8000" cy="2790000"/>
                          </a:xfrm>
                          <a:prstGeom prst="rect">
                            <a:avLst/>
                          </a:prstGeom>
                          <a:noFill/>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77FEEC11" w:rsidR="00EF3BE9" w:rsidRPr="0096213B" w:rsidRDefault="002A0C4E"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43195E17" wp14:editId="3DA4A64B">
                  <wp:extent cx="5209200" cy="2646000"/>
                  <wp:effectExtent l="0" t="0" r="0" b="2540"/>
                  <wp:docPr id="75836228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09200" cy="2646000"/>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61C0AD44" w:rsidR="00551F16" w:rsidRPr="0096213B" w:rsidRDefault="002A0C4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Pr>
          <w:noProof/>
        </w:rPr>
        <w:drawing>
          <wp:inline distT="0" distB="0" distL="0" distR="0" wp14:anchorId="37C3EB09" wp14:editId="45BCA97B">
            <wp:extent cx="5670221" cy="2202164"/>
            <wp:effectExtent l="0" t="0" r="6985" b="8255"/>
            <wp:docPr id="1999676482" name="Imagen 3">
              <a:extLst xmlns:a="http://schemas.openxmlformats.org/drawingml/2006/main">
                <a:ext uri="{FF2B5EF4-FFF2-40B4-BE49-F238E27FC236}">
                  <a16:creationId xmlns:a16="http://schemas.microsoft.com/office/drawing/2014/main" id="{3576D33A-06CE-D326-43B0-FB23E3DD45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3576D33A-06CE-D326-43B0-FB23E3DD459D}"/>
                        </a:ext>
                      </a:extLs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5886" cy="2208248"/>
                    </a:xfrm>
                    <a:prstGeom prst="rect">
                      <a:avLst/>
                    </a:prstGeom>
                    <a:noFill/>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64207CBE" w:rsidR="00F70B88" w:rsidRDefault="005B1372" w:rsidP="00604758">
      <w:pPr>
        <w:spacing w:line="0" w:lineRule="atLeast"/>
        <w:ind w:right="-567"/>
        <w:jc w:val="both"/>
        <w:rPr>
          <w:rFonts w:ascii="Poppins" w:hAnsi="Poppins" w:cs="Poppins"/>
          <w:noProof/>
          <w:sz w:val="20"/>
          <w:szCs w:val="20"/>
        </w:rPr>
      </w:pPr>
      <w:r w:rsidRPr="005B1372">
        <w:drawing>
          <wp:inline distT="0" distB="0" distL="0" distR="0" wp14:anchorId="42510879" wp14:editId="259169FF">
            <wp:extent cx="5848350" cy="2163445"/>
            <wp:effectExtent l="0" t="0" r="0" b="8255"/>
            <wp:docPr id="7334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48772" cy="2163601"/>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4C6994F5" w:rsidR="005207D4" w:rsidRPr="0096213B" w:rsidRDefault="005B1372" w:rsidP="006220EA">
      <w:pPr>
        <w:rPr>
          <w:rFonts w:ascii="Poppins" w:hAnsi="Poppins" w:cs="Poppins"/>
          <w:i/>
          <w:sz w:val="14"/>
          <w:szCs w:val="14"/>
        </w:rPr>
      </w:pPr>
      <w:r w:rsidRPr="005B1372">
        <w:drawing>
          <wp:inline distT="0" distB="0" distL="0" distR="0" wp14:anchorId="19F18A8D" wp14:editId="79DE1CC3">
            <wp:extent cx="5850000" cy="7063200"/>
            <wp:effectExtent l="0" t="0" r="0" b="4445"/>
            <wp:docPr id="19018783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000" cy="7063200"/>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29BCE3D" w:rsidR="005048C1" w:rsidRPr="0096213B" w:rsidRDefault="00F91202" w:rsidP="005048C1">
      <w:pPr>
        <w:jc w:val="both"/>
        <w:rPr>
          <w:rFonts w:ascii="Poppins" w:hAnsi="Poppins" w:cs="Poppins"/>
          <w:i/>
          <w:iCs/>
          <w:sz w:val="12"/>
          <w:szCs w:val="12"/>
        </w:rPr>
      </w:pPr>
      <w:r>
        <w:t xml:space="preserve">                       </w:t>
      </w:r>
      <w:r w:rsidR="00954FB6" w:rsidRPr="00954FB6">
        <w:drawing>
          <wp:inline distT="0" distB="0" distL="0" distR="0" wp14:anchorId="1EF16259" wp14:editId="68058C85">
            <wp:extent cx="5850000" cy="6357600"/>
            <wp:effectExtent l="0" t="0" r="0" b="5715"/>
            <wp:docPr id="425158830" name="Imagen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000" cy="63576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7CE443B" w14:textId="03A38D00" w:rsidR="00AA374B" w:rsidRDefault="00C6521A" w:rsidP="00842A58">
      <w:pPr>
        <w:pStyle w:val="xl37"/>
        <w:tabs>
          <w:tab w:val="left" w:pos="180"/>
        </w:tabs>
        <w:spacing w:before="0" w:beforeAutospacing="0" w:after="0" w:afterAutospacing="0"/>
        <w:jc w:val="center"/>
        <w:rPr>
          <w:noProof/>
        </w:rPr>
      </w:pPr>
      <w:r>
        <w:rPr>
          <w:noProof/>
        </w:rPr>
        <w:drawing>
          <wp:inline distT="0" distB="0" distL="0" distR="0" wp14:anchorId="3464EEE0" wp14:editId="3FCF0D24">
            <wp:extent cx="4457700" cy="2958465"/>
            <wp:effectExtent l="0" t="0" r="0" b="0"/>
            <wp:docPr id="3196926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692643" name=""/>
                    <pic:cNvPicPr/>
                  </pic:nvPicPr>
                  <pic:blipFill>
                    <a:blip r:embed="rId29"/>
                    <a:stretch>
                      <a:fillRect/>
                    </a:stretch>
                  </pic:blipFill>
                  <pic:spPr>
                    <a:xfrm>
                      <a:off x="0" y="0"/>
                      <a:ext cx="4463112" cy="2962057"/>
                    </a:xfrm>
                    <a:prstGeom prst="rect">
                      <a:avLst/>
                    </a:prstGeom>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31AFD0F3" w:rsidR="001307B8" w:rsidRPr="00A149FB" w:rsidRDefault="001307B8"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460A0450" w:rsidR="006C0944" w:rsidRDefault="00C6521A" w:rsidP="00373E46">
      <w:pPr>
        <w:pStyle w:val="xl37"/>
        <w:tabs>
          <w:tab w:val="left" w:pos="180"/>
        </w:tabs>
        <w:spacing w:before="0" w:beforeAutospacing="0" w:after="0" w:afterAutospacing="0"/>
        <w:jc w:val="center"/>
        <w:rPr>
          <w:noProof/>
        </w:rPr>
      </w:pPr>
      <w:r>
        <w:rPr>
          <w:noProof/>
        </w:rPr>
        <w:drawing>
          <wp:inline distT="0" distB="0" distL="0" distR="0" wp14:anchorId="09545C4A" wp14:editId="5909E2ED">
            <wp:extent cx="4581525" cy="3009265"/>
            <wp:effectExtent l="0" t="0" r="9525" b="635"/>
            <wp:docPr id="3859348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934883" name=""/>
                    <pic:cNvPicPr/>
                  </pic:nvPicPr>
                  <pic:blipFill>
                    <a:blip r:embed="rId30"/>
                    <a:stretch>
                      <a:fillRect/>
                    </a:stretch>
                  </pic:blipFill>
                  <pic:spPr>
                    <a:xfrm>
                      <a:off x="0" y="0"/>
                      <a:ext cx="4582035" cy="3009600"/>
                    </a:xfrm>
                    <a:prstGeom prst="rect">
                      <a:avLst/>
                    </a:prstGeom>
                  </pic:spPr>
                </pic:pic>
              </a:graphicData>
            </a:graphic>
          </wp:inline>
        </w:drawing>
      </w:r>
    </w:p>
    <w:p w14:paraId="6BF5C847" w14:textId="03AEA140" w:rsidR="00300FA6" w:rsidRDefault="00300FA6" w:rsidP="00373E46">
      <w:pPr>
        <w:pStyle w:val="xl37"/>
        <w:tabs>
          <w:tab w:val="left" w:pos="180"/>
        </w:tabs>
        <w:spacing w:before="0" w:beforeAutospacing="0" w:after="0" w:afterAutospacing="0"/>
        <w:jc w:val="center"/>
        <w:rPr>
          <w:noProof/>
        </w:rPr>
      </w:pPr>
    </w:p>
    <w:p w14:paraId="26C325D8" w14:textId="77777777" w:rsidR="00BF0152" w:rsidRDefault="00BF0152" w:rsidP="00373E46">
      <w:pPr>
        <w:pStyle w:val="xl37"/>
        <w:tabs>
          <w:tab w:val="left" w:pos="180"/>
        </w:tabs>
        <w:spacing w:before="0" w:beforeAutospacing="0" w:after="0" w:afterAutospacing="0"/>
        <w:jc w:val="center"/>
        <w:rPr>
          <w:noProof/>
        </w:rPr>
      </w:pPr>
    </w:p>
    <w:p w14:paraId="4837A8BB" w14:textId="77777777" w:rsidR="00BF0152" w:rsidRDefault="00BF0152" w:rsidP="00373E46">
      <w:pPr>
        <w:pStyle w:val="xl37"/>
        <w:tabs>
          <w:tab w:val="left" w:pos="180"/>
        </w:tabs>
        <w:spacing w:before="0" w:beforeAutospacing="0" w:after="0" w:afterAutospacing="0"/>
        <w:jc w:val="center"/>
        <w:rPr>
          <w:noProof/>
        </w:rPr>
      </w:pPr>
    </w:p>
    <w:p w14:paraId="2E8A7513" w14:textId="77777777" w:rsidR="00BF0152" w:rsidRDefault="00BF0152" w:rsidP="00373E46">
      <w:pPr>
        <w:pStyle w:val="xl37"/>
        <w:tabs>
          <w:tab w:val="left" w:pos="180"/>
        </w:tabs>
        <w:spacing w:before="0" w:beforeAutospacing="0" w:after="0" w:afterAutospacing="0"/>
        <w:jc w:val="center"/>
        <w:rPr>
          <w:noProof/>
        </w:rPr>
      </w:pPr>
    </w:p>
    <w:p w14:paraId="0F940CCA" w14:textId="77777777" w:rsidR="00BF0152" w:rsidRDefault="00BF0152" w:rsidP="00373E46">
      <w:pPr>
        <w:pStyle w:val="xl37"/>
        <w:tabs>
          <w:tab w:val="left" w:pos="180"/>
        </w:tabs>
        <w:spacing w:before="0" w:beforeAutospacing="0" w:after="0" w:afterAutospacing="0"/>
        <w:jc w:val="center"/>
        <w:rPr>
          <w:noProof/>
        </w:rPr>
      </w:pPr>
    </w:p>
    <w:p w14:paraId="6D98FFE0" w14:textId="77777777" w:rsidR="00BF0152" w:rsidRDefault="00BF0152" w:rsidP="00373E46">
      <w:pPr>
        <w:pStyle w:val="xl37"/>
        <w:tabs>
          <w:tab w:val="left" w:pos="180"/>
        </w:tabs>
        <w:spacing w:before="0" w:beforeAutospacing="0" w:after="0" w:afterAutospacing="0"/>
        <w:jc w:val="center"/>
        <w:rPr>
          <w:noProof/>
        </w:rPr>
      </w:pPr>
    </w:p>
    <w:p w14:paraId="52BA6581" w14:textId="00F211CA" w:rsidR="00BF0152" w:rsidRDefault="00C6521A" w:rsidP="00373E46">
      <w:pPr>
        <w:pStyle w:val="xl37"/>
        <w:tabs>
          <w:tab w:val="left" w:pos="180"/>
        </w:tabs>
        <w:spacing w:before="0" w:beforeAutospacing="0" w:after="0" w:afterAutospacing="0"/>
        <w:jc w:val="center"/>
        <w:rPr>
          <w:noProof/>
        </w:rPr>
      </w:pPr>
      <w:r>
        <w:rPr>
          <w:noProof/>
        </w:rPr>
        <w:drawing>
          <wp:inline distT="0" distB="0" distL="0" distR="0" wp14:anchorId="61A12EA0" wp14:editId="42614280">
            <wp:extent cx="4410075" cy="2879565"/>
            <wp:effectExtent l="0" t="0" r="0" b="0"/>
            <wp:docPr id="14346910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91088" name=""/>
                    <pic:cNvPicPr/>
                  </pic:nvPicPr>
                  <pic:blipFill>
                    <a:blip r:embed="rId31"/>
                    <a:stretch>
                      <a:fillRect/>
                    </a:stretch>
                  </pic:blipFill>
                  <pic:spPr>
                    <a:xfrm>
                      <a:off x="0" y="0"/>
                      <a:ext cx="4414379" cy="2882375"/>
                    </a:xfrm>
                    <a:prstGeom prst="rect">
                      <a:avLst/>
                    </a:prstGeom>
                  </pic:spPr>
                </pic:pic>
              </a:graphicData>
            </a:graphic>
          </wp:inline>
        </w:drawing>
      </w:r>
    </w:p>
    <w:p w14:paraId="7D1019A4" w14:textId="77777777" w:rsidR="00C6521A" w:rsidRDefault="00C6521A" w:rsidP="00373E46">
      <w:pPr>
        <w:pStyle w:val="xl37"/>
        <w:tabs>
          <w:tab w:val="left" w:pos="180"/>
        </w:tabs>
        <w:spacing w:before="0" w:beforeAutospacing="0" w:after="0" w:afterAutospacing="0"/>
        <w:jc w:val="center"/>
        <w:rPr>
          <w:noProof/>
        </w:rPr>
      </w:pPr>
    </w:p>
    <w:p w14:paraId="43E1B340" w14:textId="77777777" w:rsidR="00C6521A" w:rsidRDefault="00C6521A" w:rsidP="00373E46">
      <w:pPr>
        <w:pStyle w:val="xl37"/>
        <w:tabs>
          <w:tab w:val="left" w:pos="180"/>
        </w:tabs>
        <w:spacing w:before="0" w:beforeAutospacing="0" w:after="0" w:afterAutospacing="0"/>
        <w:jc w:val="center"/>
        <w:rPr>
          <w:noProof/>
        </w:rPr>
      </w:pPr>
    </w:p>
    <w:p w14:paraId="43FA7DC4" w14:textId="77777777" w:rsidR="00C6521A" w:rsidRDefault="00C6521A" w:rsidP="00373E46">
      <w:pPr>
        <w:pStyle w:val="xl37"/>
        <w:tabs>
          <w:tab w:val="left" w:pos="180"/>
        </w:tabs>
        <w:spacing w:before="0" w:beforeAutospacing="0" w:after="0" w:afterAutospacing="0"/>
        <w:jc w:val="center"/>
        <w:rPr>
          <w:noProof/>
        </w:rPr>
      </w:pPr>
    </w:p>
    <w:p w14:paraId="583FFBBF" w14:textId="77777777" w:rsidR="00BF0152" w:rsidRDefault="00BF0152" w:rsidP="00373E46">
      <w:pPr>
        <w:pStyle w:val="xl37"/>
        <w:tabs>
          <w:tab w:val="left" w:pos="180"/>
        </w:tabs>
        <w:spacing w:before="0" w:beforeAutospacing="0" w:after="0" w:afterAutospacing="0"/>
        <w:jc w:val="center"/>
        <w:rPr>
          <w:noProof/>
        </w:rPr>
      </w:pP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DF5DB7F" w14:textId="77777777" w:rsidR="00C6521A" w:rsidRDefault="00C6521A"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16F63F0E" w:rsidR="009D455B" w:rsidRDefault="00C6521A" w:rsidP="00BF0E9E">
      <w:pPr>
        <w:pStyle w:val="xl37"/>
        <w:tabs>
          <w:tab w:val="left" w:pos="180"/>
          <w:tab w:val="left" w:pos="1560"/>
          <w:tab w:val="left" w:pos="8222"/>
        </w:tabs>
        <w:spacing w:before="0" w:beforeAutospacing="0" w:after="0" w:afterAutospacing="0"/>
        <w:jc w:val="center"/>
        <w:rPr>
          <w:noProof/>
        </w:rPr>
      </w:pPr>
      <w:r w:rsidRPr="00C6521A">
        <w:drawing>
          <wp:inline distT="0" distB="0" distL="0" distR="0" wp14:anchorId="7FDDAD63" wp14:editId="74CB50B5">
            <wp:extent cx="4181475" cy="2879592"/>
            <wp:effectExtent l="0" t="0" r="0" b="0"/>
            <wp:docPr id="530379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379864" name=""/>
                    <pic:cNvPicPr/>
                  </pic:nvPicPr>
                  <pic:blipFill>
                    <a:blip r:embed="rId32"/>
                    <a:stretch>
                      <a:fillRect/>
                    </a:stretch>
                  </pic:blipFill>
                  <pic:spPr>
                    <a:xfrm>
                      <a:off x="0" y="0"/>
                      <a:ext cx="4187905" cy="2884020"/>
                    </a:xfrm>
                    <a:prstGeom prst="rect">
                      <a:avLst/>
                    </a:prstGeom>
                  </pic:spPr>
                </pic:pic>
              </a:graphicData>
            </a:graphic>
          </wp:inline>
        </w:drawing>
      </w:r>
    </w:p>
    <w:p w14:paraId="38B2F0A8" w14:textId="525F5062" w:rsidR="00356BB0" w:rsidRDefault="00356BB0" w:rsidP="009D455B">
      <w:pPr>
        <w:pStyle w:val="xl37"/>
        <w:tabs>
          <w:tab w:val="left" w:pos="180"/>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660F78D6" w14:textId="77777777" w:rsidR="00A25DEC" w:rsidRDefault="00A25DEC" w:rsidP="00373E46">
      <w:pPr>
        <w:pStyle w:val="xl37"/>
        <w:tabs>
          <w:tab w:val="left" w:pos="180"/>
        </w:tabs>
        <w:spacing w:before="0" w:beforeAutospacing="0" w:after="0" w:afterAutospacing="0"/>
        <w:jc w:val="center"/>
        <w:rPr>
          <w:noProof/>
        </w:rPr>
      </w:pPr>
    </w:p>
    <w:p w14:paraId="75F0E4BA" w14:textId="77777777" w:rsidR="00A25DEC" w:rsidRDefault="00A25DEC"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52A47C" w14:textId="77777777" w:rsidR="00316C43" w:rsidRDefault="00316C43" w:rsidP="006502B5">
      <w:r>
        <w:separator/>
      </w:r>
    </w:p>
  </w:endnote>
  <w:endnote w:type="continuationSeparator" w:id="0">
    <w:p w14:paraId="711EBB96" w14:textId="77777777" w:rsidR="00316C43" w:rsidRDefault="00316C4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Nirmala UI"/>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618A07" w14:textId="77777777" w:rsidR="00316C43" w:rsidRDefault="00316C43" w:rsidP="006502B5">
      <w:r>
        <w:separator/>
      </w:r>
    </w:p>
  </w:footnote>
  <w:footnote w:type="continuationSeparator" w:id="0">
    <w:p w14:paraId="63D1F423" w14:textId="77777777" w:rsidR="00316C43" w:rsidRDefault="00316C4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258BF8A"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6A49">
            <w:rPr>
              <w:rFonts w:ascii="Poppins" w:hAnsi="Poppins" w:cs="Poppins"/>
              <w:b/>
              <w:sz w:val="22"/>
              <w:szCs w:val="22"/>
              <w:lang w:val="it-IT"/>
            </w:rPr>
            <w:t>3</w:t>
          </w:r>
          <w:r w:rsidR="00930C99">
            <w:rPr>
              <w:rFonts w:ascii="Poppins" w:hAnsi="Poppins" w:cs="Poppins"/>
              <w:b/>
              <w:sz w:val="22"/>
              <w:szCs w:val="22"/>
              <w:lang w:val="it-IT"/>
            </w:rPr>
            <w:t>1</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964CCB6"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B0263F">
            <w:rPr>
              <w:rFonts w:ascii="Poppins" w:hAnsi="Poppins" w:cs="Poppins"/>
              <w:b/>
              <w:sz w:val="22"/>
              <w:szCs w:val="22"/>
              <w:lang w:val="it-IT"/>
            </w:rPr>
            <w:t>3</w:t>
          </w:r>
          <w:r w:rsidR="00E66E3B">
            <w:rPr>
              <w:rFonts w:ascii="Poppins" w:hAnsi="Poppins" w:cs="Poppins"/>
              <w:b/>
              <w:sz w:val="22"/>
              <w:szCs w:val="22"/>
              <w:lang w:val="it-IT"/>
            </w:rPr>
            <w:t>1</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07D2243"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6925F8">
            <w:rPr>
              <w:rFonts w:ascii="Poppins" w:hAnsi="Poppins" w:cs="Poppins"/>
              <w:b/>
              <w:sz w:val="22"/>
              <w:szCs w:val="22"/>
              <w:lang w:val="it-IT"/>
            </w:rPr>
            <w:t>3</w:t>
          </w:r>
          <w:r w:rsidR="00930C99">
            <w:rPr>
              <w:rFonts w:ascii="Poppins" w:hAnsi="Poppins" w:cs="Poppins"/>
              <w:b/>
              <w:sz w:val="22"/>
              <w:szCs w:val="22"/>
              <w:lang w:val="it-IT"/>
            </w:rPr>
            <w:t>1</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C241202"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55EA">
            <w:rPr>
              <w:rFonts w:ascii="Poppins" w:hAnsi="Poppins" w:cs="Poppins"/>
              <w:b/>
              <w:sz w:val="22"/>
              <w:szCs w:val="22"/>
              <w:lang w:val="it-IT"/>
            </w:rPr>
            <w:t>3</w:t>
          </w:r>
          <w:r w:rsidR="00930C99">
            <w:rPr>
              <w:rFonts w:ascii="Poppins" w:hAnsi="Poppins" w:cs="Poppins"/>
              <w:b/>
              <w:sz w:val="22"/>
              <w:szCs w:val="22"/>
              <w:lang w:val="it-IT"/>
            </w:rPr>
            <w:t>1</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5B"/>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5E38"/>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DC0"/>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A8A"/>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7A"/>
    <w:rsid w:val="00055581"/>
    <w:rsid w:val="000558F7"/>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983"/>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3D"/>
    <w:rsid w:val="00085CAF"/>
    <w:rsid w:val="00085F7D"/>
    <w:rsid w:val="000860DA"/>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38E"/>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57D"/>
    <w:rsid w:val="00134955"/>
    <w:rsid w:val="00134AC5"/>
    <w:rsid w:val="00134D9D"/>
    <w:rsid w:val="00135207"/>
    <w:rsid w:val="001356F1"/>
    <w:rsid w:val="0013583F"/>
    <w:rsid w:val="00135AFC"/>
    <w:rsid w:val="00135B0D"/>
    <w:rsid w:val="00135BF0"/>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CC1"/>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259"/>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98D"/>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1FED"/>
    <w:rsid w:val="001E25D0"/>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76"/>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93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4E9"/>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8EC"/>
    <w:rsid w:val="002A0925"/>
    <w:rsid w:val="002A09B8"/>
    <w:rsid w:val="002A0A9A"/>
    <w:rsid w:val="002A0AC0"/>
    <w:rsid w:val="002A0C4E"/>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4DE"/>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C4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43A"/>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5BE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E6E"/>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641"/>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33B"/>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454"/>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B0E"/>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693"/>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4EA7"/>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26E"/>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AC4"/>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EF4"/>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1A3"/>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A49"/>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EA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9B2"/>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6CB3"/>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5ED5"/>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372"/>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51"/>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DA0"/>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5D7"/>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4F36"/>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5F8"/>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A6B"/>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46"/>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0E9"/>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88F"/>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6C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3FC3"/>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C25"/>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49"/>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3"/>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C7CD0"/>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1C3C"/>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573"/>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46E"/>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C99"/>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C17"/>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4FB6"/>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242"/>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138"/>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9F5"/>
    <w:rsid w:val="00A96A93"/>
    <w:rsid w:val="00A96ABA"/>
    <w:rsid w:val="00A96DF0"/>
    <w:rsid w:val="00A96EB0"/>
    <w:rsid w:val="00A96FD3"/>
    <w:rsid w:val="00A97082"/>
    <w:rsid w:val="00A97106"/>
    <w:rsid w:val="00A9715D"/>
    <w:rsid w:val="00A97472"/>
    <w:rsid w:val="00A974B2"/>
    <w:rsid w:val="00A9786B"/>
    <w:rsid w:val="00A9787D"/>
    <w:rsid w:val="00A978AF"/>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74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63F"/>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535"/>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588"/>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B09"/>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B91"/>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B80"/>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152"/>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4F"/>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DA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21A"/>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522"/>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0BC"/>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B0C"/>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B90"/>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576"/>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5EA"/>
    <w:rsid w:val="00D85637"/>
    <w:rsid w:val="00D858B0"/>
    <w:rsid w:val="00D85ACF"/>
    <w:rsid w:val="00D85C7A"/>
    <w:rsid w:val="00D85C90"/>
    <w:rsid w:val="00D85EBB"/>
    <w:rsid w:val="00D8600E"/>
    <w:rsid w:val="00D86424"/>
    <w:rsid w:val="00D86707"/>
    <w:rsid w:val="00D8683D"/>
    <w:rsid w:val="00D868AA"/>
    <w:rsid w:val="00D86A2E"/>
    <w:rsid w:val="00D86D46"/>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6E91"/>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7C0"/>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2FC8"/>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07D"/>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8FA"/>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313"/>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E3B"/>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0C3"/>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361"/>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67"/>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4C86"/>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C46"/>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D8B"/>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AFF"/>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967"/>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64F"/>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2356</TotalTime>
  <Pages>20</Pages>
  <Words>5161</Words>
  <Characters>28391</Characters>
  <Application>Microsoft Office Word</Application>
  <DocSecurity>0</DocSecurity>
  <Lines>236</Lines>
  <Paragraphs>66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33486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Alexander Oshiro Seminario Cacha</cp:lastModifiedBy>
  <cp:revision>49</cp:revision>
  <cp:lastPrinted>2026-02-16T14:35:00Z</cp:lastPrinted>
  <dcterms:created xsi:type="dcterms:W3CDTF">2026-08-05T17:36:00Z</dcterms:created>
  <dcterms:modified xsi:type="dcterms:W3CDTF">2026-08-07T20:59:00Z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