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98E110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111F45">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C0D1F4B"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111F45">
        <w:rPr>
          <w:rFonts w:asciiTheme="minorHAnsi" w:hAnsiTheme="minorHAnsi" w:cstheme="minorHAnsi"/>
          <w:b/>
          <w:bCs/>
          <w:sz w:val="28"/>
          <w:szCs w:val="28"/>
        </w:rPr>
        <w:t>03</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111F45">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BB69E72" w:rsidR="00E53D92" w:rsidRPr="002B3648" w:rsidRDefault="006A2158"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8D3BF4">
        <w:rPr>
          <w:noProof/>
        </w:rPr>
        <w:drawing>
          <wp:inline distT="0" distB="0" distL="0" distR="0" wp14:anchorId="67E93F12" wp14:editId="7A259690">
            <wp:extent cx="5372100" cy="3596640"/>
            <wp:effectExtent l="0" t="0" r="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8"/>
                    <a:stretch>
                      <a:fillRect/>
                    </a:stretch>
                  </pic:blipFill>
                  <pic:spPr>
                    <a:xfrm>
                      <a:off x="0" y="0"/>
                      <a:ext cx="5372100" cy="359664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2931206D" w14:textId="53E532CF"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 xml:space="preserve">. </w:t>
      </w:r>
      <w:r w:rsidR="00464566">
        <w:rPr>
          <w:rFonts w:asciiTheme="minorHAnsi" w:hAnsiTheme="minorHAnsi" w:cstheme="minorHAnsi"/>
          <w:sz w:val="22"/>
          <w:szCs w:val="22"/>
        </w:rPr>
        <w:t xml:space="preserve">Durante el 2023, </w:t>
      </w:r>
      <w:r w:rsidR="00464566" w:rsidRPr="00464566">
        <w:rPr>
          <w:rFonts w:asciiTheme="minorHAnsi" w:hAnsiTheme="minorHAnsi" w:cstheme="minorHAnsi"/>
          <w:sz w:val="22"/>
          <w:szCs w:val="22"/>
        </w:rPr>
        <w:t>se registra volatilidad en los precios con periodos de descenso y ascenso semanales</w:t>
      </w:r>
      <w:r w:rsidR="00464566">
        <w:rPr>
          <w:rFonts w:asciiTheme="minorHAnsi" w:hAnsiTheme="minorHAnsi" w:cstheme="minorHAnsi"/>
          <w:sz w:val="22"/>
          <w:szCs w:val="22"/>
        </w:rPr>
        <w:t>, aunque con la irrupción repentina de la Crisis Bancaria, la tendencia general al alza de inicios de año se ha revertido.</w:t>
      </w:r>
    </w:p>
    <w:p w14:paraId="5CB5BC2E" w14:textId="77777777" w:rsidR="00E812D9" w:rsidRDefault="00E812D9" w:rsidP="00E812D9">
      <w:pPr>
        <w:jc w:val="both"/>
        <w:rPr>
          <w:rFonts w:asciiTheme="minorHAnsi" w:hAnsiTheme="minorHAnsi" w:cstheme="minorHAnsi"/>
          <w:sz w:val="22"/>
          <w:szCs w:val="22"/>
        </w:rPr>
      </w:pPr>
    </w:p>
    <w:p w14:paraId="197D44AE" w14:textId="367C5053"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el precio del crudo WTI se ubicó en 74</w:t>
      </w:r>
      <w:r>
        <w:rPr>
          <w:rFonts w:asciiTheme="minorHAnsi" w:hAnsiTheme="minorHAnsi" w:cstheme="minorHAnsi"/>
          <w:sz w:val="22"/>
          <w:szCs w:val="22"/>
        </w:rPr>
        <w:t>,</w:t>
      </w:r>
      <w:r w:rsidRPr="006A2158">
        <w:rPr>
          <w:rFonts w:asciiTheme="minorHAnsi" w:hAnsiTheme="minorHAnsi" w:cstheme="minorHAnsi"/>
          <w:sz w:val="22"/>
          <w:szCs w:val="22"/>
        </w:rPr>
        <w:t>75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las gasolinas registraron un precio superior a 100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105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Para el mismo periodo, el precio del GLP cerró la semana en 34</w:t>
      </w:r>
      <w:r>
        <w:rPr>
          <w:rFonts w:asciiTheme="minorHAnsi" w:hAnsiTheme="minorHAnsi" w:cstheme="minorHAnsi"/>
          <w:sz w:val="22"/>
          <w:szCs w:val="22"/>
        </w:rPr>
        <w:t>,</w:t>
      </w:r>
      <w:r w:rsidRPr="006A2158">
        <w:rPr>
          <w:rFonts w:asciiTheme="minorHAnsi" w:hAnsiTheme="minorHAnsi" w:cstheme="minorHAnsi"/>
          <w:sz w:val="22"/>
          <w:szCs w:val="22"/>
        </w:rPr>
        <w:t>30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308B82BE"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6A2158">
        <w:rPr>
          <w:rFonts w:asciiTheme="minorHAnsi" w:hAnsiTheme="minorHAnsi" w:cstheme="minorHAnsi"/>
          <w:sz w:val="22"/>
          <w:szCs w:val="22"/>
        </w:rPr>
        <w:t>20</w:t>
      </w:r>
      <w:r w:rsidRPr="00431A8E">
        <w:rPr>
          <w:rFonts w:asciiTheme="minorHAnsi" w:hAnsiTheme="minorHAnsi" w:cstheme="minorHAnsi"/>
          <w:sz w:val="22"/>
          <w:szCs w:val="22"/>
        </w:rPr>
        <w:t>.</w:t>
      </w:r>
      <w:r>
        <w:rPr>
          <w:rFonts w:asciiTheme="minorHAnsi" w:hAnsiTheme="minorHAnsi" w:cstheme="minorHAnsi"/>
          <w:sz w:val="22"/>
          <w:szCs w:val="22"/>
        </w:rPr>
        <w:t>03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6A2158">
        <w:rPr>
          <w:rFonts w:asciiTheme="minorHAnsi" w:hAnsiTheme="minorHAnsi" w:cstheme="minorHAnsi"/>
          <w:sz w:val="22"/>
          <w:szCs w:val="22"/>
        </w:rPr>
        <w:t>31</w:t>
      </w:r>
      <w:r w:rsidRPr="00431A8E">
        <w:rPr>
          <w:rFonts w:asciiTheme="minorHAnsi" w:hAnsiTheme="minorHAnsi" w:cstheme="minorHAnsi"/>
          <w:sz w:val="22"/>
          <w:szCs w:val="22"/>
        </w:rPr>
        <w:t>.0</w:t>
      </w:r>
      <w:r>
        <w:rPr>
          <w:rFonts w:asciiTheme="minorHAnsi" w:hAnsiTheme="minorHAnsi" w:cstheme="minorHAnsi"/>
          <w:sz w:val="22"/>
          <w:szCs w:val="22"/>
        </w:rPr>
        <w:t>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633C9590" w:rsidR="00107E57" w:rsidRDefault="00107E57" w:rsidP="006E0AC8">
      <w:pPr>
        <w:pStyle w:val="Prrafodelista"/>
        <w:ind w:left="426"/>
        <w:jc w:val="both"/>
        <w:rPr>
          <w:rFonts w:asciiTheme="minorHAnsi" w:hAnsiTheme="minorHAnsi" w:cstheme="minorHAnsi"/>
          <w:sz w:val="22"/>
          <w:szCs w:val="22"/>
        </w:rPr>
      </w:pPr>
    </w:p>
    <w:p w14:paraId="3B3209DC"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b/>
          <w:sz w:val="22"/>
          <w:szCs w:val="22"/>
        </w:rPr>
      </w:pPr>
      <w:r w:rsidRPr="003D5C38">
        <w:rPr>
          <w:rFonts w:asciiTheme="minorHAnsi" w:hAnsiTheme="minorHAnsi" w:cstheme="minorHAnsi"/>
          <w:b/>
          <w:sz w:val="22"/>
          <w:szCs w:val="22"/>
        </w:rPr>
        <w:t>La disminución de los inventarios de crudo, propano y gasolinas; así como el aumento de las existencias de destilados, al 24 de marzo del 2023.</w:t>
      </w:r>
    </w:p>
    <w:p w14:paraId="09B10F6C" w14:textId="77777777" w:rsidR="006A2158" w:rsidRPr="003D5C38" w:rsidRDefault="006A2158" w:rsidP="006A2158">
      <w:pPr>
        <w:pStyle w:val="Prrafodelista"/>
        <w:ind w:left="426"/>
        <w:jc w:val="both"/>
        <w:rPr>
          <w:rFonts w:asciiTheme="minorHAnsi" w:hAnsiTheme="minorHAnsi" w:cstheme="minorHAnsi"/>
          <w:sz w:val="22"/>
          <w:szCs w:val="22"/>
        </w:rPr>
      </w:pPr>
    </w:p>
    <w:p w14:paraId="68A9552F"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Los inventarios de petróleo en Estados Unidos bajaron en 7,5 millones barriles, ubicándose en un +6% por encima de la media de los últimos 5 años, lo que representa 473,7 millones de barriles.</w:t>
      </w:r>
    </w:p>
    <w:p w14:paraId="4335D9B2" w14:textId="77777777" w:rsidR="006A2158" w:rsidRPr="003D5C38" w:rsidRDefault="006A2158" w:rsidP="006A2158">
      <w:pPr>
        <w:pStyle w:val="Prrafodelista"/>
        <w:ind w:left="426"/>
        <w:jc w:val="both"/>
        <w:rPr>
          <w:rFonts w:asciiTheme="minorHAnsi" w:hAnsiTheme="minorHAnsi" w:cstheme="minorHAnsi"/>
          <w:sz w:val="22"/>
          <w:szCs w:val="22"/>
        </w:rPr>
      </w:pPr>
    </w:p>
    <w:p w14:paraId="03ED518B"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Las existencias de gasolina se redujeron en 2,9 millones de barriles, reportando un total de 226,7 millones de barriles; mientras los inventarios de destilados, que incluyen al diésel y al combustible para calefacción, subieron 0,3 millones de barriles, con un total de 116,7 millones de barriles. Finalmente, las existencias de propano disminuyeron 2,46 millones de barriles, ubicándose en los 56,24 millones de barriles.</w:t>
      </w:r>
    </w:p>
    <w:p w14:paraId="425DE6BC" w14:textId="77777777" w:rsidR="006A2158" w:rsidRPr="003D5C38" w:rsidRDefault="006A2158" w:rsidP="006A2158">
      <w:pPr>
        <w:pStyle w:val="Prrafodelista"/>
        <w:ind w:left="426"/>
        <w:jc w:val="both"/>
        <w:rPr>
          <w:rFonts w:asciiTheme="minorHAnsi" w:hAnsiTheme="minorHAnsi" w:cstheme="minorHAnsi"/>
          <w:sz w:val="22"/>
          <w:szCs w:val="22"/>
        </w:rPr>
      </w:pPr>
    </w:p>
    <w:p w14:paraId="27699EB4"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b/>
          <w:bCs/>
          <w:sz w:val="22"/>
          <w:szCs w:val="22"/>
        </w:rPr>
      </w:pPr>
      <w:r w:rsidRPr="003D5C38">
        <w:rPr>
          <w:rFonts w:asciiTheme="minorHAnsi" w:hAnsiTheme="minorHAnsi" w:cstheme="minorHAnsi"/>
          <w:b/>
          <w:bCs/>
          <w:sz w:val="22"/>
          <w:szCs w:val="22"/>
        </w:rPr>
        <w:t>La disminución de la crisis bancaria, a raíz del rescate de bancos en Estados Unidos y Europa.</w:t>
      </w:r>
    </w:p>
    <w:p w14:paraId="19FA2228" w14:textId="77777777" w:rsidR="006A2158" w:rsidRPr="003D5C38" w:rsidRDefault="006A2158" w:rsidP="006A2158">
      <w:pPr>
        <w:jc w:val="both"/>
        <w:rPr>
          <w:rFonts w:asciiTheme="minorHAnsi" w:hAnsiTheme="minorHAnsi" w:cstheme="minorHAnsi"/>
          <w:b/>
          <w:bCs/>
          <w:sz w:val="22"/>
          <w:szCs w:val="22"/>
        </w:rPr>
      </w:pPr>
    </w:p>
    <w:p w14:paraId="2BFD05F0" w14:textId="77777777" w:rsidR="006A2158" w:rsidRPr="003D5C38" w:rsidRDefault="006A2158" w:rsidP="006A2158">
      <w:pPr>
        <w:ind w:left="426"/>
        <w:jc w:val="both"/>
        <w:rPr>
          <w:rFonts w:asciiTheme="minorHAnsi" w:hAnsiTheme="minorHAnsi" w:cstheme="minorHAnsi"/>
          <w:sz w:val="22"/>
          <w:szCs w:val="22"/>
        </w:rPr>
      </w:pPr>
      <w:r w:rsidRPr="003D5C38">
        <w:rPr>
          <w:rFonts w:asciiTheme="minorHAnsi" w:hAnsiTheme="minorHAnsi" w:cstheme="minorHAnsi"/>
          <w:sz w:val="22"/>
          <w:szCs w:val="22"/>
        </w:rPr>
        <w:t xml:space="preserve">Los esfuerzos de las autoridades para frenar la preocupación por el sistema bancario mundial, permitieron que las acciones se recuperen y los rendimientos aumenten sobre la base de perspectivas económicas más sólidas. </w:t>
      </w:r>
    </w:p>
    <w:p w14:paraId="24D9A4E0" w14:textId="77777777" w:rsidR="006A2158" w:rsidRPr="003D5C38" w:rsidRDefault="006A2158" w:rsidP="006A2158">
      <w:pPr>
        <w:ind w:left="426"/>
        <w:jc w:val="both"/>
        <w:rPr>
          <w:rFonts w:asciiTheme="minorHAnsi" w:hAnsiTheme="minorHAnsi" w:cstheme="minorHAnsi"/>
          <w:sz w:val="22"/>
          <w:szCs w:val="22"/>
        </w:rPr>
      </w:pPr>
    </w:p>
    <w:p w14:paraId="4C96F34D" w14:textId="77777777" w:rsidR="006A2158" w:rsidRPr="003D5C38" w:rsidRDefault="006A2158" w:rsidP="006A2158">
      <w:pPr>
        <w:ind w:left="426"/>
        <w:jc w:val="both"/>
        <w:rPr>
          <w:rFonts w:asciiTheme="minorHAnsi" w:hAnsiTheme="minorHAnsi" w:cstheme="minorHAnsi"/>
          <w:color w:val="333333"/>
          <w:sz w:val="22"/>
          <w:szCs w:val="22"/>
          <w:shd w:val="clear" w:color="auto" w:fill="FFFFFF"/>
        </w:rPr>
      </w:pPr>
      <w:proofErr w:type="spellStart"/>
      <w:r w:rsidRPr="003D5C38">
        <w:rPr>
          <w:rFonts w:asciiTheme="minorHAnsi" w:hAnsiTheme="minorHAnsi" w:cstheme="minorHAnsi"/>
          <w:sz w:val="22"/>
          <w:szCs w:val="22"/>
        </w:rPr>
        <w:t>First</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Citizens</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BancShares</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Inc</w:t>
      </w:r>
      <w:proofErr w:type="spellEnd"/>
      <w:r w:rsidRPr="003D5C38">
        <w:rPr>
          <w:rFonts w:asciiTheme="minorHAnsi" w:hAnsiTheme="minorHAnsi" w:cstheme="minorHAnsi"/>
          <w:sz w:val="22"/>
          <w:szCs w:val="22"/>
        </w:rPr>
        <w:t xml:space="preserve"> manifestó que adquirirá los depósitos y préstamos del quebrado Silicon Valley Bank, cerrando un capítulo en la crisis de confianza que ha sacudido a los mercados financieros. También hay esperanzas de apoyo adicional a la financiación bancaria, luego de conocerse a través de informes, que las autoridades estadounidenses se encontraban en las primeras fases de deliberación sobre la ampliación de las facilidades de préstamo de emergencia</w:t>
      </w:r>
      <w:r w:rsidRPr="003D5C38">
        <w:rPr>
          <w:rFonts w:asciiTheme="minorHAnsi" w:hAnsiTheme="minorHAnsi" w:cstheme="minorHAnsi"/>
          <w:color w:val="333333"/>
          <w:sz w:val="22"/>
          <w:szCs w:val="22"/>
          <w:shd w:val="clear" w:color="auto" w:fill="FFFFFF"/>
        </w:rPr>
        <w:t>.</w:t>
      </w:r>
    </w:p>
    <w:p w14:paraId="721BC570" w14:textId="77777777" w:rsidR="006A2158" w:rsidRPr="003D5C38" w:rsidRDefault="006A2158" w:rsidP="006A2158">
      <w:pPr>
        <w:ind w:left="426"/>
        <w:jc w:val="both"/>
        <w:rPr>
          <w:rFonts w:asciiTheme="minorHAnsi" w:hAnsiTheme="minorHAnsi" w:cstheme="minorHAnsi"/>
          <w:b/>
          <w:bCs/>
          <w:sz w:val="22"/>
          <w:szCs w:val="22"/>
        </w:rPr>
      </w:pPr>
      <w:r w:rsidRPr="003D5C38">
        <w:rPr>
          <w:rFonts w:asciiTheme="minorHAnsi" w:hAnsiTheme="minorHAnsi" w:cstheme="minorHAnsi"/>
          <w:sz w:val="22"/>
          <w:szCs w:val="22"/>
        </w:rPr>
        <w:lastRenderedPageBreak/>
        <w:t xml:space="preserve">Entre otras acciones para frenar la crisis, destacan la realizada por la Unión de Bancos Suizos (UBS), la mayor institución financiera de ese país, que decidió comprar al </w:t>
      </w:r>
      <w:proofErr w:type="spellStart"/>
      <w:r w:rsidRPr="003D5C38">
        <w:rPr>
          <w:rFonts w:asciiTheme="minorHAnsi" w:hAnsiTheme="minorHAnsi" w:cstheme="minorHAnsi"/>
          <w:sz w:val="22"/>
          <w:szCs w:val="22"/>
        </w:rPr>
        <w:t>Credit</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Suisse</w:t>
      </w:r>
      <w:proofErr w:type="spellEnd"/>
      <w:r w:rsidRPr="003D5C38">
        <w:rPr>
          <w:rFonts w:asciiTheme="minorHAnsi" w:hAnsiTheme="minorHAnsi" w:cstheme="minorHAnsi"/>
          <w:sz w:val="22"/>
          <w:szCs w:val="22"/>
        </w:rPr>
        <w:t xml:space="preserve">, así como, la efectuada por 11 bancos de primer orden (Bank </w:t>
      </w:r>
      <w:proofErr w:type="spellStart"/>
      <w:r w:rsidRPr="003D5C38">
        <w:rPr>
          <w:rFonts w:asciiTheme="minorHAnsi" w:hAnsiTheme="minorHAnsi" w:cstheme="minorHAnsi"/>
          <w:sz w:val="22"/>
          <w:szCs w:val="22"/>
        </w:rPr>
        <w:t>of</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America</w:t>
      </w:r>
      <w:proofErr w:type="spellEnd"/>
      <w:r w:rsidRPr="003D5C38">
        <w:rPr>
          <w:rFonts w:asciiTheme="minorHAnsi" w:hAnsiTheme="minorHAnsi" w:cstheme="minorHAnsi"/>
          <w:sz w:val="22"/>
          <w:szCs w:val="22"/>
        </w:rPr>
        <w:t xml:space="preserve">, City </w:t>
      </w:r>
      <w:proofErr w:type="spellStart"/>
      <w:r w:rsidRPr="003D5C38">
        <w:rPr>
          <w:rFonts w:asciiTheme="minorHAnsi" w:hAnsiTheme="minorHAnsi" w:cstheme="minorHAnsi"/>
          <w:sz w:val="22"/>
          <w:szCs w:val="22"/>
        </w:rPr>
        <w:t>Group</w:t>
      </w:r>
      <w:proofErr w:type="spellEnd"/>
      <w:r w:rsidRPr="003D5C38">
        <w:rPr>
          <w:rFonts w:asciiTheme="minorHAnsi" w:hAnsiTheme="minorHAnsi" w:cstheme="minorHAnsi"/>
          <w:sz w:val="22"/>
          <w:szCs w:val="22"/>
        </w:rPr>
        <w:t xml:space="preserve">, JP Morgan, entre otros) que colocaron 30 mil millones de dólares al </w:t>
      </w:r>
      <w:proofErr w:type="spellStart"/>
      <w:r w:rsidRPr="003D5C38">
        <w:rPr>
          <w:rFonts w:asciiTheme="minorHAnsi" w:hAnsiTheme="minorHAnsi" w:cstheme="minorHAnsi"/>
          <w:sz w:val="22"/>
          <w:szCs w:val="22"/>
        </w:rPr>
        <w:t>First</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Republic</w:t>
      </w:r>
      <w:proofErr w:type="spellEnd"/>
      <w:r w:rsidRPr="003D5C38">
        <w:rPr>
          <w:rFonts w:asciiTheme="minorHAnsi" w:hAnsiTheme="minorHAnsi" w:cstheme="minorHAnsi"/>
          <w:sz w:val="22"/>
          <w:szCs w:val="22"/>
        </w:rPr>
        <w:t xml:space="preserve"> Bank.</w:t>
      </w:r>
    </w:p>
    <w:p w14:paraId="2E725F70" w14:textId="77777777" w:rsidR="006A2158" w:rsidRPr="003D5C38" w:rsidRDefault="006A2158" w:rsidP="006A2158">
      <w:pPr>
        <w:pStyle w:val="Prrafodelista"/>
        <w:ind w:left="426"/>
        <w:jc w:val="both"/>
        <w:rPr>
          <w:rFonts w:asciiTheme="minorHAnsi" w:hAnsiTheme="minorHAnsi" w:cstheme="minorHAnsi"/>
          <w:b/>
          <w:bCs/>
          <w:sz w:val="22"/>
          <w:szCs w:val="22"/>
        </w:rPr>
      </w:pPr>
    </w:p>
    <w:p w14:paraId="1F73F0AC" w14:textId="632C4194"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Semanas atrás, el desplome de las acciones de los bancos europeos, los riesgos de crédito del hoy</w:t>
      </w:r>
      <w:r>
        <w:rPr>
          <w:rFonts w:asciiTheme="minorHAnsi" w:hAnsiTheme="minorHAnsi" w:cstheme="minorHAnsi"/>
          <w:sz w:val="22"/>
          <w:szCs w:val="22"/>
        </w:rPr>
        <w:t xml:space="preserve"> </w:t>
      </w:r>
      <w:r w:rsidRPr="003D5C38">
        <w:rPr>
          <w:rFonts w:asciiTheme="minorHAnsi" w:hAnsiTheme="minorHAnsi" w:cstheme="minorHAnsi"/>
          <w:sz w:val="22"/>
          <w:szCs w:val="22"/>
        </w:rPr>
        <w:t>sector bancario y el aumento de las tasas de interés de la FED, limitaron las perspectivas de la demanda de petróleo y combustibles.</w:t>
      </w:r>
    </w:p>
    <w:p w14:paraId="3DE4B5F3" w14:textId="77777777" w:rsidR="006A2158" w:rsidRPr="003D5C38" w:rsidRDefault="006A2158" w:rsidP="006A2158">
      <w:pPr>
        <w:jc w:val="both"/>
        <w:rPr>
          <w:rFonts w:asciiTheme="minorHAnsi" w:hAnsiTheme="minorHAnsi" w:cstheme="minorHAnsi"/>
          <w:sz w:val="22"/>
          <w:szCs w:val="22"/>
        </w:rPr>
      </w:pPr>
    </w:p>
    <w:p w14:paraId="0A24FF5A"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sz w:val="22"/>
          <w:szCs w:val="22"/>
        </w:rPr>
      </w:pPr>
      <w:r w:rsidRPr="003D5C38">
        <w:rPr>
          <w:rFonts w:asciiTheme="minorHAnsi" w:hAnsiTheme="minorHAnsi" w:cstheme="minorHAnsi"/>
          <w:b/>
          <w:bCs/>
          <w:sz w:val="22"/>
          <w:szCs w:val="22"/>
        </w:rPr>
        <w:t>La interrupción de las exportaciones de crudo de Irak de unos 450.000 barriles diarios desde su región del Kurdistán septentrional a través de Turquía.</w:t>
      </w:r>
    </w:p>
    <w:p w14:paraId="4864CB87" w14:textId="77777777" w:rsidR="006A2158" w:rsidRPr="003D5C38" w:rsidRDefault="006A2158" w:rsidP="006A2158">
      <w:pPr>
        <w:pStyle w:val="Prrafodelista"/>
        <w:ind w:left="426"/>
        <w:jc w:val="both"/>
        <w:rPr>
          <w:rFonts w:asciiTheme="minorHAnsi" w:hAnsiTheme="minorHAnsi" w:cstheme="minorHAnsi"/>
          <w:sz w:val="22"/>
          <w:szCs w:val="22"/>
        </w:rPr>
      </w:pPr>
    </w:p>
    <w:p w14:paraId="5DE0DDD9"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Los productores redujeron la producción en varios yacimientos de la región semiautónoma del Kurdistán a raíz de la paralización del oleoducto de exportación del norte, en respuesta a una decisión arbitral que confirmó que era necesario el consentimiento de Bagdad para enviar el petróleo.</w:t>
      </w:r>
    </w:p>
    <w:p w14:paraId="16ABA593" w14:textId="77777777" w:rsidR="006A2158" w:rsidRPr="003D5C38" w:rsidRDefault="006A2158" w:rsidP="006A2158">
      <w:pPr>
        <w:pStyle w:val="Prrafodelista"/>
        <w:ind w:left="426"/>
        <w:jc w:val="both"/>
        <w:rPr>
          <w:rFonts w:asciiTheme="minorHAnsi" w:hAnsiTheme="minorHAnsi" w:cstheme="minorHAnsi"/>
          <w:sz w:val="22"/>
          <w:szCs w:val="22"/>
        </w:rPr>
      </w:pPr>
    </w:p>
    <w:p w14:paraId="51FBC6C7" w14:textId="780B8144"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 xml:space="preserve">Ka Petrolera Noruega DNO comunicó que había comenzado a interrumpir la producción en sus yacimientos del Kurdistán. Los campos de </w:t>
      </w:r>
      <w:proofErr w:type="spellStart"/>
      <w:r w:rsidRPr="003D5C38">
        <w:rPr>
          <w:rFonts w:asciiTheme="minorHAnsi" w:hAnsiTheme="minorHAnsi" w:cstheme="minorHAnsi"/>
          <w:sz w:val="22"/>
          <w:szCs w:val="22"/>
        </w:rPr>
        <w:t>Tawke</w:t>
      </w:r>
      <w:proofErr w:type="spellEnd"/>
      <w:r w:rsidRPr="003D5C38">
        <w:rPr>
          <w:rFonts w:asciiTheme="minorHAnsi" w:hAnsiTheme="minorHAnsi" w:cstheme="minorHAnsi"/>
          <w:sz w:val="22"/>
          <w:szCs w:val="22"/>
        </w:rPr>
        <w:t xml:space="preserve"> y </w:t>
      </w:r>
      <w:proofErr w:type="spellStart"/>
      <w:r w:rsidRPr="003D5C38">
        <w:rPr>
          <w:rFonts w:asciiTheme="minorHAnsi" w:hAnsiTheme="minorHAnsi" w:cstheme="minorHAnsi"/>
          <w:sz w:val="22"/>
          <w:szCs w:val="22"/>
        </w:rPr>
        <w:t>Peshkabir</w:t>
      </w:r>
      <w:proofErr w:type="spellEnd"/>
      <w:r w:rsidRPr="003D5C38">
        <w:rPr>
          <w:rFonts w:asciiTheme="minorHAnsi" w:hAnsiTheme="minorHAnsi" w:cstheme="minorHAnsi"/>
          <w:sz w:val="22"/>
          <w:szCs w:val="22"/>
        </w:rPr>
        <w:t xml:space="preserve"> de la compañía tuvieron una producción promedio de 107</w:t>
      </w:r>
      <w:r>
        <w:rPr>
          <w:rFonts w:asciiTheme="minorHAnsi" w:hAnsiTheme="minorHAnsi" w:cstheme="minorHAnsi"/>
          <w:sz w:val="22"/>
          <w:szCs w:val="22"/>
        </w:rPr>
        <w:t xml:space="preserve"> mil</w:t>
      </w:r>
      <w:r w:rsidRPr="003D5C38">
        <w:rPr>
          <w:rFonts w:asciiTheme="minorHAnsi" w:hAnsiTheme="minorHAnsi" w:cstheme="minorHAnsi"/>
          <w:sz w:val="22"/>
          <w:szCs w:val="22"/>
        </w:rPr>
        <w:t xml:space="preserve"> bpd en 2022, una cuarta parte del total de las exportaciones kurdas.</w:t>
      </w:r>
    </w:p>
    <w:p w14:paraId="430599FB" w14:textId="77777777" w:rsidR="006A2158" w:rsidRPr="003D5C38" w:rsidRDefault="006A2158" w:rsidP="006A2158">
      <w:pPr>
        <w:pStyle w:val="Prrafodelista"/>
        <w:ind w:left="426"/>
        <w:jc w:val="both"/>
        <w:rPr>
          <w:rFonts w:asciiTheme="minorHAnsi" w:hAnsiTheme="minorHAnsi" w:cstheme="minorHAnsi"/>
          <w:color w:val="333333"/>
          <w:sz w:val="22"/>
          <w:szCs w:val="22"/>
          <w:shd w:val="clear" w:color="auto" w:fill="FFFFFF"/>
        </w:rPr>
      </w:pPr>
    </w:p>
    <w:p w14:paraId="48F11C48"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b/>
          <w:bCs/>
          <w:sz w:val="22"/>
          <w:szCs w:val="22"/>
        </w:rPr>
      </w:pPr>
      <w:r w:rsidRPr="003D5C38">
        <w:rPr>
          <w:rFonts w:asciiTheme="minorHAnsi" w:hAnsiTheme="minorHAnsi" w:cstheme="minorHAnsi"/>
          <w:b/>
          <w:bCs/>
          <w:sz w:val="22"/>
          <w:szCs w:val="22"/>
        </w:rPr>
        <w:t>El aumento de las tensiones en el mercado por los planes de Rusia de colocar armas nucleares tácticas en Bielorrusia.</w:t>
      </w:r>
    </w:p>
    <w:p w14:paraId="64D6D7C9"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b/>
          <w:bCs/>
          <w:sz w:val="22"/>
          <w:szCs w:val="22"/>
        </w:rPr>
        <w:br/>
      </w:r>
      <w:r w:rsidRPr="003D5C38">
        <w:rPr>
          <w:rFonts w:asciiTheme="minorHAnsi" w:hAnsiTheme="minorHAnsi" w:cstheme="minorHAnsi"/>
          <w:sz w:val="22"/>
          <w:szCs w:val="22"/>
        </w:rPr>
        <w:t>La medida es, hasta la fecha, una de las más acentuadas por parte de Rusia sobre armas nucleares y una advertencia a la OTAN por su apoyo militar a Ucrania, que ha pedido una reunión del Consejo de Seguridad de la ONU.</w:t>
      </w:r>
    </w:p>
    <w:p w14:paraId="21212DDC" w14:textId="77777777" w:rsidR="006A2158" w:rsidRPr="003D5C38" w:rsidRDefault="006A2158" w:rsidP="006A2158">
      <w:pPr>
        <w:pStyle w:val="Prrafodelista"/>
        <w:ind w:left="426"/>
        <w:jc w:val="both"/>
        <w:rPr>
          <w:rFonts w:asciiTheme="minorHAnsi" w:hAnsiTheme="minorHAnsi" w:cstheme="minorHAnsi"/>
          <w:sz w:val="22"/>
          <w:szCs w:val="22"/>
        </w:rPr>
      </w:pPr>
    </w:p>
    <w:p w14:paraId="10E923B9" w14:textId="1E1595E5"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El viceprimer ministro ruso, Alexander Novak, declaró que Moscú está cerca de alcanzar su objetivo de reducir la producción de crudo en 500</w:t>
      </w:r>
      <w:r>
        <w:rPr>
          <w:rFonts w:asciiTheme="minorHAnsi" w:hAnsiTheme="minorHAnsi" w:cstheme="minorHAnsi"/>
          <w:sz w:val="22"/>
          <w:szCs w:val="22"/>
        </w:rPr>
        <w:t xml:space="preserve"> mil</w:t>
      </w:r>
      <w:r w:rsidRPr="003D5C38">
        <w:rPr>
          <w:rFonts w:asciiTheme="minorHAnsi" w:hAnsiTheme="minorHAnsi" w:cstheme="minorHAnsi"/>
          <w:sz w:val="22"/>
          <w:szCs w:val="22"/>
        </w:rPr>
        <w:t xml:space="preserve"> barriles diarios (bpd), hasta unos 9,5 millones de bpd.</w:t>
      </w:r>
    </w:p>
    <w:p w14:paraId="5B0C18AB" w14:textId="77777777" w:rsidR="006A2158" w:rsidRPr="003D5C38" w:rsidRDefault="006A2158" w:rsidP="006A2158">
      <w:pPr>
        <w:pStyle w:val="Prrafodelista"/>
        <w:ind w:left="426"/>
        <w:jc w:val="both"/>
        <w:rPr>
          <w:rFonts w:asciiTheme="minorHAnsi" w:hAnsiTheme="minorHAnsi" w:cstheme="minorHAnsi"/>
          <w:sz w:val="22"/>
          <w:szCs w:val="22"/>
        </w:rPr>
      </w:pPr>
    </w:p>
    <w:p w14:paraId="7A1B3541"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b/>
          <w:bCs/>
          <w:sz w:val="22"/>
          <w:szCs w:val="22"/>
        </w:rPr>
      </w:pPr>
      <w:r w:rsidRPr="003D5C38">
        <w:rPr>
          <w:rFonts w:asciiTheme="minorHAnsi" w:hAnsiTheme="minorHAnsi" w:cstheme="minorHAnsi"/>
          <w:b/>
          <w:bCs/>
          <w:sz w:val="22"/>
          <w:szCs w:val="22"/>
        </w:rPr>
        <w:t>Las señales de recuperación de la demanda en China y la mayor demanda de gasolinas</w:t>
      </w:r>
    </w:p>
    <w:p w14:paraId="00D6F65A" w14:textId="77777777" w:rsidR="006A2158" w:rsidRPr="003D5C38" w:rsidRDefault="006A2158" w:rsidP="006A2158">
      <w:pPr>
        <w:jc w:val="both"/>
        <w:rPr>
          <w:rFonts w:asciiTheme="minorHAnsi" w:hAnsiTheme="minorHAnsi" w:cstheme="minorHAnsi"/>
          <w:b/>
          <w:bCs/>
          <w:sz w:val="22"/>
          <w:szCs w:val="22"/>
        </w:rPr>
      </w:pPr>
    </w:p>
    <w:p w14:paraId="51B5985C" w14:textId="77777777" w:rsidR="006A2158" w:rsidRPr="003D5C38" w:rsidRDefault="006A2158" w:rsidP="006A2158">
      <w:pPr>
        <w:ind w:left="426"/>
        <w:jc w:val="both"/>
        <w:rPr>
          <w:rFonts w:asciiTheme="minorHAnsi" w:hAnsiTheme="minorHAnsi" w:cstheme="minorHAnsi"/>
          <w:sz w:val="22"/>
          <w:szCs w:val="22"/>
        </w:rPr>
      </w:pPr>
      <w:r w:rsidRPr="003D5C38">
        <w:rPr>
          <w:rFonts w:asciiTheme="minorHAnsi" w:hAnsiTheme="minorHAnsi" w:cstheme="minorHAnsi"/>
          <w:sz w:val="22"/>
          <w:szCs w:val="22"/>
        </w:rPr>
        <w:t xml:space="preserve">Según la previsión anual de una unidad de investigación de China </w:t>
      </w:r>
      <w:proofErr w:type="spellStart"/>
      <w:r w:rsidRPr="003D5C38">
        <w:rPr>
          <w:rFonts w:asciiTheme="minorHAnsi" w:hAnsiTheme="minorHAnsi" w:cstheme="minorHAnsi"/>
          <w:sz w:val="22"/>
          <w:szCs w:val="22"/>
        </w:rPr>
        <w:t>National</w:t>
      </w:r>
      <w:proofErr w:type="spellEnd"/>
      <w:r w:rsidRPr="003D5C38">
        <w:rPr>
          <w:rFonts w:asciiTheme="minorHAnsi" w:hAnsiTheme="minorHAnsi" w:cstheme="minorHAnsi"/>
          <w:sz w:val="22"/>
          <w:szCs w:val="22"/>
        </w:rPr>
        <w:t xml:space="preserve"> </w:t>
      </w:r>
      <w:proofErr w:type="spellStart"/>
      <w:r w:rsidRPr="003D5C38">
        <w:rPr>
          <w:rFonts w:asciiTheme="minorHAnsi" w:hAnsiTheme="minorHAnsi" w:cstheme="minorHAnsi"/>
          <w:sz w:val="22"/>
          <w:szCs w:val="22"/>
        </w:rPr>
        <w:t>Petroleum</w:t>
      </w:r>
      <w:proofErr w:type="spellEnd"/>
      <w:r w:rsidRPr="003D5C38">
        <w:rPr>
          <w:rFonts w:asciiTheme="minorHAnsi" w:hAnsiTheme="minorHAnsi" w:cstheme="minorHAnsi"/>
          <w:sz w:val="22"/>
          <w:szCs w:val="22"/>
        </w:rPr>
        <w:t xml:space="preserve"> Corp., el mercado espera que las importaciones de crudo de China aumenten un +6,2% en 2023, a 540 millones de toneladas.</w:t>
      </w:r>
    </w:p>
    <w:p w14:paraId="3EA2EE12" w14:textId="77777777" w:rsidR="006A2158" w:rsidRPr="003D5C38" w:rsidRDefault="006A2158" w:rsidP="006A2158">
      <w:pPr>
        <w:jc w:val="both"/>
        <w:rPr>
          <w:rFonts w:asciiTheme="minorHAnsi" w:hAnsiTheme="minorHAnsi" w:cstheme="minorHAnsi"/>
          <w:b/>
          <w:bCs/>
          <w:sz w:val="22"/>
          <w:szCs w:val="22"/>
        </w:rPr>
      </w:pPr>
    </w:p>
    <w:p w14:paraId="0B93F605" w14:textId="77777777" w:rsidR="006A2158" w:rsidRPr="003D5C38" w:rsidRDefault="006A2158" w:rsidP="006A2158">
      <w:pPr>
        <w:ind w:left="426"/>
        <w:jc w:val="both"/>
        <w:rPr>
          <w:rFonts w:asciiTheme="minorHAnsi" w:hAnsiTheme="minorHAnsi" w:cstheme="minorHAnsi"/>
          <w:sz w:val="22"/>
          <w:szCs w:val="22"/>
        </w:rPr>
      </w:pPr>
      <w:r w:rsidRPr="003D5C38">
        <w:rPr>
          <w:rFonts w:asciiTheme="minorHAnsi" w:hAnsiTheme="minorHAnsi" w:cstheme="minorHAnsi"/>
          <w:sz w:val="22"/>
          <w:szCs w:val="22"/>
        </w:rPr>
        <w:t>Goldman Sachs afirmó que la demanda de China, el mayor importador petrolero mundial, seguía aumentando en todo el complejo de materias primas, con una demanda de petróleo que supera los 16 millones de barriles diarios.</w:t>
      </w:r>
    </w:p>
    <w:p w14:paraId="4651CA40" w14:textId="77777777" w:rsidR="006A2158" w:rsidRPr="003D5C38" w:rsidRDefault="006A2158" w:rsidP="006A2158">
      <w:pPr>
        <w:ind w:left="426"/>
        <w:jc w:val="both"/>
        <w:rPr>
          <w:rFonts w:asciiTheme="minorHAnsi" w:hAnsiTheme="minorHAnsi" w:cstheme="minorHAnsi"/>
          <w:sz w:val="22"/>
          <w:szCs w:val="22"/>
        </w:rPr>
      </w:pPr>
    </w:p>
    <w:p w14:paraId="4AC8C813"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Por otro lado, la mayor demanda de gasolina en Estados Unidos animará a las refinerías a utilizar más crudo para convertirlo en el combustible de transporte por carretera, brindando soporte a los precios.</w:t>
      </w:r>
    </w:p>
    <w:p w14:paraId="13B05E0B" w14:textId="77777777" w:rsidR="006A2158" w:rsidRPr="003D5C38" w:rsidRDefault="006A2158" w:rsidP="006A2158">
      <w:pPr>
        <w:ind w:left="426"/>
        <w:jc w:val="both"/>
        <w:rPr>
          <w:rFonts w:asciiTheme="minorHAnsi" w:hAnsiTheme="minorHAnsi" w:cstheme="minorHAnsi"/>
          <w:sz w:val="22"/>
          <w:szCs w:val="22"/>
        </w:rPr>
      </w:pPr>
    </w:p>
    <w:p w14:paraId="70147701"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lastRenderedPageBreak/>
        <w:t>La Agencia Internacional de la Energía (AIE) señaló que 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p>
    <w:p w14:paraId="5C26453E" w14:textId="77777777" w:rsidR="006A2158" w:rsidRPr="003D5C38" w:rsidRDefault="006A2158" w:rsidP="006A2158">
      <w:pPr>
        <w:pStyle w:val="Prrafodelista"/>
        <w:ind w:left="426"/>
        <w:jc w:val="both"/>
        <w:rPr>
          <w:rFonts w:asciiTheme="minorHAnsi" w:hAnsiTheme="minorHAnsi" w:cstheme="minorHAnsi"/>
          <w:sz w:val="22"/>
          <w:szCs w:val="22"/>
        </w:rPr>
      </w:pPr>
    </w:p>
    <w:p w14:paraId="433B3A4F" w14:textId="77777777" w:rsidR="006A2158" w:rsidRPr="003D5C38" w:rsidRDefault="006A2158" w:rsidP="006A2158">
      <w:pPr>
        <w:pStyle w:val="Prrafodelista"/>
        <w:numPr>
          <w:ilvl w:val="0"/>
          <w:numId w:val="13"/>
        </w:numPr>
        <w:ind w:left="426"/>
        <w:contextualSpacing/>
        <w:jc w:val="both"/>
        <w:rPr>
          <w:rFonts w:asciiTheme="minorHAnsi" w:hAnsiTheme="minorHAnsi" w:cstheme="minorHAnsi"/>
          <w:b/>
          <w:bCs/>
          <w:sz w:val="22"/>
          <w:szCs w:val="22"/>
        </w:rPr>
      </w:pPr>
      <w:r w:rsidRPr="003D5C38">
        <w:rPr>
          <w:rFonts w:asciiTheme="minorHAnsi" w:hAnsiTheme="minorHAnsi" w:cstheme="minorHAnsi"/>
          <w:b/>
          <w:bCs/>
          <w:sz w:val="22"/>
          <w:szCs w:val="22"/>
        </w:rPr>
        <w:t>Confirmación de la Secretaría de Energía de EE.UU. de una nueva liberación de crudo de las Reservas Estratégicas.</w:t>
      </w:r>
    </w:p>
    <w:p w14:paraId="5238B9EC" w14:textId="77777777" w:rsidR="006A2158" w:rsidRPr="003D5C38" w:rsidRDefault="006A2158" w:rsidP="006A2158">
      <w:pPr>
        <w:jc w:val="both"/>
        <w:rPr>
          <w:rFonts w:asciiTheme="minorHAnsi" w:hAnsiTheme="minorHAnsi" w:cstheme="minorHAnsi"/>
          <w:b/>
          <w:bCs/>
          <w:sz w:val="22"/>
          <w:szCs w:val="22"/>
        </w:rPr>
      </w:pPr>
    </w:p>
    <w:p w14:paraId="654168AD" w14:textId="77777777" w:rsidR="006A2158" w:rsidRPr="003D5C38"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 xml:space="preserve">El Departamento de Energía de EE. UU. representado por Jennifer </w:t>
      </w:r>
      <w:proofErr w:type="spellStart"/>
      <w:r w:rsidRPr="003D5C38">
        <w:rPr>
          <w:rFonts w:asciiTheme="minorHAnsi" w:hAnsiTheme="minorHAnsi" w:cstheme="minorHAnsi"/>
          <w:sz w:val="22"/>
          <w:szCs w:val="22"/>
        </w:rPr>
        <w:t>Granholm</w:t>
      </w:r>
      <w:proofErr w:type="spellEnd"/>
      <w:r w:rsidRPr="003D5C38">
        <w:rPr>
          <w:rFonts w:asciiTheme="minorHAnsi" w:hAnsiTheme="minorHAnsi" w:cstheme="minorHAnsi"/>
          <w:sz w:val="22"/>
          <w:szCs w:val="22"/>
        </w:rPr>
        <w:t xml:space="preserve">, anunció que procedería a una liberación adicional de 26 millones de barriles de las Reservas Estratégicas, entre el 1 de abril al 30 de junio, generando expectativas en el mercado sobre un posible exceso de oferta. </w:t>
      </w:r>
    </w:p>
    <w:p w14:paraId="19599BCD" w14:textId="77777777" w:rsidR="006A2158" w:rsidRPr="003D5C38" w:rsidRDefault="006A2158" w:rsidP="006A2158">
      <w:pPr>
        <w:pStyle w:val="Prrafodelista"/>
        <w:ind w:left="426"/>
        <w:jc w:val="both"/>
        <w:rPr>
          <w:rFonts w:asciiTheme="minorHAnsi" w:hAnsiTheme="minorHAnsi" w:cstheme="minorHAnsi"/>
          <w:sz w:val="22"/>
          <w:szCs w:val="22"/>
        </w:rPr>
      </w:pPr>
    </w:p>
    <w:p w14:paraId="5201220F" w14:textId="43960A92" w:rsidR="00107E57" w:rsidRPr="00523CA0" w:rsidRDefault="006A2158" w:rsidP="006A2158">
      <w:pPr>
        <w:pStyle w:val="Prrafodelista"/>
        <w:ind w:left="426"/>
        <w:jc w:val="both"/>
        <w:rPr>
          <w:rFonts w:asciiTheme="minorHAnsi" w:hAnsiTheme="minorHAnsi" w:cstheme="minorHAnsi"/>
          <w:sz w:val="22"/>
          <w:szCs w:val="22"/>
        </w:rPr>
      </w:pPr>
      <w:r w:rsidRPr="003D5C38">
        <w:rPr>
          <w:rFonts w:asciiTheme="minorHAnsi" w:hAnsiTheme="minorHAnsi" w:cstheme="minorHAnsi"/>
          <w:sz w:val="22"/>
          <w:szCs w:val="22"/>
        </w:rPr>
        <w:t>Asimismo, se ratificó de la misma fuente, la poca probabilidad que EE.UU. recurra a las compras de crudo para recuperar los inventarios de las Reservas Estratégicas de Petróleo (SPR), esto debido al retiro de crudo antes mencionado y al mantenimiento continuo en dos instalaciones de almacenamiento (</w:t>
      </w:r>
      <w:proofErr w:type="spellStart"/>
      <w:r w:rsidRPr="003D5C38">
        <w:rPr>
          <w:rFonts w:asciiTheme="minorHAnsi" w:hAnsiTheme="minorHAnsi" w:cstheme="minorHAnsi"/>
          <w:sz w:val="22"/>
          <w:szCs w:val="22"/>
        </w:rPr>
        <w:t>Bayou</w:t>
      </w:r>
      <w:proofErr w:type="spellEnd"/>
      <w:r w:rsidRPr="003D5C38">
        <w:rPr>
          <w:rFonts w:asciiTheme="minorHAnsi" w:hAnsiTheme="minorHAnsi" w:cstheme="minorHAnsi"/>
          <w:sz w:val="22"/>
          <w:szCs w:val="22"/>
        </w:rPr>
        <w:t xml:space="preserve"> Choctaw y Bryan </w:t>
      </w:r>
      <w:proofErr w:type="spellStart"/>
      <w:r w:rsidRPr="003D5C38">
        <w:rPr>
          <w:rFonts w:asciiTheme="minorHAnsi" w:hAnsiTheme="minorHAnsi" w:cstheme="minorHAnsi"/>
          <w:sz w:val="22"/>
          <w:szCs w:val="22"/>
        </w:rPr>
        <w:t>Mound</w:t>
      </w:r>
      <w:proofErr w:type="spellEnd"/>
      <w:r w:rsidRPr="003D5C38">
        <w:rPr>
          <w:rFonts w:asciiTheme="minorHAnsi" w:hAnsiTheme="minorHAnsi" w:cstheme="minorHAnsi"/>
          <w:sz w:val="22"/>
          <w:szCs w:val="22"/>
        </w:rPr>
        <w:t xml:space="preserve">), eventos que representan obstáculos para comenzar un plan de compra en el 2023. Esta noticia se contrapone a los planes de Joe </w:t>
      </w:r>
      <w:proofErr w:type="spellStart"/>
      <w:r w:rsidRPr="003D5C38">
        <w:rPr>
          <w:rFonts w:asciiTheme="minorHAnsi" w:hAnsiTheme="minorHAnsi" w:cstheme="minorHAnsi"/>
          <w:sz w:val="22"/>
          <w:szCs w:val="22"/>
        </w:rPr>
        <w:t>Biden</w:t>
      </w:r>
      <w:proofErr w:type="spellEnd"/>
      <w:r w:rsidRPr="003D5C38">
        <w:rPr>
          <w:rFonts w:asciiTheme="minorHAnsi" w:hAnsiTheme="minorHAnsi" w:cstheme="minorHAnsi"/>
          <w:sz w:val="22"/>
          <w:szCs w:val="22"/>
        </w:rPr>
        <w:t xml:space="preserve"> expuestos el año pasado de comenzar a reponer stocks de la SPR cuando los precios spot estuvieran por debajo de los 72 US$/</w:t>
      </w:r>
      <w:proofErr w:type="spellStart"/>
      <w:r w:rsidRPr="003D5C38">
        <w:rPr>
          <w:rFonts w:asciiTheme="minorHAnsi" w:hAnsiTheme="minorHAnsi" w:cstheme="minorHAnsi"/>
          <w:sz w:val="22"/>
          <w:szCs w:val="22"/>
        </w:rPr>
        <w:t>Bl</w:t>
      </w:r>
      <w:proofErr w:type="spellEnd"/>
      <w:r w:rsidRPr="003D5C38">
        <w:rPr>
          <w:rFonts w:asciiTheme="minorHAnsi" w:hAnsiTheme="minorHAnsi" w:cstheme="minorHAnsi"/>
          <w:sz w:val="22"/>
          <w:szCs w:val="22"/>
        </w:rPr>
        <w:t>, situación que, con el recrudecimiento de la Crisis Bancaria, ocurre actualmente</w:t>
      </w:r>
      <w:r w:rsidR="00107E57" w:rsidRPr="00523CA0">
        <w:rPr>
          <w:rFonts w:asciiTheme="minorHAnsi" w:hAnsiTheme="minorHAnsi" w:cstheme="minorHAnsi"/>
          <w:sz w:val="22"/>
          <w:szCs w:val="22"/>
        </w:rPr>
        <w:t>.</w:t>
      </w:r>
    </w:p>
    <w:p w14:paraId="2635AD76" w14:textId="77777777" w:rsidR="00107E57" w:rsidRPr="0089702E" w:rsidRDefault="00107E57" w:rsidP="006E0AC8">
      <w:pPr>
        <w:pStyle w:val="Prrafodelista"/>
        <w:ind w:left="426"/>
        <w:jc w:val="both"/>
        <w:rPr>
          <w:rFonts w:asciiTheme="minorHAnsi" w:hAnsiTheme="minorHAnsi" w:cstheme="minorHAnsi"/>
          <w:sz w:val="22"/>
          <w:szCs w:val="22"/>
        </w:rPr>
      </w:pP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7777777" w:rsidR="004D4B7D" w:rsidRDefault="004D4B7D" w:rsidP="004D4B7D">
      <w:pPr>
        <w:pStyle w:val="Prrafodelista"/>
        <w:rPr>
          <w:rFonts w:asciiTheme="minorHAnsi" w:hAnsiTheme="minorHAnsi" w:cstheme="minorHAnsi"/>
          <w:sz w:val="22"/>
          <w:szCs w:val="22"/>
        </w:rPr>
      </w:pPr>
    </w:p>
    <w:p w14:paraId="24F917D0" w14:textId="680B402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26910E3E" w14:textId="4E8CEB44" w:rsidR="006A2158" w:rsidRDefault="006A2158" w:rsidP="006A215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14</w:t>
      </w:r>
      <w:r w:rsidRPr="004D4B7D">
        <w:rPr>
          <w:rFonts w:asciiTheme="minorHAnsi" w:hAnsiTheme="minorHAnsi" w:cstheme="minorHAnsi"/>
          <w:sz w:val="22"/>
          <w:szCs w:val="22"/>
        </w:rPr>
        <w:t>-2023-OS/GRT, se fijaron las Bandas de Precios y los Márgenes Comerciales para el Gas Licuado de Petróleo destinado a envasado (GLP-E</w:t>
      </w:r>
      <w:r w:rsidR="009F6EF0">
        <w:rPr>
          <w:rFonts w:asciiTheme="minorHAnsi" w:hAnsiTheme="minorHAnsi" w:cstheme="minorHAnsi"/>
          <w:sz w:val="22"/>
          <w:szCs w:val="22"/>
        </w:rPr>
        <w:t xml:space="preserve">) </w:t>
      </w:r>
      <w:r w:rsidRPr="004D4B7D">
        <w:rPr>
          <w:rFonts w:asciiTheme="minorHAnsi" w:hAnsiTheme="minorHAnsi" w:cstheme="minorHAnsi"/>
          <w:sz w:val="22"/>
          <w:szCs w:val="22"/>
        </w:rPr>
        <w:t xml:space="preserve">y Diésel B5 destinado al uso vehicular con vigencia desde el </w:t>
      </w:r>
      <w:r>
        <w:rPr>
          <w:rFonts w:asciiTheme="minorHAnsi" w:hAnsiTheme="minorHAnsi" w:cstheme="minorHAnsi"/>
          <w:sz w:val="22"/>
          <w:szCs w:val="22"/>
        </w:rPr>
        <w:t>31</w:t>
      </w:r>
      <w:r w:rsidRPr="004D4B7D">
        <w:rPr>
          <w:rFonts w:asciiTheme="minorHAnsi" w:hAnsiTheme="minorHAnsi" w:cstheme="minorHAnsi"/>
          <w:sz w:val="22"/>
          <w:szCs w:val="22"/>
        </w:rPr>
        <w:t xml:space="preserve"> de </w:t>
      </w:r>
      <w:r>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27</w:t>
      </w:r>
      <w:r w:rsidRPr="004D4B7D">
        <w:rPr>
          <w:rFonts w:asciiTheme="minorHAnsi" w:hAnsiTheme="minorHAnsi" w:cstheme="minorHAnsi"/>
          <w:sz w:val="22"/>
          <w:szCs w:val="22"/>
        </w:rPr>
        <w:t xml:space="preserve"> de </w:t>
      </w:r>
      <w:r>
        <w:rPr>
          <w:rFonts w:asciiTheme="minorHAnsi" w:hAnsiTheme="minorHAnsi" w:cstheme="minorHAnsi"/>
          <w:sz w:val="22"/>
          <w:szCs w:val="22"/>
        </w:rPr>
        <w:t>abril</w:t>
      </w:r>
      <w:r w:rsidRPr="004D4B7D">
        <w:rPr>
          <w:rFonts w:asciiTheme="minorHAnsi" w:hAnsiTheme="minorHAnsi" w:cstheme="minorHAnsi"/>
          <w:sz w:val="22"/>
          <w:szCs w:val="22"/>
        </w:rPr>
        <w:t xml:space="preserve"> de </w:t>
      </w:r>
      <w:r w:rsidRPr="004D4B7D">
        <w:rPr>
          <w:rFonts w:asciiTheme="minorHAnsi" w:hAnsiTheme="minorHAnsi" w:cstheme="minorHAnsi"/>
          <w:sz w:val="22"/>
          <w:szCs w:val="22"/>
        </w:rPr>
        <w:lastRenderedPageBreak/>
        <w:t>2023.</w:t>
      </w:r>
      <w:r>
        <w:rPr>
          <w:rFonts w:asciiTheme="minorHAnsi" w:hAnsiTheme="minorHAnsi" w:cstheme="minorHAnsi"/>
          <w:sz w:val="22"/>
          <w:szCs w:val="22"/>
        </w:rPr>
        <w:t xml:space="preserve"> Asimismo, se fijó la Banda de Precios para el </w:t>
      </w:r>
      <w:r w:rsidRPr="004D4B7D">
        <w:rPr>
          <w:rFonts w:asciiTheme="minorHAnsi" w:hAnsiTheme="minorHAnsi" w:cstheme="minorHAnsi"/>
          <w:sz w:val="22"/>
          <w:szCs w:val="22"/>
        </w:rPr>
        <w:t>Gas Licuado de Petróleo destinado a granel (GLP-G)</w:t>
      </w:r>
      <w:r>
        <w:rPr>
          <w:rFonts w:asciiTheme="minorHAnsi" w:hAnsiTheme="minorHAnsi" w:cstheme="minorHAnsi"/>
          <w:sz w:val="22"/>
          <w:szCs w:val="22"/>
        </w:rPr>
        <w:t>, c</w:t>
      </w:r>
      <w:r w:rsidR="009F6EF0">
        <w:rPr>
          <w:rFonts w:asciiTheme="minorHAnsi" w:hAnsiTheme="minorHAnsi" w:cstheme="minorHAnsi"/>
          <w:sz w:val="22"/>
          <w:szCs w:val="22"/>
        </w:rPr>
        <w:t xml:space="preserve">uya </w:t>
      </w:r>
      <w:r>
        <w:rPr>
          <w:rFonts w:asciiTheme="minorHAnsi" w:hAnsiTheme="minorHAnsi" w:cstheme="minorHAnsi"/>
          <w:sz w:val="22"/>
          <w:szCs w:val="22"/>
        </w:rPr>
        <w:t xml:space="preserve">vigencia </w:t>
      </w:r>
      <w:r w:rsidR="009F6EF0">
        <w:rPr>
          <w:rFonts w:asciiTheme="minorHAnsi" w:hAnsiTheme="minorHAnsi" w:cstheme="minorHAnsi"/>
          <w:sz w:val="22"/>
          <w:szCs w:val="22"/>
        </w:rPr>
        <w:t>solo fue para el 31 de marzo</w:t>
      </w:r>
      <w:r>
        <w:rPr>
          <w:rFonts w:asciiTheme="minorHAnsi" w:hAnsiTheme="minorHAnsi" w:cstheme="minorHAnsi"/>
          <w:sz w:val="22"/>
          <w:szCs w:val="22"/>
        </w:rPr>
        <w:t xml:space="preserve"> de 2023.</w:t>
      </w:r>
    </w:p>
    <w:p w14:paraId="29D68AA1" w14:textId="77777777" w:rsidR="006A2158" w:rsidRDefault="006A2158" w:rsidP="004D4B7D">
      <w:pPr>
        <w:pStyle w:val="Textonotapie"/>
        <w:tabs>
          <w:tab w:val="left" w:pos="709"/>
        </w:tabs>
        <w:spacing w:before="0" w:after="0"/>
        <w:ind w:left="568"/>
        <w:rPr>
          <w:rFonts w:asciiTheme="minorHAnsi" w:hAnsiTheme="minorHAnsi" w:cstheme="minorHAnsi"/>
          <w:sz w:val="22"/>
          <w:szCs w:val="22"/>
        </w:rPr>
      </w:pPr>
    </w:p>
    <w:p w14:paraId="5AAD8AFE" w14:textId="06A41F91"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9F6EF0">
        <w:rPr>
          <w:rFonts w:asciiTheme="minorHAnsi" w:hAnsiTheme="minorHAnsi" w:cstheme="minorHAnsi"/>
          <w:sz w:val="22"/>
          <w:szCs w:val="22"/>
        </w:rPr>
        <w:t xml:space="preserve"> y </w:t>
      </w:r>
      <w:r w:rsidR="009F6EF0" w:rsidRPr="00300844">
        <w:rPr>
          <w:rFonts w:asciiTheme="minorHAnsi" w:hAnsiTheme="minorHAnsi" w:cstheme="minorHAnsi"/>
          <w:sz w:val="22"/>
          <w:szCs w:val="22"/>
        </w:rPr>
        <w:t>0</w:t>
      </w:r>
      <w:r w:rsidR="009F6EF0">
        <w:rPr>
          <w:rFonts w:asciiTheme="minorHAnsi" w:hAnsiTheme="minorHAnsi" w:cstheme="minorHAnsi"/>
          <w:sz w:val="22"/>
          <w:szCs w:val="22"/>
        </w:rPr>
        <w:t>05</w:t>
      </w:r>
      <w:r w:rsidR="009F6EF0" w:rsidRPr="00300844">
        <w:rPr>
          <w:rFonts w:asciiTheme="minorHAnsi" w:hAnsiTheme="minorHAnsi" w:cstheme="minorHAnsi"/>
          <w:sz w:val="22"/>
          <w:szCs w:val="22"/>
        </w:rPr>
        <w:t>-202</w:t>
      </w:r>
      <w:r w:rsidR="009F6EF0">
        <w:rPr>
          <w:rFonts w:asciiTheme="minorHAnsi" w:hAnsiTheme="minorHAnsi" w:cstheme="minorHAnsi"/>
          <w:sz w:val="22"/>
          <w:szCs w:val="22"/>
        </w:rPr>
        <w:t>3</w:t>
      </w:r>
      <w:r w:rsidR="009F6EF0"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9F6EF0">
        <w:rPr>
          <w:rFonts w:asciiTheme="minorHAnsi" w:hAnsiTheme="minorHAnsi" w:cstheme="minorHAnsi"/>
          <w:sz w:val="22"/>
          <w:szCs w:val="22"/>
        </w:rPr>
        <w:t>28 de marzo</w:t>
      </w:r>
      <w:r w:rsidRPr="00294829">
        <w:rPr>
          <w:rFonts w:asciiTheme="minorHAnsi" w:hAnsiTheme="minorHAnsi" w:cstheme="minorHAnsi"/>
          <w:sz w:val="22"/>
          <w:szCs w:val="22"/>
        </w:rPr>
        <w:t xml:space="preserve"> al lunes </w:t>
      </w:r>
      <w:r w:rsidR="009F6EF0">
        <w:rPr>
          <w:rFonts w:asciiTheme="minorHAnsi" w:hAnsiTheme="minorHAnsi" w:cstheme="minorHAnsi"/>
          <w:sz w:val="22"/>
          <w:szCs w:val="22"/>
        </w:rPr>
        <w:t>03</w:t>
      </w:r>
      <w:r w:rsidRPr="00294829">
        <w:rPr>
          <w:rFonts w:asciiTheme="minorHAnsi" w:hAnsiTheme="minorHAnsi" w:cstheme="minorHAnsi"/>
          <w:sz w:val="22"/>
          <w:szCs w:val="22"/>
        </w:rPr>
        <w:t xml:space="preserve"> de </w:t>
      </w:r>
      <w:r w:rsidR="009F6EF0">
        <w:rPr>
          <w:rFonts w:asciiTheme="minorHAnsi" w:hAnsiTheme="minorHAnsi" w:cstheme="minorHAnsi"/>
          <w:sz w:val="22"/>
          <w:szCs w:val="22"/>
        </w:rPr>
        <w:t>abril</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2F7BAADA" w:rsidR="009D32AB" w:rsidRPr="001B07FE" w:rsidRDefault="00E812D9" w:rsidP="00FC618C">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9F6EF0" w:rsidRPr="001B07FE">
        <w:rPr>
          <w:rFonts w:asciiTheme="minorHAnsi" w:hAnsiTheme="minorHAnsi" w:cstheme="minorHAnsi"/>
          <w:sz w:val="22"/>
          <w:szCs w:val="22"/>
        </w:rPr>
        <w:t>31</w:t>
      </w:r>
      <w:r w:rsidRPr="001B07FE">
        <w:rPr>
          <w:rFonts w:asciiTheme="minorHAnsi" w:hAnsiTheme="minorHAnsi" w:cstheme="minorHAnsi"/>
          <w:sz w:val="22"/>
          <w:szCs w:val="22"/>
        </w:rPr>
        <w:t>.03.2023, PETROPERÚ publicó su lista de precios de venta de combustibles. Se registr</w:t>
      </w:r>
      <w:r w:rsidR="001B07FE" w:rsidRPr="001B07FE">
        <w:rPr>
          <w:rFonts w:asciiTheme="minorHAnsi" w:hAnsiTheme="minorHAnsi" w:cstheme="minorHAnsi"/>
          <w:sz w:val="22"/>
          <w:szCs w:val="22"/>
        </w:rPr>
        <w:t>ó una</w:t>
      </w:r>
      <w:r w:rsidRPr="001B07FE">
        <w:rPr>
          <w:rFonts w:asciiTheme="minorHAnsi" w:hAnsiTheme="minorHAnsi" w:cstheme="minorHAnsi"/>
          <w:sz w:val="22"/>
          <w:szCs w:val="22"/>
        </w:rPr>
        <w:t xml:space="preserve"> variaci</w:t>
      </w:r>
      <w:r w:rsidR="001B07FE" w:rsidRPr="001B07FE">
        <w:rPr>
          <w:rFonts w:asciiTheme="minorHAnsi" w:hAnsiTheme="minorHAnsi" w:cstheme="minorHAnsi"/>
          <w:sz w:val="22"/>
          <w:szCs w:val="22"/>
        </w:rPr>
        <w:t>ón</w:t>
      </w:r>
      <w:r w:rsidRPr="001B07FE">
        <w:rPr>
          <w:rFonts w:asciiTheme="minorHAnsi" w:hAnsiTheme="minorHAnsi" w:cstheme="minorHAnsi"/>
          <w:sz w:val="22"/>
          <w:szCs w:val="22"/>
        </w:rPr>
        <w:t xml:space="preserve"> en </w:t>
      </w:r>
      <w:r w:rsidR="001B07FE" w:rsidRPr="001B07FE">
        <w:rPr>
          <w:rFonts w:asciiTheme="minorHAnsi" w:hAnsiTheme="minorHAnsi" w:cstheme="minorHAnsi"/>
          <w:sz w:val="22"/>
          <w:szCs w:val="22"/>
        </w:rPr>
        <w:t>e</w:t>
      </w:r>
      <w:r w:rsidRPr="001B07FE">
        <w:rPr>
          <w:rFonts w:asciiTheme="minorHAnsi" w:hAnsiTheme="minorHAnsi" w:cstheme="minorHAnsi"/>
          <w:sz w:val="22"/>
          <w:szCs w:val="22"/>
        </w:rPr>
        <w:t>l precio</w:t>
      </w:r>
      <w:r w:rsidR="001B07FE" w:rsidRPr="001B07FE">
        <w:rPr>
          <w:rFonts w:asciiTheme="minorHAnsi" w:hAnsiTheme="minorHAnsi" w:cstheme="minorHAnsi"/>
          <w:sz w:val="22"/>
          <w:szCs w:val="22"/>
        </w:rPr>
        <w:t xml:space="preserve"> del</w:t>
      </w:r>
      <w:r w:rsidRPr="001B07FE">
        <w:rPr>
          <w:rFonts w:asciiTheme="minorHAnsi" w:hAnsiTheme="minorHAnsi" w:cstheme="minorHAnsi"/>
          <w:sz w:val="22"/>
          <w:szCs w:val="22"/>
        </w:rPr>
        <w:t xml:space="preserve"> </w:t>
      </w:r>
      <w:r w:rsidR="001C64F2" w:rsidRPr="001B07FE">
        <w:rPr>
          <w:rFonts w:asciiTheme="minorHAnsi" w:hAnsiTheme="minorHAnsi" w:cstheme="minorHAnsi"/>
          <w:sz w:val="22"/>
          <w:szCs w:val="22"/>
        </w:rPr>
        <w:t xml:space="preserve">Diésel B5 </w:t>
      </w:r>
      <w:r w:rsidR="00954A3E" w:rsidRPr="001B07FE">
        <w:rPr>
          <w:rFonts w:asciiTheme="minorHAnsi" w:hAnsiTheme="minorHAnsi" w:cstheme="minorHAnsi"/>
          <w:sz w:val="22"/>
          <w:szCs w:val="22"/>
        </w:rPr>
        <w:t xml:space="preserve">para uso vehicular </w:t>
      </w:r>
      <w:r w:rsidR="001C64F2" w:rsidRPr="001B07FE">
        <w:rPr>
          <w:rFonts w:asciiTheme="minorHAnsi" w:hAnsiTheme="minorHAnsi" w:cstheme="minorHAnsi"/>
          <w:sz w:val="22"/>
          <w:szCs w:val="22"/>
        </w:rPr>
        <w:t>(-0,</w:t>
      </w:r>
      <w:r w:rsidR="001B07FE" w:rsidRPr="001B07FE">
        <w:rPr>
          <w:rFonts w:asciiTheme="minorHAnsi" w:hAnsiTheme="minorHAnsi" w:cstheme="minorHAnsi"/>
          <w:sz w:val="22"/>
          <w:szCs w:val="22"/>
        </w:rPr>
        <w:t>81</w:t>
      </w:r>
      <w:r w:rsidR="001C64F2" w:rsidRPr="001B07FE">
        <w:rPr>
          <w:rFonts w:asciiTheme="minorHAnsi" w:hAnsiTheme="minorHAnsi" w:cstheme="minorHAnsi"/>
          <w:sz w:val="22"/>
          <w:szCs w:val="22"/>
        </w:rPr>
        <w:t xml:space="preserve"> S/</w:t>
      </w:r>
      <w:proofErr w:type="spellStart"/>
      <w:r w:rsidR="001C64F2" w:rsidRPr="001B07FE">
        <w:rPr>
          <w:rFonts w:asciiTheme="minorHAnsi" w:hAnsiTheme="minorHAnsi" w:cstheme="minorHAnsi"/>
          <w:sz w:val="22"/>
          <w:szCs w:val="22"/>
        </w:rPr>
        <w:t>Gln</w:t>
      </w:r>
      <w:proofErr w:type="spellEnd"/>
      <w:r w:rsidR="001C64F2" w:rsidRPr="001B07FE">
        <w:rPr>
          <w:rFonts w:asciiTheme="minorHAnsi" w:hAnsiTheme="minorHAnsi" w:cstheme="minorHAnsi"/>
          <w:sz w:val="22"/>
          <w:szCs w:val="22"/>
        </w:rPr>
        <w:t>)</w:t>
      </w:r>
      <w:r w:rsidR="0079059A" w:rsidRPr="001B07FE">
        <w:rPr>
          <w:rFonts w:asciiTheme="minorHAnsi" w:hAnsiTheme="minorHAnsi" w:cstheme="minorHAnsi"/>
          <w:sz w:val="22"/>
          <w:szCs w:val="22"/>
        </w:rPr>
        <w:t>.</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lastRenderedPageBreak/>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41A453CD"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F6EF0">
        <w:rPr>
          <w:rFonts w:asciiTheme="minorHAnsi" w:hAnsiTheme="minorHAnsi" w:cstheme="minorHAnsi"/>
          <w:sz w:val="22"/>
          <w:szCs w:val="22"/>
        </w:rPr>
        <w:t>20</w:t>
      </w:r>
      <w:r>
        <w:rPr>
          <w:rFonts w:asciiTheme="minorHAnsi" w:hAnsiTheme="minorHAnsi" w:cstheme="minorHAnsi"/>
          <w:sz w:val="22"/>
          <w:szCs w:val="22"/>
        </w:rPr>
        <w:t>/0</w:t>
      </w:r>
      <w:r w:rsidR="00E812D9">
        <w:rPr>
          <w:rFonts w:asciiTheme="minorHAnsi" w:hAnsiTheme="minorHAnsi" w:cstheme="minorHAnsi"/>
          <w:sz w:val="22"/>
          <w:szCs w:val="22"/>
        </w:rPr>
        <w:t>3</w:t>
      </w:r>
      <w:r>
        <w:rPr>
          <w:rFonts w:asciiTheme="minorHAnsi" w:hAnsiTheme="minorHAnsi" w:cstheme="minorHAnsi"/>
          <w:sz w:val="22"/>
          <w:szCs w:val="22"/>
        </w:rPr>
        <w:t xml:space="preserve">/2023 y el </w:t>
      </w:r>
      <w:r w:rsidR="009F6EF0">
        <w:rPr>
          <w:rFonts w:asciiTheme="minorHAnsi" w:hAnsiTheme="minorHAnsi" w:cstheme="minorHAnsi"/>
          <w:sz w:val="22"/>
          <w:szCs w:val="22"/>
        </w:rPr>
        <w:t>31</w:t>
      </w:r>
      <w:r>
        <w:rPr>
          <w:rFonts w:asciiTheme="minorHAnsi" w:hAnsiTheme="minorHAnsi" w:cstheme="minorHAnsi"/>
          <w:sz w:val="22"/>
          <w:szCs w:val="22"/>
        </w:rPr>
        <w:t>/0</w:t>
      </w:r>
      <w:r w:rsidR="005B53D4">
        <w:rPr>
          <w:rFonts w:asciiTheme="minorHAnsi" w:hAnsiTheme="minorHAnsi" w:cstheme="minorHAnsi"/>
          <w:sz w:val="22"/>
          <w:szCs w:val="22"/>
        </w:rPr>
        <w:t>3</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62CF0B8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9F6EF0">
        <w:rPr>
          <w:rFonts w:ascii="Calibri" w:hAnsi="Calibri" w:cs="Arial"/>
          <w:b/>
          <w:bCs/>
          <w:i/>
          <w:sz w:val="22"/>
          <w:szCs w:val="22"/>
          <w:lang w:eastAsia="es-PE"/>
        </w:rPr>
        <w:t>31</w:t>
      </w:r>
      <w:r>
        <w:rPr>
          <w:rFonts w:ascii="Calibri" w:hAnsi="Calibri" w:cs="Arial"/>
          <w:b/>
          <w:bCs/>
          <w:i/>
          <w:sz w:val="22"/>
          <w:szCs w:val="22"/>
          <w:lang w:eastAsia="es-PE"/>
        </w:rPr>
        <w:t>-0</w:t>
      </w:r>
      <w:r w:rsidR="005B53D4">
        <w:rPr>
          <w:rFonts w:ascii="Calibri" w:hAnsi="Calibri" w:cs="Arial"/>
          <w:b/>
          <w:bCs/>
          <w:i/>
          <w:sz w:val="22"/>
          <w:szCs w:val="22"/>
          <w:lang w:eastAsia="es-PE"/>
        </w:rPr>
        <w:t>3</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F4094D3" w:rsidR="00A86191" w:rsidRPr="00CC2A8A" w:rsidRDefault="009F6EF0" w:rsidP="00A86191">
      <w:pPr>
        <w:pBdr>
          <w:top w:val="single" w:sz="4" w:space="1" w:color="auto"/>
          <w:bottom w:val="single" w:sz="4" w:space="1" w:color="auto"/>
        </w:pBdr>
        <w:rPr>
          <w:rFonts w:ascii="Calibri" w:hAnsi="Calibri" w:cs="Arial"/>
          <w:bCs/>
          <w:sz w:val="32"/>
          <w:szCs w:val="32"/>
        </w:rPr>
      </w:pPr>
      <w:r w:rsidRPr="00FF4A32">
        <w:rPr>
          <w:noProof/>
        </w:rPr>
        <w:drawing>
          <wp:inline distT="0" distB="0" distL="0" distR="0" wp14:anchorId="5B9A3D9D" wp14:editId="7AB692F0">
            <wp:extent cx="5490845" cy="2922905"/>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350B5884" w14:textId="77777777" w:rsidR="00B304E2" w:rsidRDefault="00B304E2" w:rsidP="00AF3F44">
      <w:pPr>
        <w:jc w:val="both"/>
        <w:rPr>
          <w:rFonts w:asciiTheme="minorHAnsi" w:hAnsiTheme="minorHAnsi" w:cstheme="minorHAnsi"/>
          <w:sz w:val="22"/>
          <w:szCs w:val="22"/>
        </w:rPr>
      </w:pPr>
    </w:p>
    <w:p w14:paraId="7BBA9331" w14:textId="77777777" w:rsidR="00B304E2" w:rsidRDefault="00B304E2" w:rsidP="00AF3F44">
      <w:pPr>
        <w:jc w:val="both"/>
        <w:rPr>
          <w:rFonts w:asciiTheme="minorHAnsi" w:hAnsiTheme="minorHAnsi" w:cstheme="minorHAnsi"/>
          <w:sz w:val="22"/>
          <w:szCs w:val="22"/>
        </w:rPr>
      </w:pPr>
    </w:p>
    <w:p w14:paraId="0568F36D" w14:textId="77777777" w:rsidR="00B304E2" w:rsidRDefault="00B304E2" w:rsidP="00AF3F44">
      <w:pPr>
        <w:jc w:val="both"/>
        <w:rPr>
          <w:rFonts w:asciiTheme="minorHAnsi" w:hAnsiTheme="minorHAnsi" w:cstheme="minorHAnsi"/>
          <w:sz w:val="22"/>
          <w:szCs w:val="22"/>
        </w:rPr>
      </w:pPr>
    </w:p>
    <w:p w14:paraId="4DD94264" w14:textId="77777777" w:rsidR="00B304E2" w:rsidRDefault="00B304E2" w:rsidP="00AF3F44">
      <w:pPr>
        <w:jc w:val="both"/>
        <w:rPr>
          <w:rFonts w:asciiTheme="minorHAnsi" w:hAnsiTheme="minorHAnsi" w:cstheme="minorHAnsi"/>
          <w:sz w:val="22"/>
          <w:szCs w:val="22"/>
        </w:rPr>
      </w:pPr>
    </w:p>
    <w:p w14:paraId="5187EED7" w14:textId="264F5E16"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223A1504"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lastRenderedPageBreak/>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9F6EF0">
        <w:rPr>
          <w:rFonts w:asciiTheme="minorHAnsi" w:hAnsiTheme="minorHAnsi" w:cstheme="minorHAnsi"/>
          <w:sz w:val="22"/>
          <w:szCs w:val="22"/>
        </w:rPr>
        <w:t>6</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9F6EF0">
        <w:rPr>
          <w:rFonts w:asciiTheme="minorHAnsi" w:hAnsiTheme="minorHAnsi" w:cstheme="minorHAnsi"/>
          <w:sz w:val="22"/>
          <w:szCs w:val="22"/>
        </w:rPr>
        <w:t>0</w:t>
      </w:r>
      <w:r>
        <w:rPr>
          <w:rFonts w:asciiTheme="minorHAnsi" w:hAnsiTheme="minorHAnsi" w:cstheme="minorHAnsi"/>
          <w:sz w:val="22"/>
          <w:szCs w:val="22"/>
        </w:rPr>
        <w:t>% y 8</w:t>
      </w:r>
      <w:r w:rsidR="009F6EF0">
        <w:rPr>
          <w:rFonts w:asciiTheme="minorHAnsi" w:hAnsiTheme="minorHAnsi" w:cstheme="minorHAnsi"/>
          <w:sz w:val="22"/>
          <w:szCs w:val="22"/>
        </w:rPr>
        <w:t>8</w:t>
      </w:r>
      <w:r>
        <w:rPr>
          <w:rFonts w:asciiTheme="minorHAnsi" w:hAnsiTheme="minorHAnsi" w:cstheme="minorHAnsi"/>
          <w:sz w:val="22"/>
          <w:szCs w:val="22"/>
        </w:rPr>
        <w:t>% del precio de referencia de los biocombustibles, 7</w:t>
      </w:r>
      <w:r w:rsidR="009F6EF0">
        <w:rPr>
          <w:rFonts w:asciiTheme="minorHAnsi" w:hAnsiTheme="minorHAnsi" w:cstheme="minorHAnsi"/>
          <w:sz w:val="22"/>
          <w:szCs w:val="22"/>
        </w:rPr>
        <w:t>6</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9F6EF0">
        <w:rPr>
          <w:rFonts w:asciiTheme="minorHAnsi" w:hAnsiTheme="minorHAnsi" w:cstheme="minorHAnsi"/>
          <w:sz w:val="22"/>
          <w:szCs w:val="22"/>
        </w:rPr>
        <w:t>5</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1926F2C7"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F6EF0">
        <w:rPr>
          <w:rFonts w:asciiTheme="minorHAnsi" w:hAnsiTheme="minorHAnsi" w:cstheme="minorHAnsi"/>
          <w:sz w:val="22"/>
          <w:szCs w:val="22"/>
        </w:rPr>
        <w:t>31</w:t>
      </w:r>
      <w:r>
        <w:rPr>
          <w:rFonts w:asciiTheme="minorHAnsi" w:hAnsiTheme="minorHAnsi" w:cstheme="minorHAnsi"/>
          <w:sz w:val="22"/>
          <w:szCs w:val="22"/>
        </w:rPr>
        <w:t xml:space="preserve"> de marzo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1568F0BA"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F6EF0">
        <w:rPr>
          <w:rFonts w:asciiTheme="minorHAnsi" w:hAnsiTheme="minorHAnsi" w:cstheme="minorHAnsi"/>
          <w:sz w:val="22"/>
          <w:szCs w:val="22"/>
        </w:rPr>
        <w:t>5</w:t>
      </w:r>
      <w:r w:rsidR="001F2602">
        <w:rPr>
          <w:rFonts w:asciiTheme="minorHAnsi" w:hAnsiTheme="minorHAnsi" w:cstheme="minorHAnsi"/>
          <w:sz w:val="22"/>
          <w:szCs w:val="22"/>
        </w:rPr>
        <w:t>,</w:t>
      </w:r>
      <w:r w:rsidR="009F6EF0">
        <w:rPr>
          <w:rFonts w:asciiTheme="minorHAnsi" w:hAnsiTheme="minorHAnsi" w:cstheme="minorHAnsi"/>
          <w:sz w:val="22"/>
          <w:szCs w:val="22"/>
        </w:rPr>
        <w:t>55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7C463158" w14:textId="77777777" w:rsidR="00E812D9" w:rsidRPr="006E3A77" w:rsidRDefault="00E812D9" w:rsidP="00E812D9">
      <w:pPr>
        <w:pStyle w:val="Prrafodelista"/>
        <w:ind w:left="426" w:hanging="426"/>
        <w:jc w:val="center"/>
        <w:rPr>
          <w:rFonts w:asciiTheme="minorHAnsi" w:hAnsiTheme="minorHAnsi" w:cstheme="minorHAnsi"/>
          <w:sz w:val="22"/>
          <w:szCs w:val="22"/>
          <w:lang w:val="es-MX"/>
        </w:rPr>
      </w:pPr>
    </w:p>
    <w:p w14:paraId="2BDFF827" w14:textId="761B1D9C"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F6EF0">
        <w:rPr>
          <w:rFonts w:asciiTheme="minorHAnsi" w:hAnsiTheme="minorHAnsi" w:cstheme="minorHAnsi"/>
          <w:sz w:val="22"/>
          <w:szCs w:val="22"/>
          <w:lang w:val="en-US"/>
        </w:rPr>
        <w:t>5</w:t>
      </w:r>
      <w:r>
        <w:rPr>
          <w:rFonts w:asciiTheme="minorHAnsi" w:hAnsiTheme="minorHAnsi" w:cstheme="minorHAnsi"/>
          <w:sz w:val="22"/>
          <w:szCs w:val="22"/>
          <w:lang w:val="en-US"/>
        </w:rPr>
        <w:t>,</w:t>
      </w:r>
      <w:r w:rsidR="009F6EF0">
        <w:rPr>
          <w:rFonts w:asciiTheme="minorHAnsi" w:hAnsiTheme="minorHAnsi" w:cstheme="minorHAnsi"/>
          <w:sz w:val="22"/>
          <w:szCs w:val="22"/>
          <w:lang w:val="en-US"/>
        </w:rPr>
        <w:t>55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9F6EF0">
        <w:rPr>
          <w:rFonts w:asciiTheme="minorHAnsi" w:hAnsiTheme="minorHAnsi" w:cstheme="minorHAnsi"/>
          <w:sz w:val="22"/>
          <w:szCs w:val="22"/>
          <w:lang w:val="en-US"/>
        </w:rPr>
        <w:t>97</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79809E88"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9F6EF0">
        <w:rPr>
          <w:rFonts w:asciiTheme="minorHAnsi" w:hAnsiTheme="minorHAnsi" w:cstheme="minorHAnsi"/>
          <w:sz w:val="22"/>
          <w:szCs w:val="22"/>
          <w:lang w:val="en-US"/>
        </w:rPr>
        <w:t>67</w:t>
      </w:r>
      <w:r w:rsidRPr="006E3A77">
        <w:rPr>
          <w:rFonts w:asciiTheme="minorHAnsi" w:hAnsiTheme="minorHAnsi" w:cstheme="minorHAnsi"/>
          <w:sz w:val="22"/>
          <w:szCs w:val="22"/>
          <w:lang w:val="en-US"/>
        </w:rPr>
        <w:t xml:space="preserve"> US$/Bl</w:t>
      </w:r>
    </w:p>
    <w:p w14:paraId="0A0219C0"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690193CC"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513E2B">
        <w:rPr>
          <w:rFonts w:asciiTheme="minorHAnsi" w:hAnsiTheme="minorHAnsi" w:cstheme="minorHAnsi"/>
          <w:sz w:val="22"/>
          <w:szCs w:val="22"/>
        </w:rPr>
        <w:t>8</w:t>
      </w:r>
      <w:r w:rsidR="004E2611">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42AAC7E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E790A">
        <w:rPr>
          <w:rFonts w:asciiTheme="minorHAnsi" w:hAnsiTheme="minorHAnsi" w:cstheme="minorHAnsi"/>
          <w:sz w:val="22"/>
          <w:szCs w:val="22"/>
        </w:rPr>
        <w:t>90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EE790A">
        <w:rPr>
          <w:rFonts w:asciiTheme="minorHAnsi" w:hAnsiTheme="minorHAnsi" w:cstheme="minorHAnsi"/>
          <w:sz w:val="22"/>
          <w:szCs w:val="22"/>
        </w:rPr>
        <w:t>7</w:t>
      </w:r>
      <w:r w:rsidR="00513E2B">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17A93D93"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EE790A">
        <w:rPr>
          <w:rFonts w:asciiTheme="minorHAnsi" w:hAnsiTheme="minorHAnsi" w:cstheme="minorHAnsi"/>
          <w:sz w:val="22"/>
          <w:szCs w:val="22"/>
        </w:rPr>
        <w:t>81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E790A">
        <w:rPr>
          <w:rFonts w:asciiTheme="minorHAnsi" w:hAnsiTheme="minorHAnsi" w:cstheme="minorHAnsi"/>
          <w:sz w:val="22"/>
          <w:szCs w:val="22"/>
        </w:rPr>
        <w:t>9</w:t>
      </w:r>
      <w:r w:rsidR="00513E2B">
        <w:rPr>
          <w:rFonts w:asciiTheme="minorHAnsi" w:hAnsiTheme="minorHAnsi" w:cstheme="minorHAnsi"/>
          <w:sz w:val="22"/>
          <w:szCs w:val="22"/>
        </w:rPr>
        <w:t>,</w:t>
      </w:r>
      <w:r w:rsidR="00EE790A">
        <w:rPr>
          <w:rFonts w:asciiTheme="minorHAnsi" w:hAnsiTheme="minorHAnsi" w:cstheme="minorHAnsi"/>
          <w:sz w:val="22"/>
          <w:szCs w:val="22"/>
        </w:rPr>
        <w:t>73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2D4CC59" w:rsidR="00E812D9" w:rsidRDefault="00E812D9" w:rsidP="00E812D9">
      <w:pPr>
        <w:ind w:left="426" w:hanging="426"/>
        <w:jc w:val="both"/>
        <w:rPr>
          <w:rFonts w:asciiTheme="minorHAnsi" w:hAnsiTheme="minorHAnsi" w:cstheme="minorHAnsi"/>
          <w:sz w:val="22"/>
          <w:szCs w:val="22"/>
          <w:u w:val="single"/>
        </w:rPr>
      </w:pPr>
    </w:p>
    <w:p w14:paraId="58B039E3" w14:textId="7BA9A535" w:rsidR="00B304E2" w:rsidRDefault="00B304E2" w:rsidP="00E812D9">
      <w:pPr>
        <w:ind w:left="426" w:hanging="426"/>
        <w:jc w:val="both"/>
        <w:rPr>
          <w:rFonts w:asciiTheme="minorHAnsi" w:hAnsiTheme="minorHAnsi" w:cstheme="minorHAnsi"/>
          <w:sz w:val="22"/>
          <w:szCs w:val="22"/>
          <w:u w:val="single"/>
        </w:rPr>
      </w:pPr>
    </w:p>
    <w:p w14:paraId="3633EA1A" w14:textId="00A8A710" w:rsidR="00B304E2" w:rsidRDefault="00B304E2" w:rsidP="00E812D9">
      <w:pPr>
        <w:ind w:left="426" w:hanging="426"/>
        <w:jc w:val="both"/>
        <w:rPr>
          <w:rFonts w:asciiTheme="minorHAnsi" w:hAnsiTheme="minorHAnsi" w:cstheme="minorHAnsi"/>
          <w:sz w:val="22"/>
          <w:szCs w:val="22"/>
          <w:u w:val="single"/>
        </w:rPr>
      </w:pPr>
    </w:p>
    <w:p w14:paraId="611DCC74" w14:textId="4F396E75" w:rsidR="00B304E2" w:rsidRDefault="00B304E2" w:rsidP="00E812D9">
      <w:pPr>
        <w:ind w:left="426" w:hanging="426"/>
        <w:jc w:val="both"/>
        <w:rPr>
          <w:rFonts w:asciiTheme="minorHAnsi" w:hAnsiTheme="minorHAnsi" w:cstheme="minorHAnsi"/>
          <w:sz w:val="22"/>
          <w:szCs w:val="22"/>
          <w:u w:val="single"/>
        </w:rPr>
      </w:pPr>
    </w:p>
    <w:p w14:paraId="694F6E85" w14:textId="77777777" w:rsidR="00B304E2" w:rsidRPr="006E3A77" w:rsidRDefault="00B304E2"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2999862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C86C52">
        <w:rPr>
          <w:rFonts w:asciiTheme="minorHAnsi" w:hAnsiTheme="minorHAnsi" w:cstheme="minorHAnsi"/>
          <w:sz w:val="22"/>
          <w:szCs w:val="22"/>
        </w:rPr>
        <w:t>8</w:t>
      </w:r>
      <w:r w:rsidR="00EE790A">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0EDC4D5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EE790A">
        <w:rPr>
          <w:rFonts w:asciiTheme="minorHAnsi" w:hAnsiTheme="minorHAnsi" w:cstheme="minorHAnsi"/>
          <w:sz w:val="22"/>
          <w:szCs w:val="22"/>
        </w:rPr>
        <w:t>37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4C0510B2" w14:textId="77777777" w:rsidR="00352B3A" w:rsidRDefault="00352B3A" w:rsidP="004F74EE">
      <w:pPr>
        <w:jc w:val="both"/>
        <w:rPr>
          <w:rFonts w:ascii="Arial" w:hAnsi="Arial" w:cs="Arial"/>
          <w:sz w:val="22"/>
          <w:szCs w:val="22"/>
          <w:u w:val="single"/>
          <w:lang w:eastAsia="en-US"/>
        </w:rPr>
      </w:pPr>
    </w:p>
    <w:p w14:paraId="31467A43" w14:textId="77777777" w:rsidR="00D149F2" w:rsidRDefault="00D149F2"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08FADBED" w:rsidR="00765078" w:rsidRDefault="00E6242B" w:rsidP="004F74EE">
      <w:pPr>
        <w:pBdr>
          <w:top w:val="single" w:sz="4" w:space="1" w:color="auto"/>
          <w:bottom w:val="single" w:sz="4" w:space="1" w:color="auto"/>
        </w:pBdr>
        <w:jc w:val="center"/>
        <w:rPr>
          <w:rFonts w:ascii="Calibri" w:hAnsi="Calibri" w:cs="Calibri"/>
          <w:sz w:val="22"/>
          <w:szCs w:val="22"/>
          <w:lang w:val="es-PE" w:eastAsia="en-US"/>
        </w:rPr>
      </w:pPr>
      <w:r w:rsidRPr="00E6242B">
        <w:rPr>
          <w:noProof/>
        </w:rPr>
        <w:drawing>
          <wp:inline distT="0" distB="0" distL="0" distR="0" wp14:anchorId="7D26E3CB" wp14:editId="669FC527">
            <wp:extent cx="8173085" cy="306832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5869" cy="306936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C63F4">
        <w:trPr>
          <w:trHeight w:val="4665"/>
        </w:trPr>
        <w:tc>
          <w:tcPr>
            <w:tcW w:w="5693" w:type="dxa"/>
            <w:tcBorders>
              <w:top w:val="single" w:sz="4" w:space="0" w:color="auto"/>
              <w:bottom w:val="single" w:sz="4" w:space="0" w:color="auto"/>
            </w:tcBorders>
            <w:shd w:val="clear" w:color="auto" w:fill="auto"/>
          </w:tcPr>
          <w:p w14:paraId="730DA91A" w14:textId="01B06F1C" w:rsidR="00F85D23" w:rsidRDefault="00EF3BE9" w:rsidP="00FB4E04">
            <w:pPr>
              <w:ind w:left="-618" w:right="-654"/>
              <w:jc w:val="center"/>
              <w:rPr>
                <w:rFonts w:asciiTheme="minorHAnsi" w:hAnsiTheme="minorHAnsi" w:cstheme="minorHAnsi"/>
              </w:rPr>
            </w:pPr>
            <w:r w:rsidRPr="00EF3BE9">
              <w:rPr>
                <w:rFonts w:asciiTheme="minorHAnsi" w:hAnsiTheme="minorHAnsi" w:cstheme="minorHAnsi"/>
                <w:noProof/>
              </w:rPr>
              <w:drawing>
                <wp:inline distT="0" distB="0" distL="0" distR="0" wp14:anchorId="756C402F" wp14:editId="75142ED3">
                  <wp:extent cx="3522345" cy="2824480"/>
                  <wp:effectExtent l="0" t="0" r="190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5928" cy="2827353"/>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5AC408FE" w:rsidR="00EF3BE9" w:rsidRPr="00CE793E" w:rsidRDefault="00EF3BE9"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0401F35B" wp14:editId="307D6F01">
                  <wp:extent cx="5330826" cy="2499360"/>
                  <wp:effectExtent l="0" t="0" r="317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5994" cy="2525226"/>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0003F1BB" w:rsidR="006C63F4" w:rsidRPr="00737F8F" w:rsidRDefault="006C63F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C63F4">
        <w:rPr>
          <w:noProof/>
          <w:lang w:val="es-PE" w:eastAsia="es-PE"/>
        </w:rPr>
        <w:drawing>
          <wp:inline distT="0" distB="0" distL="0" distR="0" wp14:anchorId="68522774" wp14:editId="40ED6926">
            <wp:extent cx="5850255" cy="2178941"/>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0942" cy="2179197"/>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39288B52" w:rsidR="005C4A97" w:rsidRDefault="00E6242B" w:rsidP="00604758">
      <w:pPr>
        <w:spacing w:line="0" w:lineRule="atLeast"/>
        <w:ind w:right="-567"/>
        <w:jc w:val="both"/>
        <w:rPr>
          <w:rFonts w:asciiTheme="minorHAnsi" w:hAnsiTheme="minorHAnsi" w:cstheme="minorHAnsi"/>
          <w:i/>
          <w:sz w:val="18"/>
          <w:szCs w:val="18"/>
        </w:rPr>
      </w:pPr>
      <w:r w:rsidRPr="00E6242B">
        <w:rPr>
          <w:noProof/>
        </w:rPr>
        <w:drawing>
          <wp:inline distT="0" distB="0" distL="0" distR="0" wp14:anchorId="062F4550" wp14:editId="27EF02B7">
            <wp:extent cx="5850255" cy="2113280"/>
            <wp:effectExtent l="0" t="0" r="0" b="127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6363" cy="211548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1EF8FD8A" w:rsidR="00127A54" w:rsidRDefault="00E6242B" w:rsidP="006220EA">
      <w:pPr>
        <w:rPr>
          <w:rFonts w:asciiTheme="minorHAnsi" w:hAnsiTheme="minorHAnsi" w:cstheme="minorHAnsi"/>
          <w:i/>
          <w:sz w:val="18"/>
          <w:szCs w:val="18"/>
        </w:rPr>
      </w:pPr>
      <w:r w:rsidRPr="00E6242B">
        <w:rPr>
          <w:noProof/>
        </w:rPr>
        <w:drawing>
          <wp:inline distT="0" distB="0" distL="0" distR="0" wp14:anchorId="6CDEE793" wp14:editId="405DD1DB">
            <wp:extent cx="5850255" cy="7430346"/>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441" cy="7431852"/>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7485F387" w:rsidR="005048C1" w:rsidRPr="00C2751F" w:rsidRDefault="00E6242B" w:rsidP="005048C1">
      <w:pPr>
        <w:spacing w:line="0" w:lineRule="atLeast"/>
        <w:ind w:right="-567"/>
        <w:jc w:val="both"/>
        <w:rPr>
          <w:noProof/>
          <w:lang w:val="es-PE" w:eastAsia="es-PE"/>
        </w:rPr>
      </w:pPr>
      <w:r w:rsidRPr="00E6242B">
        <w:rPr>
          <w:noProof/>
        </w:rPr>
        <w:drawing>
          <wp:inline distT="0" distB="0" distL="0" distR="0" wp14:anchorId="5D0B4FA5" wp14:editId="2C7F4CD2">
            <wp:extent cx="5850255" cy="6041813"/>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1309" cy="604290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7034CDAC" w14:textId="77777777" w:rsidR="00D149F2" w:rsidRDefault="00D149F2" w:rsidP="00D149F2">
      <w:pPr>
        <w:jc w:val="center"/>
        <w:rPr>
          <w:rFonts w:asciiTheme="minorHAnsi" w:hAnsiTheme="minorHAnsi" w:cstheme="minorHAnsi"/>
          <w:sz w:val="22"/>
          <w:szCs w:val="22"/>
        </w:rPr>
      </w:pPr>
      <w:r>
        <w:rPr>
          <w:noProof/>
        </w:rPr>
        <w:drawing>
          <wp:inline distT="0" distB="0" distL="0" distR="0" wp14:anchorId="590E3412" wp14:editId="10F08D87">
            <wp:extent cx="4522976" cy="2414905"/>
            <wp:effectExtent l="19050" t="19050" r="11430" b="23495"/>
            <wp:docPr id="33" name="Picture 3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32666" cy="2420079"/>
                    </a:xfrm>
                    <a:prstGeom prst="rect">
                      <a:avLst/>
                    </a:prstGeom>
                    <a:noFill/>
                    <a:ln>
                      <a:solidFill>
                        <a:schemeClr val="accent1"/>
                      </a:solidFill>
                    </a:ln>
                  </pic:spPr>
                </pic:pic>
              </a:graphicData>
            </a:graphic>
          </wp:inline>
        </w:drawing>
      </w:r>
    </w:p>
    <w:p w14:paraId="34C339EB" w14:textId="77777777" w:rsidR="00D149F2" w:rsidRDefault="00D149F2" w:rsidP="00D149F2">
      <w:pPr>
        <w:jc w:val="center"/>
        <w:rPr>
          <w:rFonts w:asciiTheme="minorHAnsi" w:hAnsiTheme="minorHAnsi" w:cstheme="minorHAnsi"/>
          <w:sz w:val="22"/>
          <w:szCs w:val="22"/>
        </w:rPr>
      </w:pPr>
    </w:p>
    <w:p w14:paraId="4091BEB8" w14:textId="77777777" w:rsidR="00D149F2" w:rsidRDefault="00D149F2" w:rsidP="00D149F2">
      <w:pPr>
        <w:jc w:val="center"/>
        <w:rPr>
          <w:rFonts w:asciiTheme="minorHAnsi" w:hAnsiTheme="minorHAnsi" w:cstheme="minorHAnsi"/>
          <w:sz w:val="22"/>
          <w:szCs w:val="22"/>
        </w:rPr>
      </w:pPr>
      <w:r>
        <w:rPr>
          <w:noProof/>
        </w:rPr>
        <w:drawing>
          <wp:inline distT="0" distB="0" distL="0" distR="0" wp14:anchorId="77723899" wp14:editId="73F24D80">
            <wp:extent cx="4579620" cy="2445149"/>
            <wp:effectExtent l="19050" t="19050" r="11430" b="12700"/>
            <wp:docPr id="35" name="Picture 3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98692" cy="2455332"/>
                    </a:xfrm>
                    <a:prstGeom prst="rect">
                      <a:avLst/>
                    </a:prstGeom>
                    <a:noFill/>
                    <a:ln>
                      <a:solidFill>
                        <a:schemeClr val="accent1"/>
                      </a:solidFill>
                    </a:ln>
                  </pic:spPr>
                </pic:pic>
              </a:graphicData>
            </a:graphic>
          </wp:inline>
        </w:drawing>
      </w:r>
    </w:p>
    <w:p w14:paraId="324E6439" w14:textId="77777777" w:rsidR="00D149F2" w:rsidRDefault="00D149F2" w:rsidP="00D149F2">
      <w:pPr>
        <w:jc w:val="center"/>
        <w:rPr>
          <w:rFonts w:asciiTheme="minorHAnsi" w:hAnsiTheme="minorHAnsi" w:cstheme="minorHAnsi"/>
          <w:sz w:val="22"/>
          <w:szCs w:val="22"/>
        </w:rPr>
      </w:pPr>
    </w:p>
    <w:p w14:paraId="0467AE36" w14:textId="77777777" w:rsidR="00D149F2" w:rsidRDefault="00D149F2" w:rsidP="00D149F2">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Pr>
          <w:noProof/>
        </w:rPr>
        <w:drawing>
          <wp:inline distT="0" distB="0" distL="0" distR="0" wp14:anchorId="31941486" wp14:editId="18E4173F">
            <wp:extent cx="4530090" cy="2418703"/>
            <wp:effectExtent l="19050" t="19050" r="22860" b="20320"/>
            <wp:docPr id="36" name="Picture 3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44517" cy="2426406"/>
                    </a:xfrm>
                    <a:prstGeom prst="rect">
                      <a:avLst/>
                    </a:prstGeom>
                    <a:noFill/>
                    <a:ln>
                      <a:solidFill>
                        <a:schemeClr val="accent1"/>
                      </a:solidFill>
                    </a:ln>
                  </pic:spPr>
                </pic:pic>
              </a:graphicData>
            </a:graphic>
          </wp:inline>
        </w:drawing>
      </w:r>
    </w:p>
    <w:p w14:paraId="1892F662" w14:textId="77777777" w:rsidR="00D149F2" w:rsidRDefault="00D149F2" w:rsidP="00D149F2">
      <w:pPr>
        <w:jc w:val="center"/>
        <w:rPr>
          <w:rFonts w:asciiTheme="minorHAnsi" w:hAnsiTheme="minorHAnsi" w:cstheme="minorHAnsi"/>
          <w:b/>
          <w:iCs/>
          <w:u w:val="single"/>
        </w:rPr>
      </w:pPr>
    </w:p>
    <w:p w14:paraId="5902B9E2" w14:textId="77777777" w:rsidR="00D149F2" w:rsidRDefault="00D149F2" w:rsidP="00D149F2">
      <w:pPr>
        <w:jc w:val="center"/>
        <w:rPr>
          <w:rFonts w:asciiTheme="minorHAnsi" w:hAnsiTheme="minorHAnsi" w:cstheme="minorHAnsi"/>
          <w:b/>
          <w:iCs/>
          <w:u w:val="single"/>
        </w:rPr>
      </w:pPr>
      <w:r>
        <w:rPr>
          <w:noProof/>
        </w:rPr>
        <w:drawing>
          <wp:inline distT="0" distB="0" distL="0" distR="0" wp14:anchorId="015C9911" wp14:editId="5868D819">
            <wp:extent cx="4588388" cy="2449830"/>
            <wp:effectExtent l="19050" t="19050" r="22225" b="26670"/>
            <wp:docPr id="37" name="Picture 3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5764" cy="2453768"/>
                    </a:xfrm>
                    <a:prstGeom prst="rect">
                      <a:avLst/>
                    </a:prstGeom>
                    <a:noFill/>
                    <a:ln>
                      <a:solidFill>
                        <a:schemeClr val="accent1"/>
                      </a:solidFill>
                    </a:ln>
                  </pic:spPr>
                </pic:pic>
              </a:graphicData>
            </a:graphic>
          </wp:inline>
        </w:drawing>
      </w:r>
    </w:p>
    <w:p w14:paraId="58A1FA5A" w14:textId="77777777" w:rsidR="00D149F2" w:rsidRDefault="00D149F2" w:rsidP="00D149F2">
      <w:pPr>
        <w:rPr>
          <w:rFonts w:asciiTheme="minorHAnsi" w:hAnsiTheme="minorHAnsi" w:cstheme="minorHAnsi"/>
          <w:b/>
          <w:iCs/>
          <w:u w:val="single"/>
        </w:rPr>
      </w:pPr>
    </w:p>
    <w:p w14:paraId="0ADC3CBB" w14:textId="77777777" w:rsidR="00AF5121" w:rsidRDefault="00AF5121" w:rsidP="00AF5121">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4B66A993" w:rsidR="00AF5121" w:rsidRDefault="00AF5121" w:rsidP="00AF5121">
      <w:pPr>
        <w:jc w:val="cente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B07FE"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A13BEB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111F45">
            <w:rPr>
              <w:rFonts w:ascii="Calibri" w:hAnsi="Calibri" w:cs="Calibri"/>
              <w:b/>
              <w:sz w:val="26"/>
              <w:szCs w:val="26"/>
              <w:lang w:val="it-IT"/>
            </w:rPr>
            <w:t>4</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70E7827"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111F45">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C7A4F1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111F45">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C41AFEA"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111F45">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16</Pages>
  <Words>3264</Words>
  <Characters>17956</Characters>
  <Application>Microsoft Office Word</Application>
  <DocSecurity>0</DocSecurity>
  <Lines>149</Lines>
  <Paragraphs>42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8</cp:revision>
  <cp:lastPrinted>2023-03-30T19:33:00Z</cp:lastPrinted>
  <dcterms:created xsi:type="dcterms:W3CDTF">2023-04-03T20:38:00Z</dcterms:created>
  <dcterms:modified xsi:type="dcterms:W3CDTF">2023-04-04T21:16:00Z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