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3C8AAFF4"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INFORME N° PR</w:t>
      </w:r>
      <w:r w:rsidR="002A50E6" w:rsidRPr="00EE493C">
        <w:rPr>
          <w:rFonts w:ascii="Poppins" w:hAnsi="Poppins" w:cs="Poppins"/>
          <w:sz w:val="24"/>
          <w:szCs w:val="22"/>
          <w:u w:val="single"/>
          <w:lang w:val="es-PE"/>
        </w:rPr>
        <w:t>-</w:t>
      </w:r>
      <w:r w:rsidR="005151B0">
        <w:rPr>
          <w:rFonts w:ascii="Poppins" w:hAnsi="Poppins" w:cs="Poppins"/>
          <w:sz w:val="24"/>
          <w:szCs w:val="22"/>
          <w:u w:val="single"/>
          <w:lang w:val="es-PE"/>
        </w:rPr>
        <w:t>0</w:t>
      </w:r>
      <w:r w:rsidR="00C16233">
        <w:rPr>
          <w:rFonts w:ascii="Poppins" w:hAnsi="Poppins" w:cs="Poppins"/>
          <w:sz w:val="24"/>
          <w:szCs w:val="22"/>
          <w:u w:val="single"/>
          <w:lang w:val="es-PE"/>
        </w:rPr>
        <w:t>9</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29BFA0DE"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C16233">
        <w:rPr>
          <w:rFonts w:ascii="Poppins" w:hAnsi="Poppins" w:cs="Poppins"/>
          <w:b/>
          <w:bCs/>
          <w:sz w:val="22"/>
          <w:szCs w:val="22"/>
        </w:rPr>
        <w:t>0</w:t>
      </w:r>
      <w:r w:rsidR="00AF1055">
        <w:rPr>
          <w:rFonts w:ascii="Poppins" w:hAnsi="Poppins" w:cs="Poppins"/>
          <w:b/>
          <w:bCs/>
          <w:sz w:val="22"/>
          <w:szCs w:val="22"/>
        </w:rPr>
        <w:t>2</w:t>
      </w:r>
      <w:r w:rsidR="00316BFF">
        <w:rPr>
          <w:rFonts w:ascii="Poppins" w:hAnsi="Poppins" w:cs="Poppins"/>
          <w:b/>
          <w:bCs/>
          <w:sz w:val="22"/>
          <w:szCs w:val="22"/>
        </w:rPr>
        <w:t>/</w:t>
      </w:r>
      <w:r w:rsidR="005151B0">
        <w:rPr>
          <w:rFonts w:ascii="Poppins" w:hAnsi="Poppins" w:cs="Poppins"/>
          <w:b/>
          <w:bCs/>
          <w:sz w:val="22"/>
          <w:szCs w:val="22"/>
        </w:rPr>
        <w:t>0</w:t>
      </w:r>
      <w:r w:rsidR="00C16233">
        <w:rPr>
          <w:rFonts w:ascii="Poppins" w:hAnsi="Poppins" w:cs="Poppins"/>
          <w:b/>
          <w:bCs/>
          <w:sz w:val="22"/>
          <w:szCs w:val="22"/>
        </w:rPr>
        <w:t>3</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67E5C82A" w:rsidR="00AB06BA" w:rsidRPr="001C2FD3" w:rsidRDefault="004411A2"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36F5367E" wp14:editId="254E5026">
            <wp:extent cx="5426293" cy="3820737"/>
            <wp:effectExtent l="0" t="0" r="3175" b="889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1932" cy="3824708"/>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2E6620DC"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A07A4E">
        <w:rPr>
          <w:rFonts w:ascii="Poppins" w:hAnsi="Poppins" w:cs="Poppins"/>
          <w:sz w:val="18"/>
          <w:szCs w:val="18"/>
        </w:rPr>
        <w:t>6</w:t>
      </w:r>
      <w:r w:rsidR="00604BC3">
        <w:rPr>
          <w:rFonts w:ascii="Poppins" w:hAnsi="Poppins" w:cs="Poppins"/>
          <w:sz w:val="18"/>
          <w:szCs w:val="18"/>
        </w:rPr>
        <w:t>6</w:t>
      </w:r>
      <w:r w:rsidR="00E23D92" w:rsidRPr="00273F37">
        <w:rPr>
          <w:rFonts w:ascii="Poppins" w:hAnsi="Poppins" w:cs="Poppins"/>
          <w:sz w:val="18"/>
          <w:szCs w:val="18"/>
        </w:rPr>
        <w:t>,</w:t>
      </w:r>
      <w:r w:rsidR="006042FA">
        <w:rPr>
          <w:rFonts w:ascii="Poppins" w:hAnsi="Poppins" w:cs="Poppins"/>
          <w:sz w:val="18"/>
          <w:szCs w:val="18"/>
        </w:rPr>
        <w:t>34</w:t>
      </w:r>
      <w:r w:rsidRPr="00273F37">
        <w:rPr>
          <w:rFonts w:ascii="Poppins" w:hAnsi="Poppins" w:cs="Poppins"/>
          <w:sz w:val="18"/>
          <w:szCs w:val="18"/>
        </w:rPr>
        <w:t xml:space="preserve"> US$/Bl, las gasolinas registraron un precio superior a </w:t>
      </w:r>
      <w:r w:rsidR="00190CAB">
        <w:rPr>
          <w:rFonts w:ascii="Poppins" w:hAnsi="Poppins" w:cs="Poppins"/>
          <w:sz w:val="18"/>
          <w:szCs w:val="18"/>
        </w:rPr>
        <w:t>86</w:t>
      </w:r>
      <w:r w:rsidRPr="00273F37">
        <w:rPr>
          <w:rFonts w:ascii="Poppins" w:hAnsi="Poppins" w:cs="Poppins"/>
          <w:sz w:val="18"/>
          <w:szCs w:val="18"/>
        </w:rPr>
        <w:t xml:space="preserve"> US$/Bl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101</w:t>
      </w:r>
      <w:r w:rsidRPr="00273F37">
        <w:rPr>
          <w:rFonts w:ascii="Poppins" w:hAnsi="Poppins" w:cs="Poppins"/>
          <w:sz w:val="18"/>
          <w:szCs w:val="18"/>
        </w:rPr>
        <w:t xml:space="preserve"> US$/Bl</w:t>
      </w:r>
      <w:r w:rsidR="00FE53EF" w:rsidRPr="00273F37">
        <w:rPr>
          <w:rFonts w:ascii="Poppins" w:hAnsi="Poppins" w:cs="Poppins"/>
          <w:sz w:val="18"/>
          <w:szCs w:val="18"/>
        </w:rPr>
        <w:t xml:space="preserve">. Para el mismo periodo, el precio del GLP cerró la semana en </w:t>
      </w:r>
      <w:r w:rsidR="00205D48">
        <w:rPr>
          <w:rFonts w:ascii="Poppins" w:hAnsi="Poppins" w:cs="Poppins"/>
          <w:sz w:val="18"/>
          <w:szCs w:val="18"/>
        </w:rPr>
        <w:t>2</w:t>
      </w:r>
      <w:r w:rsidR="00190CAB">
        <w:rPr>
          <w:rFonts w:ascii="Poppins" w:hAnsi="Poppins" w:cs="Poppins"/>
          <w:sz w:val="18"/>
          <w:szCs w:val="18"/>
        </w:rPr>
        <w:t>8</w:t>
      </w:r>
      <w:r w:rsidR="00941CD2" w:rsidRPr="00273F37">
        <w:rPr>
          <w:rFonts w:ascii="Poppins" w:hAnsi="Poppins" w:cs="Poppins"/>
          <w:sz w:val="18"/>
          <w:szCs w:val="18"/>
        </w:rPr>
        <w:t>,</w:t>
      </w:r>
      <w:r w:rsidR="00190CAB">
        <w:rPr>
          <w:rFonts w:ascii="Poppins" w:hAnsi="Poppins" w:cs="Poppins"/>
          <w:sz w:val="18"/>
          <w:szCs w:val="18"/>
        </w:rPr>
        <w:t>9</w:t>
      </w:r>
      <w:r w:rsidR="00604BC3">
        <w:rPr>
          <w:rFonts w:ascii="Poppins" w:hAnsi="Poppins" w:cs="Poppins"/>
          <w:sz w:val="18"/>
          <w:szCs w:val="18"/>
        </w:rPr>
        <w:t>9</w:t>
      </w:r>
      <w:r w:rsidR="00FE53EF" w:rsidRPr="00273F37">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237382DE" w14:textId="6C9D63FC"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6042FA">
        <w:rPr>
          <w:rFonts w:ascii="Poppins" w:hAnsi="Poppins" w:cs="Poppins"/>
          <w:bCs/>
          <w:sz w:val="18"/>
          <w:szCs w:val="18"/>
        </w:rPr>
        <w:t>13</w:t>
      </w:r>
      <w:r w:rsidR="007D7CB0">
        <w:rPr>
          <w:rFonts w:ascii="Poppins" w:hAnsi="Poppins" w:cs="Poppins"/>
          <w:bCs/>
          <w:sz w:val="18"/>
          <w:szCs w:val="18"/>
        </w:rPr>
        <w:t>.</w:t>
      </w:r>
      <w:r w:rsidR="00B816EA">
        <w:rPr>
          <w:rFonts w:ascii="Poppins" w:hAnsi="Poppins" w:cs="Poppins"/>
          <w:bCs/>
          <w:sz w:val="18"/>
          <w:szCs w:val="18"/>
        </w:rPr>
        <w:t>0</w:t>
      </w:r>
      <w:r w:rsidR="00CB5F24">
        <w:rPr>
          <w:rFonts w:ascii="Poppins" w:hAnsi="Poppins" w:cs="Poppins"/>
          <w:bCs/>
          <w:sz w:val="18"/>
          <w:szCs w:val="18"/>
        </w:rPr>
        <w:t>2</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604BC3">
        <w:rPr>
          <w:rFonts w:ascii="Poppins" w:hAnsi="Poppins" w:cs="Poppins"/>
          <w:bCs/>
          <w:sz w:val="18"/>
          <w:szCs w:val="18"/>
        </w:rPr>
        <w:t xml:space="preserve"> 2</w:t>
      </w:r>
      <w:r w:rsidR="006042FA">
        <w:rPr>
          <w:rFonts w:ascii="Poppins" w:hAnsi="Poppins" w:cs="Poppins"/>
          <w:bCs/>
          <w:sz w:val="18"/>
          <w:szCs w:val="18"/>
        </w:rPr>
        <w:t>7</w:t>
      </w:r>
      <w:r w:rsidR="005151B0">
        <w:rPr>
          <w:rFonts w:ascii="Poppins" w:hAnsi="Poppins" w:cs="Poppins"/>
          <w:bCs/>
          <w:sz w:val="18"/>
          <w:szCs w:val="18"/>
        </w:rPr>
        <w:t>.0</w:t>
      </w:r>
      <w:r w:rsidR="000A7DFE">
        <w:rPr>
          <w:rFonts w:ascii="Poppins" w:hAnsi="Poppins" w:cs="Poppins"/>
          <w:bCs/>
          <w:sz w:val="18"/>
          <w:szCs w:val="18"/>
        </w:rPr>
        <w:t>2</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63771659" w14:textId="77777777" w:rsidR="00354C69" w:rsidRPr="00E63B29" w:rsidRDefault="00354C69" w:rsidP="00354C69">
      <w:pPr>
        <w:pStyle w:val="Prrafodelista"/>
        <w:numPr>
          <w:ilvl w:val="0"/>
          <w:numId w:val="30"/>
        </w:numPr>
        <w:ind w:left="425"/>
        <w:contextualSpacing/>
        <w:jc w:val="both"/>
        <w:rPr>
          <w:rFonts w:ascii="Poppins" w:hAnsi="Poppins" w:cs="Poppins"/>
          <w:b/>
          <w:sz w:val="18"/>
          <w:szCs w:val="18"/>
        </w:rPr>
      </w:pPr>
      <w:r w:rsidRPr="00E63B29">
        <w:rPr>
          <w:rFonts w:ascii="Poppins" w:hAnsi="Poppins" w:cs="Poppins"/>
          <w:b/>
          <w:sz w:val="18"/>
          <w:szCs w:val="18"/>
        </w:rPr>
        <w:t xml:space="preserve">El incremento de los inventarios de </w:t>
      </w:r>
      <w:r>
        <w:rPr>
          <w:rFonts w:ascii="Poppins" w:hAnsi="Poppins" w:cs="Poppins"/>
          <w:b/>
          <w:sz w:val="18"/>
          <w:szCs w:val="18"/>
        </w:rPr>
        <w:t>crudo y destilado medio</w:t>
      </w:r>
      <w:r w:rsidRPr="00E63B29">
        <w:rPr>
          <w:rFonts w:ascii="Poppins" w:hAnsi="Poppins" w:cs="Poppins"/>
          <w:b/>
          <w:sz w:val="18"/>
          <w:szCs w:val="18"/>
        </w:rPr>
        <w:t xml:space="preserve">, así como el descenso de las existencias de </w:t>
      </w:r>
      <w:r>
        <w:rPr>
          <w:rFonts w:ascii="Poppins" w:hAnsi="Poppins" w:cs="Poppins"/>
          <w:b/>
          <w:sz w:val="18"/>
          <w:szCs w:val="18"/>
        </w:rPr>
        <w:t>gasolinas</w:t>
      </w:r>
      <w:r w:rsidRPr="00E63B29">
        <w:rPr>
          <w:rFonts w:ascii="Poppins" w:hAnsi="Poppins" w:cs="Poppins"/>
          <w:b/>
          <w:sz w:val="18"/>
          <w:szCs w:val="18"/>
        </w:rPr>
        <w:t xml:space="preserve"> y propano, al </w:t>
      </w:r>
      <w:r>
        <w:rPr>
          <w:rFonts w:ascii="Poppins" w:hAnsi="Poppins" w:cs="Poppins"/>
          <w:b/>
          <w:sz w:val="18"/>
          <w:szCs w:val="18"/>
        </w:rPr>
        <w:t>20</w:t>
      </w:r>
      <w:r w:rsidRPr="00E63B29">
        <w:rPr>
          <w:rFonts w:ascii="Poppins" w:hAnsi="Poppins" w:cs="Poppins"/>
          <w:b/>
          <w:sz w:val="18"/>
          <w:szCs w:val="18"/>
        </w:rPr>
        <w:t xml:space="preserve"> de </w:t>
      </w:r>
      <w:r>
        <w:rPr>
          <w:rFonts w:ascii="Poppins" w:hAnsi="Poppins" w:cs="Poppins"/>
          <w:b/>
          <w:sz w:val="18"/>
          <w:szCs w:val="18"/>
        </w:rPr>
        <w:t>febre</w:t>
      </w:r>
      <w:r w:rsidRPr="00E63B29">
        <w:rPr>
          <w:rFonts w:ascii="Poppins" w:hAnsi="Poppins" w:cs="Poppins"/>
          <w:b/>
          <w:sz w:val="18"/>
          <w:szCs w:val="18"/>
        </w:rPr>
        <w:t>ro del 2026</w:t>
      </w:r>
    </w:p>
    <w:p w14:paraId="6AA143D3" w14:textId="77777777" w:rsidR="00354C69" w:rsidRPr="00E63B29" w:rsidRDefault="00354C69" w:rsidP="00354C69">
      <w:pPr>
        <w:shd w:val="clear" w:color="auto" w:fill="FFFFFF"/>
        <w:ind w:left="425"/>
        <w:jc w:val="both"/>
        <w:rPr>
          <w:rFonts w:ascii="Poppins" w:hAnsi="Poppins" w:cs="Poppins"/>
          <w:sz w:val="18"/>
          <w:szCs w:val="18"/>
        </w:rPr>
      </w:pPr>
    </w:p>
    <w:p w14:paraId="47B3DA48" w14:textId="77777777" w:rsidR="00354C69" w:rsidRPr="00E63B29" w:rsidRDefault="00354C69" w:rsidP="00354C69">
      <w:pPr>
        <w:shd w:val="clear" w:color="auto" w:fill="FFFFFF"/>
        <w:ind w:left="425"/>
        <w:jc w:val="both"/>
        <w:rPr>
          <w:rFonts w:ascii="Poppins" w:hAnsi="Poppins" w:cs="Poppins"/>
          <w:sz w:val="18"/>
          <w:szCs w:val="18"/>
        </w:rPr>
      </w:pPr>
      <w:r w:rsidRPr="00E63B29">
        <w:rPr>
          <w:rFonts w:ascii="Poppins" w:hAnsi="Poppins" w:cs="Poppins"/>
          <w:sz w:val="18"/>
          <w:szCs w:val="18"/>
        </w:rPr>
        <w:t xml:space="preserve">Los inventarios de petróleo de Estados Unidos se </w:t>
      </w:r>
      <w:r>
        <w:rPr>
          <w:rFonts w:ascii="Poppins" w:hAnsi="Poppins" w:cs="Poppins"/>
          <w:sz w:val="18"/>
          <w:szCs w:val="18"/>
        </w:rPr>
        <w:t>incrementaron</w:t>
      </w:r>
      <w:r w:rsidRPr="00E63B29">
        <w:rPr>
          <w:rFonts w:ascii="Poppins" w:hAnsi="Poppins" w:cs="Poppins"/>
          <w:sz w:val="18"/>
          <w:szCs w:val="18"/>
        </w:rPr>
        <w:t xml:space="preserve"> en</w:t>
      </w:r>
      <w:r>
        <w:rPr>
          <w:rFonts w:ascii="Poppins" w:hAnsi="Poppins" w:cs="Poppins"/>
          <w:sz w:val="18"/>
          <w:szCs w:val="18"/>
        </w:rPr>
        <w:t xml:space="preserve"> 16,0</w:t>
      </w:r>
      <w:r w:rsidRPr="00E63B29">
        <w:rPr>
          <w:rFonts w:ascii="Poppins" w:hAnsi="Poppins" w:cs="Poppins"/>
          <w:sz w:val="18"/>
          <w:szCs w:val="18"/>
        </w:rPr>
        <w:t xml:space="preserve"> millones de barriles alcanzando los 4</w:t>
      </w:r>
      <w:r>
        <w:rPr>
          <w:rFonts w:ascii="Poppins" w:hAnsi="Poppins" w:cs="Poppins"/>
          <w:sz w:val="18"/>
          <w:szCs w:val="18"/>
        </w:rPr>
        <w:t>35</w:t>
      </w:r>
      <w:r w:rsidRPr="00E63B29">
        <w:rPr>
          <w:rFonts w:ascii="Poppins" w:hAnsi="Poppins" w:cs="Poppins"/>
          <w:sz w:val="18"/>
          <w:szCs w:val="18"/>
        </w:rPr>
        <w:t>,</w:t>
      </w:r>
      <w:r>
        <w:rPr>
          <w:rFonts w:ascii="Poppins" w:hAnsi="Poppins" w:cs="Poppins"/>
          <w:sz w:val="18"/>
          <w:szCs w:val="18"/>
        </w:rPr>
        <w:t>8</w:t>
      </w:r>
      <w:r w:rsidRPr="00E63B29">
        <w:rPr>
          <w:rFonts w:ascii="Poppins" w:hAnsi="Poppins" w:cs="Poppins"/>
          <w:sz w:val="18"/>
          <w:szCs w:val="18"/>
        </w:rPr>
        <w:t xml:space="preserve"> millones de barriles, ubicándose en un -</w:t>
      </w:r>
      <w:r>
        <w:rPr>
          <w:rFonts w:ascii="Poppins" w:hAnsi="Poppins" w:cs="Poppins"/>
          <w:sz w:val="18"/>
          <w:szCs w:val="18"/>
        </w:rPr>
        <w:t>3</w:t>
      </w:r>
      <w:r w:rsidRPr="00E63B29">
        <w:rPr>
          <w:rFonts w:ascii="Poppins" w:hAnsi="Poppins" w:cs="Poppins"/>
          <w:sz w:val="18"/>
          <w:szCs w:val="18"/>
        </w:rPr>
        <w:t>% por debajo de la media de los últimos 5 años, para esta época del año</w:t>
      </w:r>
      <w:r>
        <w:rPr>
          <w:rFonts w:ascii="Poppins" w:hAnsi="Poppins" w:cs="Poppins"/>
          <w:sz w:val="18"/>
          <w:szCs w:val="18"/>
        </w:rPr>
        <w:t>.</w:t>
      </w:r>
    </w:p>
    <w:p w14:paraId="59C9D3D2" w14:textId="77777777" w:rsidR="00354C69" w:rsidRPr="00E63B29" w:rsidRDefault="00354C69" w:rsidP="00354C69">
      <w:pPr>
        <w:shd w:val="clear" w:color="auto" w:fill="FFFFFF"/>
        <w:ind w:left="425"/>
        <w:jc w:val="both"/>
        <w:rPr>
          <w:rFonts w:ascii="Poppins" w:hAnsi="Poppins" w:cs="Poppins"/>
          <w:sz w:val="18"/>
          <w:szCs w:val="18"/>
        </w:rPr>
      </w:pPr>
    </w:p>
    <w:p w14:paraId="2ED00D0F" w14:textId="77777777" w:rsidR="00354C69" w:rsidRPr="00E63B29" w:rsidRDefault="00354C69" w:rsidP="00354C69">
      <w:pPr>
        <w:shd w:val="clear" w:color="auto" w:fill="FFFFFF"/>
        <w:ind w:left="425"/>
        <w:jc w:val="both"/>
        <w:rPr>
          <w:rFonts w:ascii="Poppins" w:hAnsi="Poppins" w:cs="Poppins"/>
          <w:sz w:val="18"/>
          <w:szCs w:val="18"/>
        </w:rPr>
      </w:pPr>
      <w:r w:rsidRPr="00E63B29">
        <w:rPr>
          <w:rFonts w:ascii="Poppins" w:hAnsi="Poppins" w:cs="Poppins"/>
          <w:sz w:val="18"/>
          <w:szCs w:val="18"/>
        </w:rPr>
        <w:t xml:space="preserve">Por su parte, las existencias de gasolinas </w:t>
      </w:r>
      <w:r>
        <w:rPr>
          <w:rFonts w:ascii="Poppins" w:hAnsi="Poppins" w:cs="Poppins"/>
          <w:sz w:val="18"/>
          <w:szCs w:val="18"/>
        </w:rPr>
        <w:t>disminuyeron</w:t>
      </w:r>
      <w:r w:rsidRPr="00E63B29">
        <w:rPr>
          <w:rFonts w:ascii="Poppins" w:hAnsi="Poppins" w:cs="Poppins"/>
          <w:sz w:val="18"/>
          <w:szCs w:val="18"/>
        </w:rPr>
        <w:t xml:space="preserve"> en </w:t>
      </w:r>
      <w:r>
        <w:rPr>
          <w:rFonts w:ascii="Poppins" w:hAnsi="Poppins" w:cs="Poppins"/>
          <w:sz w:val="18"/>
          <w:szCs w:val="18"/>
        </w:rPr>
        <w:t>1,0</w:t>
      </w:r>
      <w:r w:rsidRPr="00E63B29">
        <w:rPr>
          <w:rFonts w:ascii="Poppins" w:hAnsi="Poppins" w:cs="Poppins"/>
          <w:sz w:val="18"/>
          <w:szCs w:val="18"/>
        </w:rPr>
        <w:t xml:space="preserve"> millones de barriles, reportando un total de 25</w:t>
      </w:r>
      <w:r>
        <w:rPr>
          <w:rFonts w:ascii="Poppins" w:hAnsi="Poppins" w:cs="Poppins"/>
          <w:sz w:val="18"/>
          <w:szCs w:val="18"/>
        </w:rPr>
        <w:t>4</w:t>
      </w:r>
      <w:r w:rsidRPr="00E63B29">
        <w:rPr>
          <w:rFonts w:ascii="Poppins" w:hAnsi="Poppins" w:cs="Poppins"/>
          <w:sz w:val="18"/>
          <w:szCs w:val="18"/>
        </w:rPr>
        <w:t>,</w:t>
      </w:r>
      <w:r>
        <w:rPr>
          <w:rFonts w:ascii="Poppins" w:hAnsi="Poppins" w:cs="Poppins"/>
          <w:sz w:val="18"/>
          <w:szCs w:val="18"/>
        </w:rPr>
        <w:t>8</w:t>
      </w:r>
      <w:r w:rsidRPr="00E63B29">
        <w:rPr>
          <w:rFonts w:ascii="Poppins" w:hAnsi="Poppins" w:cs="Poppins"/>
          <w:sz w:val="18"/>
          <w:szCs w:val="18"/>
        </w:rPr>
        <w:t xml:space="preserve"> millones de barriles. Asimismo, los inventarios de destilados, que incluyen al diésel y al combustible para calefacción </w:t>
      </w:r>
      <w:r>
        <w:rPr>
          <w:rFonts w:ascii="Poppins" w:hAnsi="Poppins" w:cs="Poppins"/>
          <w:sz w:val="18"/>
          <w:szCs w:val="18"/>
        </w:rPr>
        <w:t>aumentaron</w:t>
      </w:r>
      <w:r w:rsidRPr="00E63B29">
        <w:rPr>
          <w:rFonts w:ascii="Poppins" w:hAnsi="Poppins" w:cs="Poppins"/>
          <w:sz w:val="18"/>
          <w:szCs w:val="18"/>
        </w:rPr>
        <w:t xml:space="preserve"> en</w:t>
      </w:r>
      <w:r>
        <w:rPr>
          <w:rFonts w:ascii="Poppins" w:hAnsi="Poppins" w:cs="Poppins"/>
          <w:sz w:val="18"/>
          <w:szCs w:val="18"/>
        </w:rPr>
        <w:t xml:space="preserve"> 0,3</w:t>
      </w:r>
      <w:r w:rsidRPr="00E63B29">
        <w:rPr>
          <w:rFonts w:ascii="Poppins" w:hAnsi="Poppins" w:cs="Poppins"/>
          <w:sz w:val="18"/>
          <w:szCs w:val="18"/>
        </w:rPr>
        <w:t xml:space="preserve"> millones de barriles, ubicándose en 1</w:t>
      </w:r>
      <w:r>
        <w:rPr>
          <w:rFonts w:ascii="Poppins" w:hAnsi="Poppins" w:cs="Poppins"/>
          <w:sz w:val="18"/>
          <w:szCs w:val="18"/>
        </w:rPr>
        <w:t>20</w:t>
      </w:r>
      <w:r w:rsidRPr="00E63B29">
        <w:rPr>
          <w:rFonts w:ascii="Poppins" w:hAnsi="Poppins" w:cs="Poppins"/>
          <w:sz w:val="18"/>
          <w:szCs w:val="18"/>
        </w:rPr>
        <w:t>,</w:t>
      </w:r>
      <w:r>
        <w:rPr>
          <w:rFonts w:ascii="Poppins" w:hAnsi="Poppins" w:cs="Poppins"/>
          <w:sz w:val="18"/>
          <w:szCs w:val="18"/>
        </w:rPr>
        <w:t>4</w:t>
      </w:r>
      <w:r w:rsidRPr="00E63B29">
        <w:rPr>
          <w:rFonts w:ascii="Poppins" w:hAnsi="Poppins" w:cs="Poppins"/>
          <w:sz w:val="18"/>
          <w:szCs w:val="18"/>
        </w:rPr>
        <w:t xml:space="preserve"> millones de barriles</w:t>
      </w:r>
      <w:r>
        <w:rPr>
          <w:rFonts w:ascii="Poppins" w:hAnsi="Poppins" w:cs="Poppins"/>
          <w:sz w:val="18"/>
          <w:szCs w:val="18"/>
        </w:rPr>
        <w:t>.</w:t>
      </w:r>
    </w:p>
    <w:p w14:paraId="7E91D642" w14:textId="77777777" w:rsidR="00354C69" w:rsidRPr="00E63B29" w:rsidRDefault="00354C69" w:rsidP="00354C69">
      <w:pPr>
        <w:shd w:val="clear" w:color="auto" w:fill="FFFFFF"/>
        <w:ind w:left="425"/>
        <w:jc w:val="both"/>
        <w:rPr>
          <w:rFonts w:ascii="Poppins" w:hAnsi="Poppins" w:cs="Poppins"/>
          <w:sz w:val="18"/>
          <w:szCs w:val="18"/>
        </w:rPr>
      </w:pPr>
    </w:p>
    <w:p w14:paraId="3BD58BB3" w14:textId="0BAD9681" w:rsidR="00354C69" w:rsidRDefault="00354C69" w:rsidP="00354C69">
      <w:pPr>
        <w:shd w:val="clear" w:color="auto" w:fill="FFFFFF"/>
        <w:ind w:left="425"/>
        <w:jc w:val="both"/>
        <w:rPr>
          <w:rFonts w:ascii="Poppins" w:hAnsi="Poppins" w:cs="Poppins"/>
          <w:sz w:val="18"/>
          <w:szCs w:val="18"/>
        </w:rPr>
      </w:pPr>
      <w:r w:rsidRPr="00E63B29">
        <w:rPr>
          <w:rFonts w:ascii="Poppins" w:hAnsi="Poppins" w:cs="Poppins"/>
          <w:sz w:val="18"/>
          <w:szCs w:val="18"/>
        </w:rPr>
        <w:t xml:space="preserve">Finalmente, las existencias de propano </w:t>
      </w:r>
      <w:r>
        <w:rPr>
          <w:rFonts w:ascii="Poppins" w:hAnsi="Poppins" w:cs="Poppins"/>
          <w:sz w:val="18"/>
          <w:szCs w:val="18"/>
        </w:rPr>
        <w:t>se redujeron</w:t>
      </w:r>
      <w:r w:rsidRPr="00E63B29">
        <w:rPr>
          <w:rFonts w:ascii="Poppins" w:hAnsi="Poppins" w:cs="Poppins"/>
          <w:sz w:val="18"/>
          <w:szCs w:val="18"/>
        </w:rPr>
        <w:t xml:space="preserve"> en </w:t>
      </w:r>
      <w:r>
        <w:rPr>
          <w:rFonts w:ascii="Poppins" w:hAnsi="Poppins" w:cs="Poppins"/>
          <w:sz w:val="18"/>
          <w:szCs w:val="18"/>
        </w:rPr>
        <w:t xml:space="preserve">1,65 </w:t>
      </w:r>
      <w:r w:rsidRPr="00E63B29">
        <w:rPr>
          <w:rFonts w:ascii="Poppins" w:hAnsi="Poppins" w:cs="Poppins"/>
          <w:sz w:val="18"/>
          <w:szCs w:val="18"/>
        </w:rPr>
        <w:t xml:space="preserve">millones de barriles, registrando un nivel de </w:t>
      </w:r>
      <w:r>
        <w:rPr>
          <w:rFonts w:ascii="Poppins" w:hAnsi="Poppins" w:cs="Poppins"/>
          <w:sz w:val="18"/>
          <w:szCs w:val="18"/>
        </w:rPr>
        <w:t>72,53</w:t>
      </w:r>
      <w:r w:rsidRPr="00E63B29">
        <w:rPr>
          <w:rFonts w:ascii="Poppins" w:hAnsi="Poppins" w:cs="Poppins"/>
          <w:sz w:val="18"/>
          <w:szCs w:val="18"/>
        </w:rPr>
        <w:t xml:space="preserve"> millones de barriles</w:t>
      </w:r>
      <w:r>
        <w:rPr>
          <w:rFonts w:ascii="Poppins" w:hAnsi="Poppins" w:cs="Poppins"/>
          <w:sz w:val="18"/>
          <w:szCs w:val="18"/>
        </w:rPr>
        <w:t>.</w:t>
      </w:r>
    </w:p>
    <w:p w14:paraId="1D737F13" w14:textId="77777777" w:rsidR="00354C69" w:rsidRDefault="00354C69" w:rsidP="00354C69">
      <w:pPr>
        <w:shd w:val="clear" w:color="auto" w:fill="FFFFFF"/>
        <w:ind w:left="425"/>
        <w:jc w:val="both"/>
        <w:rPr>
          <w:rFonts w:ascii="Poppins" w:hAnsi="Poppins" w:cs="Poppins"/>
          <w:sz w:val="18"/>
          <w:szCs w:val="18"/>
        </w:rPr>
      </w:pPr>
    </w:p>
    <w:p w14:paraId="0A5D3742" w14:textId="77777777" w:rsidR="00354C69" w:rsidRDefault="00354C69" w:rsidP="00354C69">
      <w:pPr>
        <w:shd w:val="clear" w:color="auto" w:fill="FFFFFF"/>
        <w:ind w:left="425"/>
        <w:jc w:val="both"/>
        <w:rPr>
          <w:rFonts w:ascii="Poppins" w:hAnsi="Poppins" w:cs="Poppins"/>
          <w:sz w:val="18"/>
          <w:szCs w:val="18"/>
        </w:rPr>
      </w:pPr>
    </w:p>
    <w:p w14:paraId="351DA1AA" w14:textId="77777777" w:rsidR="00354C69" w:rsidRDefault="00354C69" w:rsidP="00354C69">
      <w:pPr>
        <w:pStyle w:val="Prrafodelista"/>
        <w:numPr>
          <w:ilvl w:val="0"/>
          <w:numId w:val="30"/>
        </w:numPr>
        <w:ind w:left="425"/>
        <w:contextualSpacing/>
        <w:jc w:val="both"/>
        <w:rPr>
          <w:rFonts w:ascii="Poppins" w:hAnsi="Poppins" w:cs="Poppins"/>
          <w:b/>
          <w:sz w:val="18"/>
          <w:szCs w:val="18"/>
        </w:rPr>
      </w:pPr>
      <w:r w:rsidRPr="00FD3B10">
        <w:rPr>
          <w:rFonts w:ascii="Poppins" w:hAnsi="Poppins" w:cs="Poppins"/>
          <w:b/>
          <w:sz w:val="18"/>
          <w:szCs w:val="18"/>
        </w:rPr>
        <w:lastRenderedPageBreak/>
        <w:t xml:space="preserve">EE.UU. e Irán cierran febrero con diálogo estancado y </w:t>
      </w:r>
      <w:r>
        <w:rPr>
          <w:rFonts w:ascii="Poppins" w:hAnsi="Poppins" w:cs="Poppins"/>
          <w:b/>
          <w:sz w:val="18"/>
          <w:szCs w:val="18"/>
        </w:rPr>
        <w:t xml:space="preserve">el estrecho de </w:t>
      </w:r>
      <w:r w:rsidRPr="00FD3B10">
        <w:rPr>
          <w:rFonts w:ascii="Poppins" w:hAnsi="Poppins" w:cs="Poppins"/>
          <w:b/>
          <w:sz w:val="18"/>
          <w:szCs w:val="18"/>
        </w:rPr>
        <w:t xml:space="preserve">Ormuz bajo fricción operativa mientras la escalada militar </w:t>
      </w:r>
      <w:r>
        <w:rPr>
          <w:rFonts w:ascii="Poppins" w:hAnsi="Poppins" w:cs="Poppins"/>
          <w:b/>
          <w:sz w:val="18"/>
          <w:szCs w:val="18"/>
        </w:rPr>
        <w:t xml:space="preserve">eleva el riesgo logístico </w:t>
      </w:r>
    </w:p>
    <w:p w14:paraId="4CCFC38F" w14:textId="77777777" w:rsidR="00354C69" w:rsidRPr="00FD3B10" w:rsidRDefault="00354C69" w:rsidP="00354C69">
      <w:pPr>
        <w:pStyle w:val="Prrafodelista"/>
        <w:ind w:left="425"/>
        <w:jc w:val="both"/>
        <w:rPr>
          <w:rFonts w:ascii="Poppins" w:hAnsi="Poppins" w:cs="Poppins"/>
          <w:b/>
          <w:sz w:val="18"/>
          <w:szCs w:val="18"/>
        </w:rPr>
      </w:pPr>
    </w:p>
    <w:p w14:paraId="598E25C1" w14:textId="77777777" w:rsidR="00354C69" w:rsidRDefault="00354C69" w:rsidP="00354C69">
      <w:pPr>
        <w:shd w:val="clear" w:color="auto" w:fill="FFFFFF"/>
        <w:ind w:left="425"/>
        <w:jc w:val="both"/>
        <w:rPr>
          <w:rFonts w:ascii="Poppins" w:hAnsi="Poppins" w:cs="Poppins"/>
          <w:sz w:val="18"/>
          <w:szCs w:val="18"/>
        </w:rPr>
      </w:pPr>
      <w:r w:rsidRPr="00902BD4">
        <w:rPr>
          <w:rFonts w:ascii="Poppins" w:hAnsi="Poppins" w:cs="Poppins"/>
          <w:sz w:val="18"/>
          <w:szCs w:val="18"/>
        </w:rPr>
        <w:t>Durante febrero, el mercado osciló entre avances limitados en las conversaciones nucleares y señales crecientes de coerción en el Golfo Pérsico</w:t>
      </w:r>
      <w:r w:rsidRPr="00FD3B10">
        <w:rPr>
          <w:rFonts w:ascii="Poppins" w:hAnsi="Poppins" w:cs="Poppins"/>
          <w:sz w:val="18"/>
          <w:szCs w:val="18"/>
        </w:rPr>
        <w:t xml:space="preserve">. Las conversaciones indirectas siguieron abiertas y se reactivaron en Ginebra el 26 y 27 de febrero, pero sin un acuerdo que despejara la incertidumbre. En paralelo, el 9 de febrero la Administración Marítima de EE.UU. emitió una guía para que buques con bandera estadounidense transiten </w:t>
      </w:r>
      <w:r w:rsidRPr="00902BD4">
        <w:rPr>
          <w:rFonts w:ascii="Poppins" w:hAnsi="Poppins" w:cs="Poppins"/>
          <w:i/>
          <w:iCs/>
          <w:sz w:val="18"/>
          <w:szCs w:val="18"/>
        </w:rPr>
        <w:t>“</w:t>
      </w:r>
      <w:r w:rsidRPr="00FD3B10">
        <w:rPr>
          <w:rFonts w:ascii="Poppins" w:hAnsi="Poppins" w:cs="Poppins"/>
          <w:i/>
          <w:iCs/>
          <w:sz w:val="18"/>
          <w:szCs w:val="18"/>
        </w:rPr>
        <w:t>lo más lejos posible</w:t>
      </w:r>
      <w:r w:rsidRPr="00902BD4">
        <w:rPr>
          <w:rFonts w:ascii="Poppins" w:hAnsi="Poppins" w:cs="Poppins"/>
          <w:i/>
          <w:iCs/>
          <w:sz w:val="18"/>
          <w:szCs w:val="18"/>
        </w:rPr>
        <w:t>”</w:t>
      </w:r>
      <w:r w:rsidRPr="00FD3B10">
        <w:rPr>
          <w:rFonts w:ascii="Poppins" w:hAnsi="Poppins" w:cs="Poppins"/>
          <w:sz w:val="18"/>
          <w:szCs w:val="18"/>
        </w:rPr>
        <w:t xml:space="preserve"> de aguas iraníes y coordinen con el mando naval en la zona, reforzando la cautela operativa aun con el canal diplomático activo.</w:t>
      </w:r>
    </w:p>
    <w:p w14:paraId="3D4B5107" w14:textId="77777777" w:rsidR="00354C69" w:rsidRPr="00FD3B10" w:rsidRDefault="00354C69" w:rsidP="00354C69">
      <w:pPr>
        <w:shd w:val="clear" w:color="auto" w:fill="FFFFFF"/>
        <w:ind w:left="425"/>
        <w:jc w:val="both"/>
        <w:rPr>
          <w:rFonts w:ascii="Poppins" w:hAnsi="Poppins" w:cs="Poppins"/>
          <w:sz w:val="18"/>
          <w:szCs w:val="18"/>
        </w:rPr>
      </w:pPr>
      <w:r w:rsidRPr="00FD3B10">
        <w:rPr>
          <w:rFonts w:ascii="Poppins" w:hAnsi="Poppins" w:cs="Poppins"/>
          <w:sz w:val="18"/>
          <w:szCs w:val="18"/>
        </w:rPr>
        <w:t xml:space="preserve"> </w:t>
      </w:r>
    </w:p>
    <w:p w14:paraId="0D70534F" w14:textId="72DEB5D2" w:rsidR="00354C69" w:rsidRDefault="00354C69" w:rsidP="00354C69">
      <w:pPr>
        <w:shd w:val="clear" w:color="auto" w:fill="FFFFFF"/>
        <w:ind w:left="425"/>
        <w:jc w:val="both"/>
        <w:rPr>
          <w:rFonts w:ascii="Poppins" w:hAnsi="Poppins" w:cs="Poppins"/>
          <w:sz w:val="18"/>
          <w:szCs w:val="18"/>
        </w:rPr>
      </w:pPr>
      <w:r w:rsidRPr="00FD3B10">
        <w:rPr>
          <w:rFonts w:ascii="Poppins" w:hAnsi="Poppins" w:cs="Poppins"/>
          <w:sz w:val="18"/>
          <w:szCs w:val="18"/>
        </w:rPr>
        <w:t>La tensión se reflejó también en el propio estrecho. El 17 de febrero, Irán anunció el cierre temporal por algunas horas de zonas de Ormuz durante ejercicios de la Guardia Revolucionaria, sin que se materializara un cierre sostenido del tránsito. El riesgo es estructural porque por ese corredor fluyen volúmenes clave del sistema energético mundial y cualquier restricción parcial tiende a trasladarse rápidamente a la prima de riesgo del crudo.</w:t>
      </w:r>
    </w:p>
    <w:p w14:paraId="64F222C9" w14:textId="77777777" w:rsidR="00354C69" w:rsidRDefault="00354C69" w:rsidP="00354C69">
      <w:pPr>
        <w:shd w:val="clear" w:color="auto" w:fill="FFFFFF"/>
        <w:ind w:left="425"/>
        <w:jc w:val="both"/>
        <w:rPr>
          <w:rFonts w:ascii="Poppins" w:hAnsi="Poppins" w:cs="Poppins"/>
          <w:sz w:val="18"/>
          <w:szCs w:val="18"/>
        </w:rPr>
      </w:pPr>
    </w:p>
    <w:p w14:paraId="2938C868" w14:textId="77777777" w:rsidR="00354C69" w:rsidRDefault="00354C69" w:rsidP="00354C69">
      <w:pPr>
        <w:shd w:val="clear" w:color="auto" w:fill="FFFFFF"/>
        <w:ind w:left="425"/>
        <w:jc w:val="both"/>
        <w:rPr>
          <w:rFonts w:ascii="Poppins" w:hAnsi="Poppins" w:cs="Poppins"/>
          <w:sz w:val="18"/>
          <w:szCs w:val="18"/>
        </w:rPr>
      </w:pPr>
      <w:r w:rsidRPr="00FD3B10">
        <w:rPr>
          <w:rFonts w:ascii="Poppins" w:hAnsi="Poppins" w:cs="Poppins"/>
          <w:sz w:val="18"/>
          <w:szCs w:val="18"/>
        </w:rPr>
        <w:t xml:space="preserve">Como variable de monitoreo para la paridad de la semana siguiente, </w:t>
      </w:r>
      <w:r w:rsidRPr="0045280E">
        <w:rPr>
          <w:rFonts w:ascii="Poppins" w:hAnsi="Poppins" w:cs="Poppins"/>
          <w:sz w:val="18"/>
          <w:szCs w:val="18"/>
        </w:rPr>
        <w:t>el 28 de febrero de 2026 EE.UU. e Israel lanzaron una ofensiva aérea contra Irán que Reuters describió como la más ambiciosa en décadas, dirigida a infraestructura militar y nuclear y a la cúpula de seguridad</w:t>
      </w:r>
      <w:r>
        <w:rPr>
          <w:rFonts w:ascii="Poppins" w:hAnsi="Poppins" w:cs="Poppins"/>
          <w:sz w:val="18"/>
          <w:szCs w:val="18"/>
        </w:rPr>
        <w:t xml:space="preserve"> iraní</w:t>
      </w:r>
      <w:r w:rsidRPr="0045280E">
        <w:rPr>
          <w:rFonts w:ascii="Poppins" w:hAnsi="Poppins" w:cs="Poppins"/>
          <w:sz w:val="18"/>
          <w:szCs w:val="18"/>
        </w:rPr>
        <w:t>. Ese mismo día,</w:t>
      </w:r>
      <w:r>
        <w:rPr>
          <w:rFonts w:ascii="Poppins" w:hAnsi="Poppins" w:cs="Poppins"/>
          <w:sz w:val="18"/>
          <w:szCs w:val="18"/>
        </w:rPr>
        <w:t xml:space="preserve"> agencias de noticias </w:t>
      </w:r>
      <w:r w:rsidRPr="0045280E">
        <w:rPr>
          <w:rFonts w:ascii="Poppins" w:hAnsi="Poppins" w:cs="Poppins"/>
          <w:sz w:val="18"/>
          <w:szCs w:val="18"/>
        </w:rPr>
        <w:t>report</w:t>
      </w:r>
      <w:r>
        <w:rPr>
          <w:rFonts w:ascii="Poppins" w:hAnsi="Poppins" w:cs="Poppins"/>
          <w:sz w:val="18"/>
          <w:szCs w:val="18"/>
        </w:rPr>
        <w:t>aron</w:t>
      </w:r>
      <w:r w:rsidRPr="0045280E">
        <w:rPr>
          <w:rFonts w:ascii="Poppins" w:hAnsi="Poppins" w:cs="Poppins"/>
          <w:sz w:val="18"/>
          <w:szCs w:val="18"/>
        </w:rPr>
        <w:t xml:space="preserve"> que empresas petroleras y </w:t>
      </w:r>
      <w:r w:rsidRPr="0045280E">
        <w:rPr>
          <w:rFonts w:ascii="Poppins" w:hAnsi="Poppins" w:cs="Poppins"/>
          <w:i/>
          <w:iCs/>
          <w:sz w:val="18"/>
          <w:szCs w:val="18"/>
        </w:rPr>
        <w:t>traders</w:t>
      </w:r>
      <w:r w:rsidRPr="0045280E">
        <w:rPr>
          <w:rFonts w:ascii="Poppins" w:hAnsi="Poppins" w:cs="Poppins"/>
          <w:sz w:val="18"/>
          <w:szCs w:val="18"/>
        </w:rPr>
        <w:t xml:space="preserve"> suspendieron embarques de crudo, combustibles y GNL a través del estrecho de Ormuz por la combinación de riesgo de represalias, seguridad de navegación y disponibilidad de seguros, con buques quedando a la espera y cargas reprogramadas.</w:t>
      </w:r>
    </w:p>
    <w:p w14:paraId="026CF4EF" w14:textId="77777777" w:rsidR="00354C69" w:rsidRPr="0045280E" w:rsidRDefault="00354C69" w:rsidP="00354C69">
      <w:pPr>
        <w:shd w:val="clear" w:color="auto" w:fill="FFFFFF"/>
        <w:ind w:left="425"/>
        <w:jc w:val="both"/>
        <w:rPr>
          <w:rFonts w:ascii="Poppins" w:hAnsi="Poppins" w:cs="Poppins"/>
          <w:sz w:val="18"/>
          <w:szCs w:val="18"/>
        </w:rPr>
      </w:pPr>
    </w:p>
    <w:p w14:paraId="28FD1C50" w14:textId="77777777" w:rsidR="00354C69" w:rsidRDefault="00354C69" w:rsidP="00354C69">
      <w:pPr>
        <w:shd w:val="clear" w:color="auto" w:fill="FFFFFF"/>
        <w:ind w:left="425"/>
        <w:jc w:val="both"/>
        <w:rPr>
          <w:rFonts w:ascii="Poppins" w:hAnsi="Poppins" w:cs="Poppins"/>
          <w:sz w:val="18"/>
          <w:szCs w:val="18"/>
        </w:rPr>
      </w:pPr>
      <w:r w:rsidRPr="0045280E">
        <w:rPr>
          <w:rFonts w:ascii="Poppins" w:hAnsi="Poppins" w:cs="Poppins"/>
          <w:sz w:val="18"/>
          <w:szCs w:val="18"/>
        </w:rPr>
        <w:t xml:space="preserve">El 1 de marzo de 2026 la represalia iraní se amplió y se sintió en múltiples frentes. </w:t>
      </w:r>
      <w:r>
        <w:rPr>
          <w:rFonts w:ascii="Poppins" w:hAnsi="Poppins" w:cs="Poppins"/>
          <w:sz w:val="18"/>
          <w:szCs w:val="18"/>
        </w:rPr>
        <w:t>Se informó q</w:t>
      </w:r>
      <w:r w:rsidRPr="0045280E">
        <w:rPr>
          <w:rFonts w:ascii="Poppins" w:hAnsi="Poppins" w:cs="Poppins"/>
          <w:sz w:val="18"/>
          <w:szCs w:val="18"/>
        </w:rPr>
        <w:t xml:space="preserve">ue los ataques de respuesta se extendieron más allá de Israel e impactaron también en Estados del Golfo que alojan bases e infraestructura estratégica, con explosiones reportadas en Dubái y Doha y daños en áreas sensibles, lo que elevó la percepción de riesgo sobre </w:t>
      </w:r>
      <w:r w:rsidRPr="0045280E">
        <w:rPr>
          <w:rFonts w:ascii="Poppins" w:hAnsi="Poppins" w:cs="Poppins"/>
          <w:i/>
          <w:iCs/>
          <w:sz w:val="18"/>
          <w:szCs w:val="18"/>
        </w:rPr>
        <w:t xml:space="preserve">hubs </w:t>
      </w:r>
      <w:r w:rsidRPr="0045280E">
        <w:rPr>
          <w:rFonts w:ascii="Poppins" w:hAnsi="Poppins" w:cs="Poppins"/>
          <w:sz w:val="18"/>
          <w:szCs w:val="18"/>
        </w:rPr>
        <w:t>comerciales, aviación y rutas marítimas. En términos operativos, este segundo día consolidó el cambio de foco del mercado desde la oferta nominal hacia la continuidad del tránsito, el aseguramiento y la logística regional.</w:t>
      </w:r>
    </w:p>
    <w:p w14:paraId="1133F858" w14:textId="77777777" w:rsidR="00354C69" w:rsidRDefault="00354C69" w:rsidP="00354C69">
      <w:pPr>
        <w:shd w:val="clear" w:color="auto" w:fill="FFFFFF"/>
        <w:ind w:left="425"/>
        <w:jc w:val="both"/>
        <w:rPr>
          <w:rFonts w:ascii="Poppins" w:hAnsi="Poppins" w:cs="Poppins"/>
          <w:sz w:val="18"/>
          <w:szCs w:val="18"/>
        </w:rPr>
      </w:pPr>
    </w:p>
    <w:p w14:paraId="11CAF2D5" w14:textId="77777777" w:rsidR="00354C69" w:rsidRPr="00926D11" w:rsidRDefault="00354C69" w:rsidP="00354C69">
      <w:pPr>
        <w:pStyle w:val="Prrafodelista"/>
        <w:numPr>
          <w:ilvl w:val="0"/>
          <w:numId w:val="30"/>
        </w:numPr>
        <w:ind w:left="425"/>
        <w:contextualSpacing/>
        <w:jc w:val="both"/>
        <w:rPr>
          <w:rFonts w:ascii="Poppins" w:hAnsi="Poppins" w:cs="Poppins"/>
          <w:b/>
          <w:sz w:val="18"/>
          <w:szCs w:val="18"/>
        </w:rPr>
      </w:pPr>
      <w:r w:rsidRPr="00926D11">
        <w:rPr>
          <w:rFonts w:ascii="Poppins" w:hAnsi="Poppins" w:cs="Poppins"/>
          <w:b/>
          <w:sz w:val="18"/>
          <w:szCs w:val="18"/>
        </w:rPr>
        <w:t xml:space="preserve">Fletes </w:t>
      </w:r>
      <w:r>
        <w:rPr>
          <w:rFonts w:ascii="Poppins" w:hAnsi="Poppins" w:cs="Poppins"/>
          <w:b/>
          <w:sz w:val="18"/>
          <w:szCs w:val="18"/>
        </w:rPr>
        <w:t xml:space="preserve">de </w:t>
      </w:r>
      <w:r w:rsidRPr="00926D11">
        <w:rPr>
          <w:rFonts w:ascii="Poppins" w:hAnsi="Poppins" w:cs="Poppins"/>
          <w:b/>
          <w:i/>
          <w:iCs/>
          <w:sz w:val="18"/>
          <w:szCs w:val="18"/>
        </w:rPr>
        <w:t>“superpetroleros”</w:t>
      </w:r>
      <w:r w:rsidRPr="00926D11">
        <w:rPr>
          <w:rFonts w:ascii="Poppins" w:hAnsi="Poppins" w:cs="Poppins"/>
          <w:b/>
          <w:sz w:val="18"/>
          <w:szCs w:val="18"/>
        </w:rPr>
        <w:t xml:space="preserve"> a Asia </w:t>
      </w:r>
      <w:r>
        <w:rPr>
          <w:rFonts w:ascii="Poppins" w:hAnsi="Poppins" w:cs="Poppins"/>
          <w:b/>
          <w:sz w:val="18"/>
          <w:szCs w:val="18"/>
        </w:rPr>
        <w:t>se encarecen</w:t>
      </w:r>
      <w:r w:rsidRPr="00926D11">
        <w:rPr>
          <w:rFonts w:ascii="Poppins" w:hAnsi="Poppins" w:cs="Poppins"/>
          <w:b/>
          <w:sz w:val="18"/>
          <w:szCs w:val="18"/>
        </w:rPr>
        <w:t xml:space="preserve"> a máximos desde 2020 y elevan el costo puesto de crudo y combustibles</w:t>
      </w:r>
    </w:p>
    <w:p w14:paraId="31D284F6" w14:textId="77777777" w:rsidR="00354C69" w:rsidRPr="00926D11" w:rsidRDefault="00354C69" w:rsidP="00354C69">
      <w:pPr>
        <w:shd w:val="clear" w:color="auto" w:fill="FFFFFF"/>
        <w:ind w:left="425"/>
        <w:jc w:val="both"/>
        <w:rPr>
          <w:rFonts w:ascii="Poppins" w:hAnsi="Poppins" w:cs="Poppins"/>
          <w:sz w:val="18"/>
          <w:szCs w:val="18"/>
        </w:rPr>
      </w:pPr>
    </w:p>
    <w:p w14:paraId="744391F4" w14:textId="77777777" w:rsidR="00354C69" w:rsidRPr="00926D11" w:rsidRDefault="00354C69" w:rsidP="00354C69">
      <w:pPr>
        <w:shd w:val="clear" w:color="auto" w:fill="FFFFFF"/>
        <w:ind w:left="425"/>
        <w:jc w:val="both"/>
        <w:rPr>
          <w:rFonts w:ascii="Poppins" w:hAnsi="Poppins" w:cs="Poppins"/>
          <w:sz w:val="18"/>
          <w:szCs w:val="18"/>
        </w:rPr>
      </w:pPr>
      <w:r w:rsidRPr="00926D11">
        <w:rPr>
          <w:rFonts w:ascii="Poppins" w:hAnsi="Poppins" w:cs="Poppins"/>
          <w:sz w:val="18"/>
          <w:szCs w:val="18"/>
        </w:rPr>
        <w:t xml:space="preserve">Entre el 20 y el 27 de febrero, el mercado de fletes de </w:t>
      </w:r>
      <w:r>
        <w:rPr>
          <w:rFonts w:ascii="Poppins" w:hAnsi="Poppins" w:cs="Poppins"/>
          <w:sz w:val="18"/>
          <w:szCs w:val="18"/>
        </w:rPr>
        <w:t>superpetroleros (</w:t>
      </w:r>
      <w:r w:rsidRPr="00926D11">
        <w:rPr>
          <w:rFonts w:ascii="Poppins" w:hAnsi="Poppins" w:cs="Poppins"/>
          <w:sz w:val="18"/>
          <w:szCs w:val="18"/>
        </w:rPr>
        <w:t>buque</w:t>
      </w:r>
      <w:r>
        <w:rPr>
          <w:rFonts w:ascii="Poppins" w:hAnsi="Poppins" w:cs="Poppins"/>
          <w:sz w:val="18"/>
          <w:szCs w:val="18"/>
        </w:rPr>
        <w:t>s</w:t>
      </w:r>
      <w:r w:rsidRPr="00926D11">
        <w:rPr>
          <w:rFonts w:ascii="Poppins" w:hAnsi="Poppins" w:cs="Poppins"/>
          <w:sz w:val="18"/>
          <w:szCs w:val="18"/>
        </w:rPr>
        <w:t xml:space="preserve"> tanque diseñado</w:t>
      </w:r>
      <w:r>
        <w:rPr>
          <w:rFonts w:ascii="Poppins" w:hAnsi="Poppins" w:cs="Poppins"/>
          <w:sz w:val="18"/>
          <w:szCs w:val="18"/>
        </w:rPr>
        <w:t>s</w:t>
      </w:r>
      <w:r w:rsidRPr="00926D11">
        <w:rPr>
          <w:rFonts w:ascii="Poppins" w:hAnsi="Poppins" w:cs="Poppins"/>
          <w:sz w:val="18"/>
          <w:szCs w:val="18"/>
        </w:rPr>
        <w:t xml:space="preserve"> para transportar crudo en enormes volúmenes, normalmente en rutas largas</w:t>
      </w:r>
      <w:r>
        <w:rPr>
          <w:rFonts w:ascii="Poppins" w:hAnsi="Poppins" w:cs="Poppins"/>
          <w:sz w:val="18"/>
          <w:szCs w:val="18"/>
        </w:rPr>
        <w:t>)</w:t>
      </w:r>
      <w:r w:rsidRPr="00926D11">
        <w:rPr>
          <w:rFonts w:ascii="Poppins" w:hAnsi="Poppins" w:cs="Poppins"/>
          <w:sz w:val="18"/>
          <w:szCs w:val="18"/>
        </w:rPr>
        <w:t xml:space="preserve"> se tensionó con rapidez. Reuters reportó que el 26 de febrero la ruta clave desde el Golfo Pérsico hacia China alcanzó un equivalente de unos </w:t>
      </w:r>
      <w:r>
        <w:rPr>
          <w:rFonts w:ascii="Poppins" w:hAnsi="Poppins" w:cs="Poppins"/>
          <w:sz w:val="18"/>
          <w:szCs w:val="18"/>
        </w:rPr>
        <w:t xml:space="preserve">US$ </w:t>
      </w:r>
      <w:r w:rsidRPr="00926D11">
        <w:rPr>
          <w:rFonts w:ascii="Poppins" w:hAnsi="Poppins" w:cs="Poppins"/>
          <w:sz w:val="18"/>
          <w:szCs w:val="18"/>
        </w:rPr>
        <w:t>206</w:t>
      </w:r>
      <w:r>
        <w:rPr>
          <w:rFonts w:ascii="Poppins" w:hAnsi="Poppins" w:cs="Poppins"/>
          <w:sz w:val="18"/>
          <w:szCs w:val="18"/>
        </w:rPr>
        <w:t xml:space="preserve"> </w:t>
      </w:r>
      <w:r w:rsidRPr="00926D11">
        <w:rPr>
          <w:rFonts w:ascii="Poppins" w:hAnsi="Poppins" w:cs="Poppins"/>
          <w:sz w:val="18"/>
          <w:szCs w:val="18"/>
        </w:rPr>
        <w:t>141 por día, el nivel más alto desde abril de 2020, en un contexto de mayor tensión geopolítica y contratación anticipada de buques.</w:t>
      </w:r>
    </w:p>
    <w:p w14:paraId="5F432D82" w14:textId="77777777" w:rsidR="00354C69" w:rsidRPr="00926D11" w:rsidRDefault="00354C69" w:rsidP="00354C69">
      <w:pPr>
        <w:shd w:val="clear" w:color="auto" w:fill="FFFFFF"/>
        <w:ind w:left="425"/>
        <w:jc w:val="both"/>
        <w:rPr>
          <w:rFonts w:ascii="Poppins" w:hAnsi="Poppins" w:cs="Poppins"/>
          <w:sz w:val="18"/>
          <w:szCs w:val="18"/>
        </w:rPr>
      </w:pPr>
    </w:p>
    <w:p w14:paraId="2F35B569" w14:textId="77777777" w:rsidR="00354C69" w:rsidRDefault="00354C69" w:rsidP="00354C69">
      <w:pPr>
        <w:shd w:val="clear" w:color="auto" w:fill="FFFFFF"/>
        <w:ind w:left="425"/>
        <w:jc w:val="both"/>
        <w:rPr>
          <w:rFonts w:ascii="Poppins" w:hAnsi="Poppins" w:cs="Poppins"/>
          <w:sz w:val="18"/>
          <w:szCs w:val="18"/>
        </w:rPr>
      </w:pPr>
      <w:r w:rsidRPr="00926D11">
        <w:rPr>
          <w:rFonts w:ascii="Poppins" w:hAnsi="Poppins" w:cs="Poppins"/>
          <w:sz w:val="18"/>
          <w:szCs w:val="18"/>
        </w:rPr>
        <w:t xml:space="preserve">El salto se venía gestando desde el 24 de febrero, cuando </w:t>
      </w:r>
      <w:r>
        <w:rPr>
          <w:rFonts w:ascii="Poppins" w:hAnsi="Poppins" w:cs="Poppins"/>
          <w:sz w:val="18"/>
          <w:szCs w:val="18"/>
        </w:rPr>
        <w:t xml:space="preserve">la propia </w:t>
      </w:r>
      <w:r w:rsidRPr="00926D11">
        <w:rPr>
          <w:rFonts w:ascii="Poppins" w:hAnsi="Poppins" w:cs="Poppins"/>
          <w:sz w:val="18"/>
          <w:szCs w:val="18"/>
        </w:rPr>
        <w:t xml:space="preserve">Reuters indicó que las exportaciones de crudo desde Medio Oriente superaron 19 millones de barriles diarios, máximo desde abril de 2020, y empujaron las tasas spot por encima de </w:t>
      </w:r>
      <w:r>
        <w:rPr>
          <w:rFonts w:ascii="Poppins" w:hAnsi="Poppins" w:cs="Poppins"/>
          <w:sz w:val="18"/>
          <w:szCs w:val="18"/>
        </w:rPr>
        <w:t xml:space="preserve">US$ </w:t>
      </w:r>
      <w:r w:rsidRPr="00926D11">
        <w:rPr>
          <w:rFonts w:ascii="Poppins" w:hAnsi="Poppins" w:cs="Poppins"/>
          <w:sz w:val="18"/>
          <w:szCs w:val="18"/>
        </w:rPr>
        <w:t>170</w:t>
      </w:r>
      <w:r>
        <w:rPr>
          <w:rFonts w:ascii="Poppins" w:hAnsi="Poppins" w:cs="Poppins"/>
          <w:sz w:val="18"/>
          <w:szCs w:val="18"/>
        </w:rPr>
        <w:t xml:space="preserve"> </w:t>
      </w:r>
      <w:r w:rsidRPr="00926D11">
        <w:rPr>
          <w:rFonts w:ascii="Poppins" w:hAnsi="Poppins" w:cs="Poppins"/>
          <w:sz w:val="18"/>
          <w:szCs w:val="18"/>
        </w:rPr>
        <w:t xml:space="preserve">000 por día hacia China al estrecharse la disponibilidad de </w:t>
      </w:r>
      <w:r>
        <w:rPr>
          <w:rFonts w:ascii="Poppins" w:hAnsi="Poppins" w:cs="Poppins"/>
          <w:sz w:val="18"/>
          <w:szCs w:val="18"/>
        </w:rPr>
        <w:t>buques</w:t>
      </w:r>
      <w:r w:rsidRPr="00926D11">
        <w:rPr>
          <w:rFonts w:ascii="Poppins" w:hAnsi="Poppins" w:cs="Poppins"/>
          <w:sz w:val="18"/>
          <w:szCs w:val="18"/>
        </w:rPr>
        <w:t xml:space="preserve">. Con la escalada posterior, aseguradores clave anunciaron la cancelación de coberturas de riesgo de guerra para </w:t>
      </w:r>
      <w:r w:rsidRPr="00926D11">
        <w:rPr>
          <w:rFonts w:ascii="Poppins" w:hAnsi="Poppins" w:cs="Poppins"/>
          <w:sz w:val="18"/>
          <w:szCs w:val="18"/>
        </w:rPr>
        <w:lastRenderedPageBreak/>
        <w:t xml:space="preserve">aguas iraníes y el Golfo con efecto desde el 5 de marzo, </w:t>
      </w:r>
      <w:r w:rsidRPr="00C47171">
        <w:rPr>
          <w:rFonts w:ascii="Poppins" w:hAnsi="Poppins" w:cs="Poppins"/>
          <w:sz w:val="18"/>
          <w:szCs w:val="18"/>
        </w:rPr>
        <w:t>lo que eleva el costo total de transporte y termina</w:t>
      </w:r>
      <w:r>
        <w:rPr>
          <w:rFonts w:ascii="Poppins" w:hAnsi="Poppins" w:cs="Poppins"/>
          <w:sz w:val="18"/>
          <w:szCs w:val="18"/>
        </w:rPr>
        <w:t>rá</w:t>
      </w:r>
      <w:r w:rsidRPr="00C47171">
        <w:rPr>
          <w:rFonts w:ascii="Poppins" w:hAnsi="Poppins" w:cs="Poppins"/>
          <w:sz w:val="18"/>
          <w:szCs w:val="18"/>
        </w:rPr>
        <w:t xml:space="preserve"> reflejándose en el precio final de los combustibles importados</w:t>
      </w:r>
      <w:r>
        <w:rPr>
          <w:rFonts w:ascii="Poppins" w:hAnsi="Poppins" w:cs="Poppins"/>
          <w:sz w:val="18"/>
          <w:szCs w:val="18"/>
        </w:rPr>
        <w:t xml:space="preserve"> </w:t>
      </w:r>
      <w:r w:rsidRPr="00926D11">
        <w:rPr>
          <w:rFonts w:ascii="Poppins" w:hAnsi="Poppins" w:cs="Poppins"/>
          <w:sz w:val="18"/>
          <w:szCs w:val="18"/>
        </w:rPr>
        <w:t>en Asia.</w:t>
      </w:r>
    </w:p>
    <w:p w14:paraId="3A7D472D" w14:textId="77777777" w:rsidR="00354C69" w:rsidRDefault="00354C69" w:rsidP="00354C69">
      <w:pPr>
        <w:shd w:val="clear" w:color="auto" w:fill="FFFFFF"/>
        <w:ind w:left="425"/>
        <w:jc w:val="both"/>
        <w:rPr>
          <w:rFonts w:ascii="Poppins" w:hAnsi="Poppins" w:cs="Poppins"/>
          <w:sz w:val="18"/>
          <w:szCs w:val="18"/>
        </w:rPr>
      </w:pPr>
    </w:p>
    <w:p w14:paraId="73204E81" w14:textId="77777777" w:rsidR="00354C69" w:rsidRPr="007642B6" w:rsidRDefault="00354C69" w:rsidP="00354C69">
      <w:pPr>
        <w:pStyle w:val="Prrafodelista"/>
        <w:numPr>
          <w:ilvl w:val="0"/>
          <w:numId w:val="30"/>
        </w:numPr>
        <w:ind w:left="425"/>
        <w:contextualSpacing/>
        <w:jc w:val="both"/>
        <w:rPr>
          <w:rFonts w:ascii="Poppins" w:hAnsi="Poppins" w:cs="Poppins"/>
          <w:b/>
          <w:sz w:val="18"/>
          <w:szCs w:val="18"/>
        </w:rPr>
      </w:pPr>
      <w:r w:rsidRPr="007642B6">
        <w:rPr>
          <w:rFonts w:ascii="Poppins" w:hAnsi="Poppins" w:cs="Poppins"/>
          <w:b/>
          <w:sz w:val="18"/>
          <w:szCs w:val="18"/>
        </w:rPr>
        <w:t>EE.UU. refuerza el control sobre exportaciones venezolanas mientras licencias y reformas sectoriales apuntan a elevar su producción a 1,1 millones de barriles por día en 2026</w:t>
      </w:r>
    </w:p>
    <w:p w14:paraId="39709DCE" w14:textId="77777777" w:rsidR="00354C69" w:rsidRPr="007642B6" w:rsidRDefault="00354C69" w:rsidP="00354C69">
      <w:pPr>
        <w:shd w:val="clear" w:color="auto" w:fill="FFFFFF"/>
        <w:ind w:left="425"/>
        <w:jc w:val="both"/>
        <w:rPr>
          <w:rFonts w:ascii="Poppins" w:hAnsi="Poppins" w:cs="Poppins"/>
          <w:sz w:val="18"/>
          <w:szCs w:val="18"/>
        </w:rPr>
      </w:pPr>
    </w:p>
    <w:p w14:paraId="3062B3E4" w14:textId="77777777" w:rsidR="00354C69" w:rsidRPr="007642B6" w:rsidRDefault="00354C69" w:rsidP="00354C69">
      <w:pPr>
        <w:shd w:val="clear" w:color="auto" w:fill="FFFFFF"/>
        <w:ind w:left="425"/>
        <w:jc w:val="both"/>
        <w:rPr>
          <w:rFonts w:ascii="Poppins" w:hAnsi="Poppins" w:cs="Poppins"/>
          <w:sz w:val="18"/>
          <w:szCs w:val="18"/>
        </w:rPr>
      </w:pPr>
      <w:r w:rsidRPr="007642B6">
        <w:rPr>
          <w:rFonts w:ascii="Poppins" w:hAnsi="Poppins" w:cs="Poppins"/>
          <w:sz w:val="18"/>
          <w:szCs w:val="18"/>
        </w:rPr>
        <w:t>EE.UU. ha expandido su esquema de licencias para el petróleo venezolano, autorizando diluyentes y operaciones de carga, transporte, almacenamiento, venta y refinación bajo supervisión de OFAC, con el objetivo de reactivar la industria petrolera de Venezuela tras años de sanciones y bloqueo naval.</w:t>
      </w:r>
    </w:p>
    <w:p w14:paraId="559BF351" w14:textId="77777777" w:rsidR="00354C69" w:rsidRPr="007642B6" w:rsidRDefault="00354C69" w:rsidP="00354C69">
      <w:pPr>
        <w:shd w:val="clear" w:color="auto" w:fill="FFFFFF"/>
        <w:ind w:left="425"/>
        <w:jc w:val="both"/>
        <w:rPr>
          <w:rFonts w:ascii="Poppins" w:hAnsi="Poppins" w:cs="Poppins"/>
          <w:sz w:val="18"/>
          <w:szCs w:val="18"/>
        </w:rPr>
      </w:pPr>
    </w:p>
    <w:p w14:paraId="5AD23AD3" w14:textId="77777777" w:rsidR="00354C69" w:rsidRPr="007642B6" w:rsidRDefault="00354C69" w:rsidP="00354C69">
      <w:pPr>
        <w:shd w:val="clear" w:color="auto" w:fill="FFFFFF"/>
        <w:ind w:left="425"/>
        <w:jc w:val="both"/>
        <w:rPr>
          <w:rFonts w:ascii="Poppins" w:hAnsi="Poppins" w:cs="Poppins"/>
          <w:sz w:val="18"/>
          <w:szCs w:val="18"/>
        </w:rPr>
      </w:pPr>
      <w:r w:rsidRPr="007642B6">
        <w:rPr>
          <w:rFonts w:ascii="Poppins" w:hAnsi="Poppins" w:cs="Poppins"/>
          <w:sz w:val="18"/>
          <w:szCs w:val="18"/>
        </w:rPr>
        <w:t>Bajo estas autorizaciones, las exportaciones de crudo venezolano repuntaron a cerca de 800 mil barriles por día (bpd) en enero de 2026, desde unos 498 mil bpd en diciembre de 2025, con Chevron enviando unos 220 mil bpd a EE.UU., mientras Vitol y Trafigura (</w:t>
      </w:r>
      <w:r w:rsidRPr="007642B6">
        <w:rPr>
          <w:rFonts w:ascii="Poppins" w:hAnsi="Poppins" w:cs="Poppins"/>
          <w:i/>
          <w:iCs/>
          <w:sz w:val="18"/>
          <w:szCs w:val="18"/>
        </w:rPr>
        <w:t>Traders</w:t>
      </w:r>
      <w:r w:rsidRPr="007642B6">
        <w:rPr>
          <w:rFonts w:ascii="Poppins" w:hAnsi="Poppins" w:cs="Poppins"/>
          <w:sz w:val="18"/>
          <w:szCs w:val="18"/>
        </w:rPr>
        <w:t>) movieron alrededor de 392 mil bpd hacia el Caribe, Europa e India. El volumen volvió a niveles cercanos al promedio de 2025 aunque aún por debajo de los máximos históricos, y decenas de millones de barriles siguen pendientes de exportación bajo acuerdos supervisados por EE.UU.</w:t>
      </w:r>
    </w:p>
    <w:p w14:paraId="4E2786AB" w14:textId="77777777" w:rsidR="00354C69" w:rsidRPr="007642B6" w:rsidRDefault="00354C69" w:rsidP="00354C69">
      <w:pPr>
        <w:shd w:val="clear" w:color="auto" w:fill="FFFFFF"/>
        <w:ind w:left="425"/>
        <w:jc w:val="both"/>
        <w:rPr>
          <w:rFonts w:ascii="Poppins" w:hAnsi="Poppins" w:cs="Poppins"/>
          <w:sz w:val="18"/>
          <w:szCs w:val="18"/>
        </w:rPr>
      </w:pPr>
    </w:p>
    <w:p w14:paraId="5D663C0A" w14:textId="77777777" w:rsidR="00354C69" w:rsidRPr="007642B6" w:rsidRDefault="00354C69" w:rsidP="00354C69">
      <w:pPr>
        <w:shd w:val="clear" w:color="auto" w:fill="FFFFFF"/>
        <w:ind w:left="425"/>
        <w:jc w:val="both"/>
        <w:rPr>
          <w:rFonts w:ascii="Poppins" w:hAnsi="Poppins" w:cs="Poppins"/>
          <w:sz w:val="18"/>
          <w:szCs w:val="18"/>
        </w:rPr>
      </w:pPr>
      <w:r w:rsidRPr="007642B6">
        <w:rPr>
          <w:rFonts w:ascii="Poppins" w:hAnsi="Poppins" w:cs="Poppins"/>
          <w:sz w:val="18"/>
          <w:szCs w:val="18"/>
        </w:rPr>
        <w:t>Paralelamente, la reforma de la Ley de Hidrocarburos aprobada por la Asamblea Nacional venezolana busca atraer inversión extranjera y flexibilizar el control de PDVSA, alineándose con el alivio de sanciones para estimular producción y exportaciones. Con estas medidas y el apoyo de licencias, organismos como la EIA (Administración de Información Energética de EE.UU.) proyectan que Venezuela podría escalar su producción y exportaciones hacia aproximadamente 1,1 millones de bpd en los próximos meses si se confirma la mejora de infraestructura, disponibilidad de diluyentes y ampliación de contratos con refinadores globales</w:t>
      </w:r>
      <w:r>
        <w:rPr>
          <w:rFonts w:ascii="Poppins" w:hAnsi="Poppins" w:cs="Poppins"/>
          <w:sz w:val="18"/>
          <w:szCs w:val="18"/>
        </w:rPr>
        <w:t>.</w:t>
      </w:r>
    </w:p>
    <w:p w14:paraId="361A3761" w14:textId="77777777" w:rsidR="00354C69" w:rsidRDefault="00354C69" w:rsidP="00354C69">
      <w:pPr>
        <w:shd w:val="clear" w:color="auto" w:fill="FFFFFF"/>
        <w:ind w:left="425"/>
        <w:jc w:val="both"/>
        <w:rPr>
          <w:rFonts w:ascii="Poppins" w:hAnsi="Poppins" w:cs="Poppins"/>
          <w:sz w:val="18"/>
          <w:szCs w:val="18"/>
        </w:rPr>
      </w:pPr>
    </w:p>
    <w:p w14:paraId="26CB65B9" w14:textId="77777777" w:rsidR="00354C69" w:rsidRPr="00AF55C4" w:rsidRDefault="00354C69" w:rsidP="00354C69">
      <w:pPr>
        <w:pStyle w:val="Prrafodelista"/>
        <w:numPr>
          <w:ilvl w:val="0"/>
          <w:numId w:val="30"/>
        </w:numPr>
        <w:ind w:left="425"/>
        <w:contextualSpacing/>
        <w:jc w:val="both"/>
        <w:rPr>
          <w:rFonts w:ascii="Poppins" w:hAnsi="Poppins" w:cs="Poppins"/>
          <w:b/>
          <w:sz w:val="18"/>
          <w:szCs w:val="18"/>
        </w:rPr>
      </w:pPr>
      <w:r w:rsidRPr="00AF55C4">
        <w:rPr>
          <w:rFonts w:ascii="Poppins" w:hAnsi="Poppins" w:cs="Poppins"/>
          <w:b/>
          <w:sz w:val="18"/>
          <w:szCs w:val="18"/>
        </w:rPr>
        <w:t>Año Nuevo Lunar en China impulsa viajes récord y genera una demanda mixta de combustibles</w:t>
      </w:r>
    </w:p>
    <w:p w14:paraId="640A29BF" w14:textId="77777777" w:rsidR="00354C69" w:rsidRPr="00AF55C4" w:rsidRDefault="00354C69" w:rsidP="00354C69">
      <w:pPr>
        <w:shd w:val="clear" w:color="auto" w:fill="FFFFFF"/>
        <w:ind w:left="425"/>
        <w:jc w:val="both"/>
        <w:rPr>
          <w:rFonts w:ascii="Poppins" w:hAnsi="Poppins" w:cs="Poppins"/>
          <w:sz w:val="18"/>
          <w:szCs w:val="18"/>
        </w:rPr>
      </w:pPr>
    </w:p>
    <w:p w14:paraId="74F05F6C" w14:textId="77777777" w:rsidR="00354C69" w:rsidRPr="00AF55C4" w:rsidRDefault="00354C69" w:rsidP="00354C69">
      <w:pPr>
        <w:shd w:val="clear" w:color="auto" w:fill="FFFFFF"/>
        <w:ind w:left="425"/>
        <w:jc w:val="both"/>
        <w:rPr>
          <w:rFonts w:ascii="Poppins" w:hAnsi="Poppins" w:cs="Poppins"/>
          <w:sz w:val="18"/>
          <w:szCs w:val="18"/>
        </w:rPr>
      </w:pPr>
      <w:r w:rsidRPr="00AF55C4">
        <w:rPr>
          <w:rFonts w:ascii="Poppins" w:hAnsi="Poppins" w:cs="Poppins"/>
          <w:sz w:val="18"/>
          <w:szCs w:val="18"/>
        </w:rPr>
        <w:t>El Año Nuevo Lunar en China dejó una señal mixta para los combustibles, con el fuerte aumento de la movilidad favoreció el consumo de gasolina y combustible de aviación (jet fuel), mientras que una menor actividad industrial y logística en varios tramos del feriado tendió a moderar el consumo de diésel. En el período de viajes del chunyun (40 días), China proyectó un récord de 9,5 mil millones de desplazamientos internos, incluyendo 95 millones de viajes aéreos, en un contexto de feriado oficial extendido a nueve días para estimular el consumo.</w:t>
      </w:r>
    </w:p>
    <w:p w14:paraId="4489A6AC" w14:textId="77777777" w:rsidR="00354C69" w:rsidRPr="00AF55C4" w:rsidRDefault="00354C69" w:rsidP="00354C69">
      <w:pPr>
        <w:shd w:val="clear" w:color="auto" w:fill="FFFFFF"/>
        <w:ind w:left="425"/>
        <w:jc w:val="both"/>
        <w:rPr>
          <w:rFonts w:ascii="Poppins" w:hAnsi="Poppins" w:cs="Poppins"/>
          <w:sz w:val="18"/>
          <w:szCs w:val="18"/>
        </w:rPr>
      </w:pPr>
    </w:p>
    <w:p w14:paraId="6FCBF8D0" w14:textId="77777777" w:rsidR="00354C69" w:rsidRPr="00AF55C4" w:rsidRDefault="00354C69" w:rsidP="00354C69">
      <w:pPr>
        <w:shd w:val="clear" w:color="auto" w:fill="FFFFFF"/>
        <w:ind w:left="425"/>
        <w:jc w:val="both"/>
        <w:rPr>
          <w:rFonts w:ascii="Poppins" w:hAnsi="Poppins" w:cs="Poppins"/>
          <w:sz w:val="18"/>
          <w:szCs w:val="18"/>
        </w:rPr>
      </w:pPr>
      <w:r w:rsidRPr="00AF55C4">
        <w:rPr>
          <w:rFonts w:ascii="Poppins" w:hAnsi="Poppins" w:cs="Poppins"/>
          <w:sz w:val="18"/>
          <w:szCs w:val="18"/>
        </w:rPr>
        <w:t xml:space="preserve">Es importante precisar que esas cifras (9,5 mil millones y 95 millones) corresponden al período ampliado de movilidad del </w:t>
      </w:r>
      <w:r w:rsidRPr="00AF55C4">
        <w:rPr>
          <w:rFonts w:ascii="Poppins" w:hAnsi="Poppins" w:cs="Poppins"/>
          <w:i/>
          <w:iCs/>
          <w:sz w:val="18"/>
          <w:szCs w:val="18"/>
        </w:rPr>
        <w:t>“Spring Festival travel rush</w:t>
      </w:r>
      <w:r w:rsidRPr="00AF55C4">
        <w:rPr>
          <w:rFonts w:ascii="Poppins" w:hAnsi="Poppins" w:cs="Poppins"/>
          <w:sz w:val="18"/>
          <w:szCs w:val="18"/>
        </w:rPr>
        <w:t>” (chunyun) y no solo a los días centrales del feriado. Aun así, el resultado económico confirmó un impulso relevante en servicios y turismo. Por un lado, Reuters reportó 596 millones de viajes domésticos y 803 500 millones de yuanes en gasto turístico durante el feriado oficial de nueve días, lo que respalda el sesgo alcista en combustibles ligados al transporte de pasajeros, aunque con un efecto más débil en diésel por la desaceleración temporal de actividad fabril.</w:t>
      </w:r>
    </w:p>
    <w:p w14:paraId="7F1525B7" w14:textId="77777777" w:rsidR="00354C69" w:rsidRPr="00AF55C4" w:rsidRDefault="00354C69" w:rsidP="00354C69">
      <w:pPr>
        <w:shd w:val="clear" w:color="auto" w:fill="FFFFFF"/>
        <w:ind w:left="425"/>
        <w:jc w:val="both"/>
        <w:rPr>
          <w:rFonts w:ascii="Poppins" w:hAnsi="Poppins" w:cs="Poppins"/>
          <w:sz w:val="18"/>
          <w:szCs w:val="18"/>
        </w:rPr>
      </w:pPr>
    </w:p>
    <w:p w14:paraId="6954DBE2" w14:textId="77777777" w:rsidR="00354C69" w:rsidRPr="00AF55C4" w:rsidRDefault="00354C69" w:rsidP="00354C69">
      <w:pPr>
        <w:pStyle w:val="Prrafodelista"/>
        <w:numPr>
          <w:ilvl w:val="0"/>
          <w:numId w:val="30"/>
        </w:numPr>
        <w:ind w:left="425"/>
        <w:contextualSpacing/>
        <w:jc w:val="both"/>
        <w:rPr>
          <w:rFonts w:ascii="Poppins" w:hAnsi="Poppins" w:cs="Poppins"/>
          <w:b/>
          <w:sz w:val="18"/>
          <w:szCs w:val="18"/>
        </w:rPr>
      </w:pPr>
      <w:r w:rsidRPr="00AF55C4">
        <w:rPr>
          <w:rFonts w:ascii="Poppins" w:hAnsi="Poppins" w:cs="Poppins"/>
          <w:b/>
          <w:sz w:val="18"/>
          <w:szCs w:val="18"/>
        </w:rPr>
        <w:lastRenderedPageBreak/>
        <w:t>Clima templado debilita la demanda de diésel de calefacción en Europa</w:t>
      </w:r>
    </w:p>
    <w:p w14:paraId="7784576C" w14:textId="77777777" w:rsidR="00354C69" w:rsidRPr="00AF55C4" w:rsidRDefault="00354C69" w:rsidP="00354C69">
      <w:pPr>
        <w:shd w:val="clear" w:color="auto" w:fill="FFFFFF"/>
        <w:ind w:left="425"/>
        <w:jc w:val="both"/>
        <w:rPr>
          <w:rFonts w:ascii="Poppins" w:hAnsi="Poppins" w:cs="Poppins"/>
          <w:sz w:val="18"/>
          <w:szCs w:val="18"/>
        </w:rPr>
      </w:pPr>
    </w:p>
    <w:p w14:paraId="2B1AC0C6" w14:textId="77777777" w:rsidR="00354C69" w:rsidRPr="00AF55C4" w:rsidRDefault="00354C69" w:rsidP="00354C69">
      <w:pPr>
        <w:shd w:val="clear" w:color="auto" w:fill="FFFFFF"/>
        <w:ind w:left="425"/>
        <w:jc w:val="both"/>
        <w:rPr>
          <w:rFonts w:ascii="Poppins" w:hAnsi="Poppins" w:cs="Poppins"/>
          <w:sz w:val="18"/>
          <w:szCs w:val="18"/>
        </w:rPr>
      </w:pPr>
      <w:r w:rsidRPr="00AF55C4">
        <w:rPr>
          <w:rFonts w:ascii="Poppins" w:hAnsi="Poppins" w:cs="Poppins"/>
          <w:sz w:val="18"/>
          <w:szCs w:val="18"/>
        </w:rPr>
        <w:t>El clima más suave en el noroeste de Europa redujo la demanda estacional de calefacción y debilitó la tracción del diésel de calefacción (gasoil), especialmente en mercados como Alemania y Suiza. En la semana analizada, las temperaturas proyectadas se ubicaron alrededor de 13 °C en Fráncfort y 12 °C en Zúrich, niveles templados para esta etapa del invierno, lo que recortó la necesidad de reposición inmediata de combustibles de calefacción y actuó como factor bajista.</w:t>
      </w:r>
    </w:p>
    <w:p w14:paraId="3C622D31" w14:textId="77777777" w:rsidR="00354C69" w:rsidRPr="00AF55C4" w:rsidRDefault="00354C69" w:rsidP="00354C69">
      <w:pPr>
        <w:shd w:val="clear" w:color="auto" w:fill="FFFFFF"/>
        <w:ind w:left="425"/>
        <w:jc w:val="both"/>
        <w:rPr>
          <w:rFonts w:ascii="Poppins" w:hAnsi="Poppins" w:cs="Poppins"/>
          <w:sz w:val="18"/>
          <w:szCs w:val="18"/>
        </w:rPr>
      </w:pPr>
    </w:p>
    <w:p w14:paraId="1D6C92A9" w14:textId="77777777" w:rsidR="00354C69" w:rsidRPr="00AF55C4" w:rsidRDefault="00354C69" w:rsidP="00354C69">
      <w:pPr>
        <w:shd w:val="clear" w:color="auto" w:fill="FFFFFF"/>
        <w:ind w:left="425"/>
        <w:jc w:val="both"/>
        <w:rPr>
          <w:rFonts w:ascii="Poppins" w:hAnsi="Poppins" w:cs="Poppins"/>
          <w:sz w:val="18"/>
          <w:szCs w:val="18"/>
        </w:rPr>
      </w:pPr>
      <w:r w:rsidRPr="00AF55C4">
        <w:rPr>
          <w:rFonts w:ascii="Poppins" w:hAnsi="Poppins" w:cs="Poppins"/>
          <w:sz w:val="18"/>
          <w:szCs w:val="18"/>
        </w:rPr>
        <w:t>Ese menor consumo también se notó en los precios del mercado físico de este combustible en Europa. En la zona ARA (Ámsterdam-Róterdam-Amberes), referencia clave para la región, el gasóleo se negoció con señales de menor presión compradora frente a meses anteriores. En términos simples, aunque el mercado seguía mostrando cierta tensión por oferta de corto plazo, el clima más templado redujo la urgencia de compra para calefacción y ayudó a enfriar parcialmente los precios del diésel en Europa.</w:t>
      </w:r>
    </w:p>
    <w:p w14:paraId="6980EC21" w14:textId="77777777" w:rsidR="00604BC3" w:rsidRPr="006042FA" w:rsidRDefault="00604BC3" w:rsidP="00604BC3">
      <w:pPr>
        <w:shd w:val="clear" w:color="auto" w:fill="FFFFFF"/>
        <w:ind w:left="425"/>
        <w:jc w:val="both"/>
        <w:rPr>
          <w:rFonts w:ascii="Poppins" w:hAnsi="Poppins" w:cs="Poppins"/>
          <w:sz w:val="18"/>
          <w:szCs w:val="18"/>
          <w:highlight w:val="yellow"/>
        </w:rPr>
      </w:pPr>
    </w:p>
    <w:p w14:paraId="66B85C64" w14:textId="77777777" w:rsidR="00204D69" w:rsidRDefault="00204D69" w:rsidP="00204D69">
      <w:pPr>
        <w:shd w:val="clear" w:color="auto" w:fill="FFFFFF"/>
        <w:ind w:left="425"/>
        <w:jc w:val="both"/>
        <w:rPr>
          <w:rFonts w:ascii="Poppins" w:hAnsi="Poppins" w:cs="Poppins"/>
          <w:sz w:val="18"/>
          <w:szCs w:val="18"/>
          <w:highlight w:val="yellow"/>
        </w:rPr>
      </w:pPr>
    </w:p>
    <w:p w14:paraId="0900822D" w14:textId="738EBA35" w:rsidR="00A3178F" w:rsidRDefault="00A3178F" w:rsidP="0000213D">
      <w:pPr>
        <w:jc w:val="both"/>
        <w:rPr>
          <w:rFonts w:ascii="Poppins" w:hAnsi="Poppins" w:cs="Poppins"/>
          <w:sz w:val="18"/>
          <w:szCs w:val="18"/>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 las tarifas de los barcos que transportan combustibles y gas, derivado de las demoras, tal como puede observarse en la gráfica N°</w:t>
      </w:r>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N°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577D0BA2">
            <wp:extent cx="5167630" cy="3225800"/>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58202" cy="3282338"/>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4B2603EE" w:rsidR="006A59A3" w:rsidRDefault="006A59A3" w:rsidP="00D87FA1">
      <w:pPr>
        <w:ind w:left="426"/>
        <w:jc w:val="both"/>
        <w:rPr>
          <w:rFonts w:ascii="Poppins" w:hAnsi="Poppins" w:cs="Poppins"/>
          <w:sz w:val="18"/>
          <w:szCs w:val="18"/>
        </w:rPr>
      </w:pPr>
    </w:p>
    <w:p w14:paraId="0C71A45F" w14:textId="7EBB7AFE" w:rsidR="00CD537C" w:rsidRDefault="00CD537C" w:rsidP="00D87FA1">
      <w:pPr>
        <w:ind w:left="426"/>
        <w:jc w:val="both"/>
        <w:rPr>
          <w:rFonts w:ascii="Poppins" w:hAnsi="Poppins" w:cs="Poppins"/>
          <w:sz w:val="18"/>
          <w:szCs w:val="18"/>
        </w:rPr>
      </w:pPr>
    </w:p>
    <w:p w14:paraId="796A6219" w14:textId="77777777" w:rsidR="00CD537C" w:rsidRDefault="00CD537C" w:rsidP="00D87FA1">
      <w:pPr>
        <w:ind w:left="426"/>
        <w:jc w:val="both"/>
        <w:rPr>
          <w:rFonts w:ascii="Poppins" w:hAnsi="Poppins" w:cs="Poppins"/>
          <w:sz w:val="18"/>
          <w:szCs w:val="18"/>
        </w:rPr>
      </w:pPr>
    </w:p>
    <w:p w14:paraId="3E905062" w14:textId="014254CB" w:rsidR="00150187" w:rsidRDefault="00150187" w:rsidP="00D87FA1">
      <w:pPr>
        <w:ind w:left="426"/>
        <w:jc w:val="both"/>
        <w:rPr>
          <w:rFonts w:ascii="Poppins" w:hAnsi="Poppins" w:cs="Poppins"/>
          <w:sz w:val="18"/>
          <w:szCs w:val="18"/>
        </w:rPr>
      </w:pPr>
    </w:p>
    <w:p w14:paraId="68BB9F06" w14:textId="5BCD6220" w:rsidR="00CD537C" w:rsidRDefault="00CD537C" w:rsidP="00D87FA1">
      <w:pPr>
        <w:ind w:left="426"/>
        <w:jc w:val="both"/>
        <w:rPr>
          <w:rFonts w:ascii="Poppins" w:hAnsi="Poppins" w:cs="Poppins"/>
          <w:sz w:val="18"/>
          <w:szCs w:val="18"/>
        </w:rPr>
      </w:pPr>
    </w:p>
    <w:p w14:paraId="713A569D" w14:textId="6619C1F0" w:rsidR="00900D99" w:rsidRDefault="00900D99" w:rsidP="00D87FA1">
      <w:pPr>
        <w:ind w:left="426"/>
        <w:jc w:val="both"/>
        <w:rPr>
          <w:rFonts w:ascii="Poppins" w:hAnsi="Poppins" w:cs="Poppins"/>
          <w:sz w:val="18"/>
          <w:szCs w:val="18"/>
        </w:rPr>
      </w:pPr>
    </w:p>
    <w:p w14:paraId="05320C9A" w14:textId="6C1A1F73" w:rsidR="00900D99" w:rsidRDefault="00900D99" w:rsidP="00D87FA1">
      <w:pPr>
        <w:ind w:left="426"/>
        <w:jc w:val="both"/>
        <w:rPr>
          <w:rFonts w:ascii="Poppins" w:hAnsi="Poppins" w:cs="Poppins"/>
          <w:sz w:val="18"/>
          <w:szCs w:val="18"/>
        </w:rPr>
      </w:pPr>
    </w:p>
    <w:p w14:paraId="41355EC3" w14:textId="37812C8B" w:rsidR="00900D99" w:rsidRDefault="00900D99" w:rsidP="00D87FA1">
      <w:pPr>
        <w:ind w:left="426"/>
        <w:jc w:val="both"/>
        <w:rPr>
          <w:rFonts w:ascii="Poppins" w:hAnsi="Poppins" w:cs="Poppins"/>
          <w:sz w:val="18"/>
          <w:szCs w:val="18"/>
        </w:rPr>
      </w:pPr>
    </w:p>
    <w:p w14:paraId="719691D5" w14:textId="38658134" w:rsidR="00900D99" w:rsidRDefault="00900D99" w:rsidP="00D87FA1">
      <w:pPr>
        <w:ind w:left="426"/>
        <w:jc w:val="both"/>
        <w:rPr>
          <w:rFonts w:ascii="Poppins" w:hAnsi="Poppins" w:cs="Poppins"/>
          <w:sz w:val="18"/>
          <w:szCs w:val="18"/>
        </w:rPr>
      </w:pPr>
    </w:p>
    <w:p w14:paraId="291A863A" w14:textId="799C2CD8" w:rsidR="00900D99" w:rsidRDefault="00900D99" w:rsidP="00D87FA1">
      <w:pPr>
        <w:ind w:left="426"/>
        <w:jc w:val="both"/>
        <w:rPr>
          <w:rFonts w:ascii="Poppins" w:hAnsi="Poppins" w:cs="Poppins"/>
          <w:sz w:val="18"/>
          <w:szCs w:val="18"/>
        </w:rPr>
      </w:pPr>
    </w:p>
    <w:p w14:paraId="77714923" w14:textId="500FA87E" w:rsidR="00900D99" w:rsidRDefault="00900D99" w:rsidP="00D87FA1">
      <w:pPr>
        <w:ind w:left="426"/>
        <w:jc w:val="both"/>
        <w:rPr>
          <w:rFonts w:ascii="Poppins" w:hAnsi="Poppins" w:cs="Poppins"/>
          <w:sz w:val="18"/>
          <w:szCs w:val="18"/>
        </w:rPr>
      </w:pPr>
    </w:p>
    <w:p w14:paraId="03BFCF75" w14:textId="70865B45" w:rsidR="00900D99" w:rsidRDefault="00900D99" w:rsidP="00D87FA1">
      <w:pPr>
        <w:ind w:left="426"/>
        <w:jc w:val="both"/>
        <w:rPr>
          <w:rFonts w:ascii="Poppins" w:hAnsi="Poppins" w:cs="Poppins"/>
          <w:sz w:val="18"/>
          <w:szCs w:val="18"/>
        </w:rPr>
      </w:pPr>
    </w:p>
    <w:p w14:paraId="6D6866DE" w14:textId="593F35C7" w:rsidR="00900D99" w:rsidRDefault="00900D99" w:rsidP="00D87FA1">
      <w:pPr>
        <w:ind w:left="426"/>
        <w:jc w:val="both"/>
        <w:rPr>
          <w:rFonts w:ascii="Poppins" w:hAnsi="Poppins" w:cs="Poppins"/>
          <w:sz w:val="18"/>
          <w:szCs w:val="18"/>
        </w:rPr>
      </w:pPr>
    </w:p>
    <w:p w14:paraId="68FEF91E" w14:textId="18A7EE56" w:rsidR="00900D99" w:rsidRDefault="00900D99" w:rsidP="00D87FA1">
      <w:pPr>
        <w:ind w:left="426"/>
        <w:jc w:val="both"/>
        <w:rPr>
          <w:rFonts w:ascii="Poppins" w:hAnsi="Poppins" w:cs="Poppins"/>
          <w:sz w:val="18"/>
          <w:szCs w:val="18"/>
        </w:rPr>
      </w:pPr>
    </w:p>
    <w:p w14:paraId="319544E6" w14:textId="4680EF84" w:rsidR="005A46DB" w:rsidRDefault="005A46DB" w:rsidP="00D87FA1">
      <w:pPr>
        <w:ind w:left="426"/>
        <w:jc w:val="both"/>
        <w:rPr>
          <w:rFonts w:ascii="Poppins" w:hAnsi="Poppins" w:cs="Poppins"/>
          <w:sz w:val="18"/>
          <w:szCs w:val="18"/>
        </w:rPr>
      </w:pPr>
    </w:p>
    <w:p w14:paraId="5B716B20" w14:textId="77777777" w:rsidR="005A46DB" w:rsidRDefault="005A46DB" w:rsidP="00D87FA1">
      <w:pPr>
        <w:ind w:left="426"/>
        <w:jc w:val="both"/>
        <w:rPr>
          <w:rFonts w:ascii="Poppins" w:hAnsi="Poppins" w:cs="Poppins"/>
          <w:sz w:val="18"/>
          <w:szCs w:val="18"/>
        </w:rPr>
      </w:pPr>
    </w:p>
    <w:p w14:paraId="41A908E3" w14:textId="77777777" w:rsidR="003A0D60" w:rsidRDefault="003A0D60"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2B4A55CB"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Resolución N° 0</w:t>
      </w:r>
      <w:r w:rsidR="00F56EEA">
        <w:rPr>
          <w:rFonts w:ascii="Poppins" w:hAnsi="Poppins" w:cs="Poppins"/>
          <w:sz w:val="18"/>
          <w:szCs w:val="18"/>
        </w:rPr>
        <w:t>06</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N° 6 utilizado en actividades de generación eléctrica en sistemas eléctricos Aislados con vigencia desde el </w:t>
      </w:r>
      <w:r w:rsidR="00DE2753">
        <w:rPr>
          <w:rFonts w:ascii="Poppins" w:hAnsi="Poppins" w:cs="Poppins"/>
          <w:sz w:val="18"/>
          <w:szCs w:val="18"/>
        </w:rPr>
        <w:t>2</w:t>
      </w:r>
      <w:r w:rsidR="00F56EEA">
        <w:rPr>
          <w:rFonts w:ascii="Poppins" w:hAnsi="Poppins" w:cs="Poppins"/>
          <w:sz w:val="18"/>
          <w:szCs w:val="18"/>
        </w:rPr>
        <w:t>7</w:t>
      </w:r>
      <w:r w:rsidR="004748A9" w:rsidRPr="00581B20">
        <w:rPr>
          <w:rFonts w:ascii="Poppins" w:hAnsi="Poppins" w:cs="Poppins"/>
          <w:sz w:val="18"/>
          <w:szCs w:val="18"/>
        </w:rPr>
        <w:t xml:space="preserve"> de </w:t>
      </w:r>
      <w:r w:rsidR="00F56EEA">
        <w:rPr>
          <w:rFonts w:ascii="Poppins" w:hAnsi="Poppins" w:cs="Poppins"/>
          <w:sz w:val="18"/>
          <w:szCs w:val="18"/>
        </w:rPr>
        <w:t>febrero</w:t>
      </w:r>
      <w:r w:rsidR="004748A9" w:rsidRPr="00581B20">
        <w:rPr>
          <w:rFonts w:ascii="Poppins" w:hAnsi="Poppins" w:cs="Poppins"/>
          <w:sz w:val="18"/>
          <w:szCs w:val="18"/>
        </w:rPr>
        <w:t xml:space="preserve"> de 2025 hasta el </w:t>
      </w:r>
      <w:r w:rsidR="00F56EEA">
        <w:rPr>
          <w:rFonts w:ascii="Poppins" w:hAnsi="Poppins" w:cs="Poppins"/>
          <w:sz w:val="18"/>
          <w:szCs w:val="18"/>
        </w:rPr>
        <w:t>30</w:t>
      </w:r>
      <w:r w:rsidR="004748A9" w:rsidRPr="00581B20">
        <w:rPr>
          <w:rFonts w:ascii="Poppins" w:hAnsi="Poppins" w:cs="Poppins"/>
          <w:sz w:val="18"/>
          <w:szCs w:val="18"/>
        </w:rPr>
        <w:t xml:space="preserve"> de </w:t>
      </w:r>
      <w:r w:rsidR="00F56EEA">
        <w:rPr>
          <w:rFonts w:ascii="Poppins" w:hAnsi="Poppins" w:cs="Poppins"/>
          <w:sz w:val="18"/>
          <w:szCs w:val="18"/>
        </w:rPr>
        <w:t>abril</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6DE26A6A"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Resolución N° 0</w:t>
      </w:r>
      <w:r w:rsidR="000040AB">
        <w:rPr>
          <w:rFonts w:ascii="Poppins" w:hAnsi="Poppins" w:cs="Poppins"/>
          <w:sz w:val="18"/>
          <w:szCs w:val="18"/>
        </w:rPr>
        <w:t>0</w:t>
      </w:r>
      <w:r w:rsidR="008A0B48">
        <w:rPr>
          <w:rFonts w:ascii="Poppins" w:hAnsi="Poppins" w:cs="Poppins"/>
          <w:sz w:val="18"/>
          <w:szCs w:val="18"/>
        </w:rPr>
        <w:t>6</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8A0B48">
        <w:rPr>
          <w:rFonts w:ascii="Poppins" w:hAnsi="Poppins" w:cs="Poppins"/>
          <w:sz w:val="18"/>
          <w:szCs w:val="18"/>
        </w:rPr>
        <w:t>27</w:t>
      </w:r>
      <w:r w:rsidR="007C4098">
        <w:rPr>
          <w:rFonts w:ascii="Poppins" w:hAnsi="Poppins" w:cs="Poppins"/>
          <w:sz w:val="18"/>
          <w:szCs w:val="18"/>
        </w:rPr>
        <w:t xml:space="preserve"> de</w:t>
      </w:r>
      <w:r w:rsidRPr="00581B20">
        <w:rPr>
          <w:rFonts w:ascii="Poppins" w:hAnsi="Poppins" w:cs="Poppins"/>
          <w:sz w:val="18"/>
          <w:szCs w:val="18"/>
        </w:rPr>
        <w:t xml:space="preserve"> </w:t>
      </w:r>
      <w:r w:rsidR="008A0B48">
        <w:rPr>
          <w:rFonts w:ascii="Poppins" w:hAnsi="Poppins" w:cs="Poppins"/>
          <w:sz w:val="18"/>
          <w:szCs w:val="18"/>
        </w:rPr>
        <w:t>febrero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9833DB">
        <w:rPr>
          <w:rFonts w:ascii="Poppins" w:hAnsi="Poppins" w:cs="Poppins"/>
          <w:sz w:val="18"/>
          <w:szCs w:val="18"/>
        </w:rPr>
        <w:t>2</w:t>
      </w:r>
      <w:r w:rsidR="000040AB">
        <w:rPr>
          <w:rFonts w:ascii="Poppins" w:hAnsi="Poppins" w:cs="Poppins"/>
          <w:sz w:val="18"/>
          <w:szCs w:val="18"/>
        </w:rPr>
        <w:t>6</w:t>
      </w:r>
      <w:r w:rsidRPr="00581B20">
        <w:rPr>
          <w:rFonts w:ascii="Poppins" w:hAnsi="Poppins" w:cs="Poppins"/>
          <w:sz w:val="18"/>
          <w:szCs w:val="18"/>
        </w:rPr>
        <w:t xml:space="preserve"> de </w:t>
      </w:r>
      <w:r w:rsidR="008A0B48">
        <w:rPr>
          <w:rFonts w:ascii="Poppins" w:hAnsi="Poppins" w:cs="Poppins"/>
          <w:sz w:val="18"/>
          <w:szCs w:val="18"/>
        </w:rPr>
        <w:t>marzo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2C098CC5"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N° </w:t>
      </w:r>
      <w:r w:rsidR="00E26DC5">
        <w:rPr>
          <w:rFonts w:ascii="Poppins" w:hAnsi="Poppins" w:cs="Poppins"/>
          <w:sz w:val="18"/>
          <w:szCs w:val="18"/>
        </w:rPr>
        <w:t>0</w:t>
      </w:r>
      <w:r w:rsidR="008A0B48">
        <w:rPr>
          <w:rFonts w:ascii="Poppins" w:hAnsi="Poppins" w:cs="Poppins"/>
          <w:sz w:val="18"/>
          <w:szCs w:val="18"/>
        </w:rPr>
        <w:t>06</w:t>
      </w:r>
      <w:r w:rsidR="00E26DC5" w:rsidRPr="0096213B">
        <w:rPr>
          <w:rFonts w:ascii="Poppins" w:hAnsi="Poppins" w:cs="Poppins"/>
          <w:sz w:val="18"/>
          <w:szCs w:val="18"/>
        </w:rPr>
        <w:t>-202</w:t>
      </w:r>
      <w:r w:rsidR="008A0B48">
        <w:rPr>
          <w:rFonts w:ascii="Poppins" w:hAnsi="Poppins" w:cs="Poppins"/>
          <w:sz w:val="18"/>
          <w:szCs w:val="18"/>
        </w:rPr>
        <w:t>6</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8A0B48">
        <w:rPr>
          <w:rFonts w:ascii="Poppins" w:hAnsi="Poppins" w:cs="Poppins"/>
          <w:sz w:val="18"/>
          <w:szCs w:val="18"/>
        </w:rPr>
        <w:t>03</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8A0B48">
        <w:rPr>
          <w:rFonts w:ascii="Poppins" w:hAnsi="Poppins" w:cs="Poppins"/>
          <w:sz w:val="18"/>
          <w:szCs w:val="18"/>
        </w:rPr>
        <w:t>marz</w:t>
      </w:r>
      <w:r w:rsidR="005151B0">
        <w:rPr>
          <w:rFonts w:ascii="Poppins" w:hAnsi="Poppins" w:cs="Poppins"/>
          <w:sz w:val="18"/>
          <w:szCs w:val="18"/>
        </w:rPr>
        <w:t>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8A0B48">
        <w:rPr>
          <w:rFonts w:ascii="Poppins" w:hAnsi="Poppins" w:cs="Poppins"/>
          <w:sz w:val="18"/>
          <w:szCs w:val="18"/>
        </w:rPr>
        <w:t>lunes</w:t>
      </w:r>
      <w:r w:rsidR="00E059C7">
        <w:rPr>
          <w:rFonts w:ascii="Poppins" w:hAnsi="Poppins" w:cs="Poppins"/>
          <w:sz w:val="18"/>
          <w:szCs w:val="18"/>
        </w:rPr>
        <w:t xml:space="preserve"> </w:t>
      </w:r>
      <w:r w:rsidR="008A0B48">
        <w:rPr>
          <w:rFonts w:ascii="Poppins" w:hAnsi="Poppins" w:cs="Poppins"/>
          <w:sz w:val="18"/>
          <w:szCs w:val="18"/>
        </w:rPr>
        <w:t>09</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8A0B48">
        <w:rPr>
          <w:rFonts w:ascii="Poppins" w:hAnsi="Poppins" w:cs="Poppins"/>
          <w:sz w:val="18"/>
          <w:szCs w:val="18"/>
        </w:rPr>
        <w:t>marz</w:t>
      </w:r>
      <w:r w:rsidR="000040AB">
        <w:rPr>
          <w:rFonts w:ascii="Poppins" w:hAnsi="Poppins" w:cs="Poppins"/>
          <w:sz w:val="18"/>
          <w:szCs w:val="18"/>
        </w:rPr>
        <w:t>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69848E23" w:rsidR="00E804F9" w:rsidRPr="00A01E92"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845353">
        <w:rPr>
          <w:rFonts w:ascii="Poppins" w:hAnsi="Poppins" w:cs="Poppins"/>
          <w:sz w:val="18"/>
          <w:szCs w:val="18"/>
        </w:rPr>
        <w:t>03</w:t>
      </w:r>
      <w:r w:rsidRPr="00A01E92">
        <w:rPr>
          <w:rFonts w:ascii="Poppins" w:hAnsi="Poppins" w:cs="Poppins"/>
          <w:sz w:val="18"/>
          <w:szCs w:val="18"/>
        </w:rPr>
        <w:t>.</w:t>
      </w:r>
      <w:r w:rsidR="005151B0">
        <w:rPr>
          <w:rFonts w:ascii="Poppins" w:hAnsi="Poppins" w:cs="Poppins"/>
          <w:sz w:val="18"/>
          <w:szCs w:val="18"/>
        </w:rPr>
        <w:t>0</w:t>
      </w:r>
      <w:r w:rsidR="00845353">
        <w:rPr>
          <w:rFonts w:ascii="Poppins" w:hAnsi="Poppins" w:cs="Poppins"/>
          <w:sz w:val="18"/>
          <w:szCs w:val="18"/>
        </w:rPr>
        <w:t>3</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A7646E">
        <w:rPr>
          <w:rFonts w:ascii="Poppins" w:hAnsi="Poppins" w:cs="Poppins"/>
          <w:sz w:val="18"/>
          <w:szCs w:val="18"/>
        </w:rPr>
        <w:t>l GLP (</w:t>
      </w:r>
      <w:r w:rsidR="00845353">
        <w:rPr>
          <w:rFonts w:ascii="Poppins" w:hAnsi="Poppins" w:cs="Poppins"/>
          <w:sz w:val="18"/>
          <w:szCs w:val="18"/>
        </w:rPr>
        <w:t>+</w:t>
      </w:r>
      <w:r w:rsidR="00A7646E">
        <w:rPr>
          <w:rFonts w:ascii="Poppins" w:hAnsi="Poppins" w:cs="Poppins"/>
          <w:sz w:val="18"/>
          <w:szCs w:val="18"/>
        </w:rPr>
        <w:t>0,</w:t>
      </w:r>
      <w:r w:rsidR="00845353">
        <w:rPr>
          <w:rFonts w:ascii="Poppins" w:hAnsi="Poppins" w:cs="Poppins"/>
          <w:sz w:val="18"/>
          <w:szCs w:val="18"/>
        </w:rPr>
        <w:t>0</w:t>
      </w:r>
      <w:r w:rsidR="00A7646E">
        <w:rPr>
          <w:rFonts w:ascii="Poppins" w:hAnsi="Poppins" w:cs="Poppins"/>
          <w:sz w:val="18"/>
          <w:szCs w:val="18"/>
        </w:rPr>
        <w:t>1 S/kg),</w:t>
      </w:r>
      <w:r w:rsidR="00093757">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845353">
        <w:rPr>
          <w:rFonts w:ascii="Poppins" w:hAnsi="Poppins" w:cs="Poppins"/>
          <w:sz w:val="18"/>
          <w:szCs w:val="18"/>
        </w:rPr>
        <w:t>+</w:t>
      </w:r>
      <w:r w:rsidR="00093757" w:rsidRPr="00A01E92">
        <w:rPr>
          <w:rFonts w:ascii="Poppins" w:hAnsi="Poppins" w:cs="Poppins"/>
          <w:sz w:val="18"/>
          <w:szCs w:val="18"/>
        </w:rPr>
        <w:t>0</w:t>
      </w:r>
      <w:r w:rsidR="00460518">
        <w:rPr>
          <w:rFonts w:ascii="Poppins" w:hAnsi="Poppins" w:cs="Poppins"/>
          <w:sz w:val="18"/>
          <w:szCs w:val="18"/>
        </w:rPr>
        <w:t>,</w:t>
      </w:r>
      <w:r w:rsidR="00845353">
        <w:rPr>
          <w:rFonts w:ascii="Poppins" w:hAnsi="Poppins" w:cs="Poppins"/>
          <w:sz w:val="18"/>
          <w:szCs w:val="18"/>
        </w:rPr>
        <w:t>17</w:t>
      </w:r>
      <w:r w:rsidR="00093757" w:rsidRPr="00A01E92">
        <w:rPr>
          <w:rFonts w:ascii="Poppins" w:hAnsi="Poppins" w:cs="Poppins"/>
          <w:sz w:val="18"/>
          <w:szCs w:val="18"/>
        </w:rPr>
        <w:t xml:space="preserve"> S/Gln</w:t>
      </w:r>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9C7995">
        <w:rPr>
          <w:rFonts w:ascii="Poppins" w:hAnsi="Poppins" w:cs="Poppins"/>
          <w:sz w:val="18"/>
          <w:szCs w:val="18"/>
        </w:rPr>
        <w:t>+</w:t>
      </w:r>
      <w:r w:rsidR="00267898" w:rsidRPr="00A01E92">
        <w:rPr>
          <w:rFonts w:ascii="Poppins" w:hAnsi="Poppins" w:cs="Poppins"/>
          <w:sz w:val="18"/>
          <w:szCs w:val="18"/>
        </w:rPr>
        <w:t>0</w:t>
      </w:r>
      <w:r w:rsidR="00465772" w:rsidRPr="00A01E92">
        <w:rPr>
          <w:rFonts w:ascii="Poppins" w:hAnsi="Poppins" w:cs="Poppins"/>
          <w:sz w:val="18"/>
          <w:szCs w:val="18"/>
        </w:rPr>
        <w:t>,</w:t>
      </w:r>
      <w:r w:rsidR="00845353">
        <w:rPr>
          <w:rFonts w:ascii="Poppins" w:hAnsi="Poppins" w:cs="Poppins"/>
          <w:sz w:val="18"/>
          <w:szCs w:val="18"/>
        </w:rPr>
        <w:t>30</w:t>
      </w:r>
      <w:r w:rsidR="00465772" w:rsidRPr="00A01E92">
        <w:rPr>
          <w:rFonts w:ascii="Poppins" w:hAnsi="Poppins" w:cs="Poppins"/>
          <w:sz w:val="18"/>
          <w:szCs w:val="18"/>
        </w:rPr>
        <w:t xml:space="preserve"> S/Gln)</w:t>
      </w:r>
      <w:r w:rsidR="00BC45B5" w:rsidRPr="00A01E92">
        <w:rPr>
          <w:rFonts w:ascii="Poppins" w:hAnsi="Poppins" w:cs="Poppins"/>
          <w:sz w:val="18"/>
          <w:szCs w:val="18"/>
        </w:rPr>
        <w:t xml:space="preserve">, </w:t>
      </w:r>
      <w:r w:rsidR="00845353" w:rsidRPr="00A01E92">
        <w:rPr>
          <w:rFonts w:ascii="Poppins" w:hAnsi="Poppins" w:cs="Poppins"/>
          <w:sz w:val="18"/>
          <w:szCs w:val="18"/>
        </w:rPr>
        <w:t xml:space="preserve">Gasohol </w:t>
      </w:r>
      <w:r w:rsidR="00845353">
        <w:rPr>
          <w:rFonts w:ascii="Poppins" w:hAnsi="Poppins" w:cs="Poppins"/>
          <w:sz w:val="18"/>
          <w:szCs w:val="18"/>
        </w:rPr>
        <w:t>Premium</w:t>
      </w:r>
      <w:r w:rsidR="00845353" w:rsidRPr="00A01E92">
        <w:rPr>
          <w:rFonts w:ascii="Poppins" w:hAnsi="Poppins" w:cs="Poppins"/>
          <w:sz w:val="18"/>
          <w:szCs w:val="18"/>
        </w:rPr>
        <w:t xml:space="preserve"> (</w:t>
      </w:r>
      <w:r w:rsidR="00845353">
        <w:rPr>
          <w:rFonts w:ascii="Poppins" w:hAnsi="Poppins" w:cs="Poppins"/>
          <w:sz w:val="18"/>
          <w:szCs w:val="18"/>
        </w:rPr>
        <w:t>+0</w:t>
      </w:r>
      <w:r w:rsidR="00845353" w:rsidRPr="00A01E92">
        <w:rPr>
          <w:rFonts w:ascii="Poppins" w:hAnsi="Poppins" w:cs="Poppins"/>
          <w:sz w:val="18"/>
          <w:szCs w:val="18"/>
        </w:rPr>
        <w:t>,</w:t>
      </w:r>
      <w:r w:rsidR="00845353">
        <w:rPr>
          <w:rFonts w:ascii="Poppins" w:hAnsi="Poppins" w:cs="Poppins"/>
          <w:sz w:val="18"/>
          <w:szCs w:val="18"/>
        </w:rPr>
        <w:t>17</w:t>
      </w:r>
      <w:r w:rsidR="00845353" w:rsidRPr="00A01E92">
        <w:rPr>
          <w:rFonts w:ascii="Poppins" w:hAnsi="Poppins" w:cs="Poppins"/>
          <w:sz w:val="18"/>
          <w:szCs w:val="18"/>
        </w:rPr>
        <w:t xml:space="preserve"> S/Gln)</w:t>
      </w:r>
      <w:r w:rsidR="00845353">
        <w:rPr>
          <w:rFonts w:ascii="Poppins" w:hAnsi="Poppins" w:cs="Poppins"/>
          <w:sz w:val="18"/>
          <w:szCs w:val="18"/>
        </w:rPr>
        <w:t>,</w:t>
      </w:r>
      <w:r w:rsidR="00845353">
        <w:rPr>
          <w:rFonts w:ascii="Poppins" w:hAnsi="Poppins" w:cs="Poppins"/>
          <w:sz w:val="18"/>
          <w:szCs w:val="18"/>
        </w:rPr>
        <w:t xml:space="preserve"> </w:t>
      </w:r>
      <w:r w:rsidR="00A01E92" w:rsidRPr="00A01E92">
        <w:rPr>
          <w:rFonts w:ascii="Poppins" w:hAnsi="Poppins" w:cs="Poppins"/>
          <w:sz w:val="18"/>
          <w:szCs w:val="18"/>
        </w:rPr>
        <w:t>Gasohol Regular (</w:t>
      </w:r>
      <w:r w:rsidR="00460518">
        <w:rPr>
          <w:rFonts w:ascii="Poppins" w:hAnsi="Poppins" w:cs="Poppins"/>
          <w:sz w:val="18"/>
          <w:szCs w:val="18"/>
        </w:rPr>
        <w:t>+</w:t>
      </w:r>
      <w:r w:rsidR="007D7CB0">
        <w:rPr>
          <w:rFonts w:ascii="Poppins" w:hAnsi="Poppins" w:cs="Poppins"/>
          <w:sz w:val="18"/>
          <w:szCs w:val="18"/>
        </w:rPr>
        <w:t>0</w:t>
      </w:r>
      <w:r w:rsidR="00A01E92" w:rsidRPr="00A01E92">
        <w:rPr>
          <w:rFonts w:ascii="Poppins" w:hAnsi="Poppins" w:cs="Poppins"/>
          <w:sz w:val="18"/>
          <w:szCs w:val="18"/>
        </w:rPr>
        <w:t>,</w:t>
      </w:r>
      <w:r w:rsidR="00845353">
        <w:rPr>
          <w:rFonts w:ascii="Poppins" w:hAnsi="Poppins" w:cs="Poppins"/>
          <w:sz w:val="18"/>
          <w:szCs w:val="18"/>
        </w:rPr>
        <w:t>30</w:t>
      </w:r>
      <w:r w:rsidR="00A01E92" w:rsidRPr="00A01E92">
        <w:rPr>
          <w:rFonts w:ascii="Poppins" w:hAnsi="Poppins" w:cs="Poppins"/>
          <w:sz w:val="18"/>
          <w:szCs w:val="18"/>
        </w:rPr>
        <w:t xml:space="preserve"> S/Gln)</w:t>
      </w:r>
      <w:r w:rsidR="00B66A52">
        <w:rPr>
          <w:rFonts w:ascii="Poppins" w:hAnsi="Poppins" w:cs="Poppins"/>
          <w:sz w:val="18"/>
          <w:szCs w:val="18"/>
        </w:rPr>
        <w:t>, Diesel B5 UV S-50</w:t>
      </w:r>
      <w:r w:rsidR="00B66A52" w:rsidRPr="00A01E92">
        <w:rPr>
          <w:rFonts w:ascii="Poppins" w:hAnsi="Poppins" w:cs="Poppins"/>
          <w:sz w:val="18"/>
          <w:szCs w:val="18"/>
        </w:rPr>
        <w:t xml:space="preserve"> (</w:t>
      </w:r>
      <w:r w:rsidR="00A7646E">
        <w:rPr>
          <w:rFonts w:ascii="Poppins" w:hAnsi="Poppins" w:cs="Poppins"/>
          <w:sz w:val="18"/>
          <w:szCs w:val="18"/>
        </w:rPr>
        <w:t>+0</w:t>
      </w:r>
      <w:r w:rsidR="00B66A52" w:rsidRPr="00A01E92">
        <w:rPr>
          <w:rFonts w:ascii="Poppins" w:hAnsi="Poppins" w:cs="Poppins"/>
          <w:sz w:val="18"/>
          <w:szCs w:val="18"/>
        </w:rPr>
        <w:t>,</w:t>
      </w:r>
      <w:r w:rsidR="00845353">
        <w:rPr>
          <w:rFonts w:ascii="Poppins" w:hAnsi="Poppins" w:cs="Poppins"/>
          <w:sz w:val="18"/>
          <w:szCs w:val="18"/>
        </w:rPr>
        <w:t>50</w:t>
      </w:r>
      <w:r w:rsidR="00B66A52" w:rsidRPr="00A01E92">
        <w:rPr>
          <w:rFonts w:ascii="Poppins" w:hAnsi="Poppins" w:cs="Poppins"/>
          <w:sz w:val="18"/>
          <w:szCs w:val="18"/>
        </w:rPr>
        <w:t xml:space="preserve"> S/Gln)</w:t>
      </w:r>
      <w:r w:rsidR="00B66A52" w:rsidRPr="00B66A52">
        <w:rPr>
          <w:rFonts w:ascii="Poppins" w:hAnsi="Poppins" w:cs="Poppins"/>
          <w:sz w:val="18"/>
          <w:szCs w:val="18"/>
          <w:lang w:val="es-PE"/>
        </w:rPr>
        <w:t xml:space="preserve"> </w:t>
      </w:r>
      <w:r w:rsidR="00B66A52">
        <w:rPr>
          <w:rFonts w:ascii="Poppins" w:hAnsi="Poppins" w:cs="Poppins"/>
          <w:sz w:val="18"/>
          <w:szCs w:val="18"/>
          <w:lang w:val="es-PE"/>
        </w:rPr>
        <w:t>y Diesel B5 S-50</w:t>
      </w:r>
      <w:r w:rsidR="00B66A52" w:rsidRPr="00A01E92">
        <w:rPr>
          <w:rFonts w:ascii="Poppins" w:hAnsi="Poppins" w:cs="Poppins"/>
          <w:sz w:val="18"/>
          <w:szCs w:val="18"/>
        </w:rPr>
        <w:t xml:space="preserve"> (</w:t>
      </w:r>
      <w:r w:rsidR="00B66A52">
        <w:rPr>
          <w:rFonts w:ascii="Poppins" w:hAnsi="Poppins" w:cs="Poppins"/>
          <w:sz w:val="18"/>
          <w:szCs w:val="18"/>
        </w:rPr>
        <w:t>+0</w:t>
      </w:r>
      <w:r w:rsidR="00B66A52" w:rsidRPr="00A01E92">
        <w:rPr>
          <w:rFonts w:ascii="Poppins" w:hAnsi="Poppins" w:cs="Poppins"/>
          <w:sz w:val="18"/>
          <w:szCs w:val="18"/>
        </w:rPr>
        <w:t>,</w:t>
      </w:r>
      <w:r w:rsidR="00845353">
        <w:rPr>
          <w:rFonts w:ascii="Poppins" w:hAnsi="Poppins" w:cs="Poppins"/>
          <w:sz w:val="18"/>
          <w:szCs w:val="18"/>
        </w:rPr>
        <w:t>50</w:t>
      </w:r>
      <w:r w:rsidR="00B66A52" w:rsidRPr="00A01E92">
        <w:rPr>
          <w:rFonts w:ascii="Poppins" w:hAnsi="Poppins" w:cs="Poppins"/>
          <w:sz w:val="18"/>
          <w:szCs w:val="18"/>
        </w:rPr>
        <w:t xml:space="preserve"> S/Gln)</w:t>
      </w:r>
      <w:r w:rsidR="00093757">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4F927923" w14:textId="2FB3ABD1" w:rsidR="00C87735" w:rsidRDefault="00C87735" w:rsidP="00C87735">
      <w:pPr>
        <w:pStyle w:val="Prrafodelista"/>
        <w:rPr>
          <w:rFonts w:ascii="Poppins" w:hAnsi="Poppins" w:cs="Poppins"/>
          <w:sz w:val="18"/>
          <w:szCs w:val="18"/>
        </w:rPr>
      </w:pPr>
    </w:p>
    <w:p w14:paraId="1AD33F9A" w14:textId="77777777" w:rsidR="00A7646E" w:rsidRDefault="00A7646E"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4E02A366" w14:textId="1E2B92CB" w:rsidR="000A6914" w:rsidRDefault="000A6914" w:rsidP="0082707D">
      <w:pPr>
        <w:pStyle w:val="Sangradetextonormal"/>
        <w:rPr>
          <w:rFonts w:ascii="Poppins" w:hAnsi="Poppins" w:cs="Poppins"/>
          <w:sz w:val="18"/>
          <w:szCs w:val="18"/>
        </w:rPr>
      </w:pPr>
    </w:p>
    <w:p w14:paraId="7A306086" w14:textId="73343C9C" w:rsidR="00486D16" w:rsidRDefault="00486D16" w:rsidP="0082707D">
      <w:pPr>
        <w:pStyle w:val="Sangradetextonormal"/>
        <w:rPr>
          <w:rFonts w:ascii="Poppins" w:hAnsi="Poppins" w:cs="Poppins"/>
          <w:sz w:val="18"/>
          <w:szCs w:val="18"/>
        </w:rPr>
      </w:pPr>
    </w:p>
    <w:p w14:paraId="3606290E" w14:textId="77777777" w:rsidR="009C7995" w:rsidRDefault="009C7995" w:rsidP="0082707D">
      <w:pPr>
        <w:pStyle w:val="Sangradetextonormal"/>
        <w:rPr>
          <w:rFonts w:ascii="Poppins" w:hAnsi="Poppins" w:cs="Poppins"/>
          <w:sz w:val="18"/>
          <w:szCs w:val="18"/>
        </w:rPr>
      </w:pPr>
    </w:p>
    <w:p w14:paraId="2756A4A5" w14:textId="15CEE348" w:rsidR="00486D16" w:rsidRDefault="00486D16" w:rsidP="0082707D">
      <w:pPr>
        <w:pStyle w:val="Sangradetextonormal"/>
        <w:rPr>
          <w:rFonts w:ascii="Poppins" w:hAnsi="Poppins" w:cs="Poppins"/>
          <w:sz w:val="18"/>
          <w:szCs w:val="18"/>
        </w:rPr>
      </w:pPr>
    </w:p>
    <w:p w14:paraId="3CF209FD" w14:textId="77777777" w:rsidR="00D176B1" w:rsidRDefault="00D176B1"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0D64364A" w14:textId="58836463" w:rsidR="00486D16" w:rsidRDefault="00486D16" w:rsidP="0082707D">
      <w:pPr>
        <w:pStyle w:val="Sangradetextonormal"/>
        <w:rPr>
          <w:rFonts w:ascii="Poppins" w:hAnsi="Poppins" w:cs="Poppins"/>
          <w:sz w:val="18"/>
          <w:szCs w:val="18"/>
        </w:rPr>
      </w:pPr>
    </w:p>
    <w:p w14:paraId="43AF09F3" w14:textId="2D1D7CE8" w:rsidR="00486D16" w:rsidRDefault="00486D16" w:rsidP="0082707D">
      <w:pPr>
        <w:pStyle w:val="Sangradetextonormal"/>
        <w:rPr>
          <w:rFonts w:ascii="Poppins" w:hAnsi="Poppins" w:cs="Poppins"/>
          <w:sz w:val="18"/>
          <w:szCs w:val="18"/>
        </w:rPr>
      </w:pPr>
    </w:p>
    <w:p w14:paraId="5F4D8AA6" w14:textId="3CCCEF40" w:rsidR="00486D16" w:rsidRDefault="00486D16"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58031250"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8A0B48">
        <w:rPr>
          <w:rFonts w:ascii="Poppins" w:hAnsi="Poppins" w:cs="Poppins"/>
          <w:sz w:val="18"/>
          <w:szCs w:val="18"/>
        </w:rPr>
        <w:t>13</w:t>
      </w:r>
      <w:r w:rsidR="00E7305B">
        <w:rPr>
          <w:rFonts w:ascii="Poppins" w:hAnsi="Poppins" w:cs="Poppins"/>
          <w:sz w:val="18"/>
          <w:szCs w:val="18"/>
        </w:rPr>
        <w:t>/</w:t>
      </w:r>
      <w:r w:rsidR="006B489A">
        <w:rPr>
          <w:rFonts w:ascii="Poppins" w:hAnsi="Poppins" w:cs="Poppins"/>
          <w:sz w:val="18"/>
          <w:szCs w:val="18"/>
        </w:rPr>
        <w:t>0</w:t>
      </w:r>
      <w:r w:rsidR="00E8465A">
        <w:rPr>
          <w:rFonts w:ascii="Poppins" w:hAnsi="Poppins" w:cs="Poppins"/>
          <w:sz w:val="18"/>
          <w:szCs w:val="18"/>
        </w:rPr>
        <w:t>2</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A7646E">
        <w:rPr>
          <w:rFonts w:ascii="Poppins" w:hAnsi="Poppins" w:cs="Poppins"/>
          <w:sz w:val="18"/>
          <w:szCs w:val="18"/>
        </w:rPr>
        <w:t>2</w:t>
      </w:r>
      <w:r w:rsidR="008A0B48">
        <w:rPr>
          <w:rFonts w:ascii="Poppins" w:hAnsi="Poppins" w:cs="Poppins"/>
          <w:sz w:val="18"/>
          <w:szCs w:val="18"/>
        </w:rPr>
        <w:t>7</w:t>
      </w:r>
      <w:r w:rsidR="00336251" w:rsidRPr="0096213B">
        <w:rPr>
          <w:rFonts w:ascii="Poppins" w:hAnsi="Poppins" w:cs="Poppins"/>
          <w:sz w:val="18"/>
          <w:szCs w:val="18"/>
        </w:rPr>
        <w:t>/</w:t>
      </w:r>
      <w:r w:rsidR="005151B0">
        <w:rPr>
          <w:rFonts w:ascii="Poppins" w:hAnsi="Poppins" w:cs="Poppins"/>
          <w:sz w:val="18"/>
          <w:szCs w:val="18"/>
        </w:rPr>
        <w:t>0</w:t>
      </w:r>
      <w:r w:rsidR="00B66A52">
        <w:rPr>
          <w:rFonts w:ascii="Poppins" w:hAnsi="Poppins" w:cs="Poppins"/>
          <w:sz w:val="18"/>
          <w:szCs w:val="18"/>
        </w:rPr>
        <w:t>2</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0586BB0B"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8A0B48">
        <w:rPr>
          <w:rFonts w:ascii="Poppins" w:hAnsi="Poppins" w:cs="Poppins"/>
          <w:b/>
          <w:bCs/>
          <w:i/>
          <w:sz w:val="18"/>
          <w:szCs w:val="18"/>
          <w:lang w:eastAsia="es-PE"/>
        </w:rPr>
        <w:t>02</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8A0B48">
        <w:rPr>
          <w:rFonts w:ascii="Poppins" w:hAnsi="Poppins" w:cs="Poppins"/>
          <w:b/>
          <w:bCs/>
          <w:i/>
          <w:sz w:val="18"/>
          <w:szCs w:val="18"/>
          <w:lang w:eastAsia="es-PE"/>
        </w:rPr>
        <w:t>3</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5151B0">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1A558330" w:rsidR="00A86191" w:rsidRPr="0096213B" w:rsidRDefault="008A0B48"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20B047AC" wp14:editId="630073C4">
            <wp:extent cx="5471367" cy="309562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89127" cy="3105673"/>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3E9631E6" w:rsidR="00E812D9"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8A0B48">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D0670D">
        <w:rPr>
          <w:rFonts w:ascii="Poppins" w:hAnsi="Poppins" w:cs="Poppins"/>
          <w:sz w:val="18"/>
          <w:szCs w:val="18"/>
        </w:rPr>
        <w:t>2</w:t>
      </w:r>
      <w:r w:rsidR="00893F38" w:rsidRPr="0096213B">
        <w:rPr>
          <w:rFonts w:ascii="Poppins" w:hAnsi="Poppins" w:cs="Poppins"/>
          <w:sz w:val="18"/>
          <w:szCs w:val="18"/>
        </w:rPr>
        <w:t xml:space="preserve">% y </w:t>
      </w:r>
      <w:r w:rsidRPr="0096213B">
        <w:rPr>
          <w:rFonts w:ascii="Poppins" w:hAnsi="Poppins" w:cs="Poppins"/>
          <w:sz w:val="18"/>
          <w:szCs w:val="18"/>
        </w:rPr>
        <w:t>9</w:t>
      </w:r>
      <w:r w:rsidR="00C30EC5">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1577F7">
        <w:rPr>
          <w:rFonts w:ascii="Poppins" w:hAnsi="Poppins" w:cs="Poppins"/>
          <w:sz w:val="18"/>
          <w:szCs w:val="18"/>
        </w:rPr>
        <w:t>7</w:t>
      </w:r>
      <w:r w:rsidR="008A0B48">
        <w:rPr>
          <w:rFonts w:ascii="Poppins" w:hAnsi="Poppins" w:cs="Poppins"/>
          <w:sz w:val="18"/>
          <w:szCs w:val="18"/>
        </w:rPr>
        <w:t>8</w:t>
      </w:r>
      <w:r w:rsidR="00282C40">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D0670D">
        <w:rPr>
          <w:rFonts w:ascii="Poppins" w:hAnsi="Poppins" w:cs="Poppins"/>
          <w:sz w:val="18"/>
          <w:szCs w:val="18"/>
        </w:rPr>
        <w:t>4</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42563B90"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8A0B48">
        <w:rPr>
          <w:rFonts w:ascii="Poppins" w:hAnsi="Poppins" w:cs="Poppins"/>
          <w:sz w:val="18"/>
          <w:szCs w:val="18"/>
        </w:rPr>
        <w:t>02</w:t>
      </w:r>
      <w:r w:rsidR="00F07057">
        <w:rPr>
          <w:rFonts w:ascii="Poppins" w:hAnsi="Poppins" w:cs="Poppins"/>
          <w:sz w:val="18"/>
          <w:szCs w:val="18"/>
        </w:rPr>
        <w:t xml:space="preserve"> </w:t>
      </w:r>
      <w:r w:rsidRPr="0096213B">
        <w:rPr>
          <w:rFonts w:ascii="Poppins" w:hAnsi="Poppins" w:cs="Poppins"/>
          <w:sz w:val="18"/>
          <w:szCs w:val="18"/>
        </w:rPr>
        <w:t xml:space="preserve">de </w:t>
      </w:r>
      <w:r w:rsidR="008A0B48">
        <w:rPr>
          <w:rFonts w:ascii="Poppins" w:hAnsi="Poppins" w:cs="Poppins"/>
          <w:sz w:val="18"/>
          <w:szCs w:val="18"/>
        </w:rPr>
        <w:t>marz</w:t>
      </w:r>
      <w:r w:rsidR="00EF32FA">
        <w:rPr>
          <w:rFonts w:ascii="Poppins" w:hAnsi="Poppins" w:cs="Poppins"/>
          <w:sz w:val="18"/>
          <w:szCs w:val="18"/>
        </w:rPr>
        <w:t>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6474DB8F"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3E21FC">
        <w:rPr>
          <w:rFonts w:ascii="Poppins" w:hAnsi="Poppins" w:cs="Poppins"/>
          <w:sz w:val="18"/>
          <w:szCs w:val="18"/>
        </w:rPr>
        <w:t>8</w:t>
      </w:r>
      <w:r w:rsidR="00A33C99" w:rsidRPr="0096213B">
        <w:rPr>
          <w:rFonts w:ascii="Poppins" w:hAnsi="Poppins" w:cs="Poppins"/>
          <w:sz w:val="18"/>
          <w:szCs w:val="18"/>
        </w:rPr>
        <w:t>,</w:t>
      </w:r>
      <w:r w:rsidR="003E21FC">
        <w:rPr>
          <w:rFonts w:ascii="Poppins" w:hAnsi="Poppins" w:cs="Poppins"/>
          <w:sz w:val="18"/>
          <w:szCs w:val="18"/>
        </w:rPr>
        <w:t>64</w:t>
      </w:r>
      <w:r w:rsidR="00A33C99" w:rsidRPr="0096213B">
        <w:rPr>
          <w:rFonts w:ascii="Poppins" w:hAnsi="Poppins" w:cs="Poppins"/>
          <w:sz w:val="18"/>
          <w:szCs w:val="18"/>
        </w:rPr>
        <w:t xml:space="preserve"> cent$/galón equivalente a </w:t>
      </w:r>
      <w:r w:rsidR="003E21FC">
        <w:rPr>
          <w:rFonts w:ascii="Poppins" w:hAnsi="Poppins" w:cs="Poppins"/>
          <w:sz w:val="18"/>
          <w:szCs w:val="18"/>
        </w:rPr>
        <w:t>3</w:t>
      </w:r>
      <w:r w:rsidR="00A33C99" w:rsidRPr="0096213B">
        <w:rPr>
          <w:rFonts w:ascii="Poppins" w:hAnsi="Poppins" w:cs="Poppins"/>
          <w:sz w:val="18"/>
          <w:szCs w:val="18"/>
        </w:rPr>
        <w:t>,</w:t>
      </w:r>
      <w:r w:rsidR="003E21FC">
        <w:rPr>
          <w:rFonts w:ascii="Poppins" w:hAnsi="Poppins" w:cs="Poppins"/>
          <w:sz w:val="18"/>
          <w:szCs w:val="18"/>
        </w:rPr>
        <w:t>63</w:t>
      </w:r>
      <w:r w:rsidR="00A33C99" w:rsidRPr="0096213B">
        <w:rPr>
          <w:rFonts w:ascii="Poppins" w:hAnsi="Poppins" w:cs="Poppins"/>
          <w:sz w:val="18"/>
          <w:szCs w:val="18"/>
        </w:rPr>
        <w:t xml:space="preserve"> US$/Bl.</w:t>
      </w:r>
    </w:p>
    <w:p w14:paraId="6ADD84E1" w14:textId="77777777" w:rsidR="00E60C43" w:rsidRPr="00EE493C" w:rsidRDefault="00E60C43" w:rsidP="00E812D9">
      <w:pPr>
        <w:pStyle w:val="Prrafodelista"/>
        <w:ind w:left="426" w:hanging="426"/>
        <w:jc w:val="center"/>
        <w:rPr>
          <w:rFonts w:ascii="Poppins" w:hAnsi="Poppins" w:cs="Poppins"/>
          <w:sz w:val="18"/>
          <w:szCs w:val="18"/>
          <w:lang w:val="es-PE"/>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5B4EE898"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3E21FC">
        <w:rPr>
          <w:rFonts w:ascii="Poppins" w:hAnsi="Poppins" w:cs="Poppins"/>
          <w:sz w:val="18"/>
          <w:szCs w:val="18"/>
        </w:rPr>
        <w:t>9</w:t>
      </w:r>
      <w:r w:rsidR="00E0028D">
        <w:rPr>
          <w:rFonts w:ascii="Poppins" w:hAnsi="Poppins" w:cs="Poppins"/>
          <w:sz w:val="18"/>
          <w:szCs w:val="18"/>
        </w:rPr>
        <w:t>,</w:t>
      </w:r>
      <w:r w:rsidR="003E21FC">
        <w:rPr>
          <w:rFonts w:ascii="Poppins" w:hAnsi="Poppins" w:cs="Poppins"/>
          <w:sz w:val="18"/>
          <w:szCs w:val="18"/>
        </w:rPr>
        <w:t>28</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452D43B0"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BF1449">
        <w:rPr>
          <w:rFonts w:ascii="Poppins" w:hAnsi="Poppins" w:cs="Poppins"/>
          <w:sz w:val="18"/>
          <w:szCs w:val="18"/>
        </w:rPr>
        <w:t>2</w:t>
      </w:r>
      <w:r w:rsidR="00336251" w:rsidRPr="0096213B">
        <w:rPr>
          <w:rFonts w:ascii="Poppins" w:hAnsi="Poppins" w:cs="Poppins"/>
          <w:sz w:val="18"/>
          <w:szCs w:val="18"/>
        </w:rPr>
        <w:t>,</w:t>
      </w:r>
      <w:r w:rsidR="001577F7">
        <w:rPr>
          <w:rFonts w:ascii="Poppins" w:hAnsi="Poppins" w:cs="Poppins"/>
          <w:sz w:val="18"/>
          <w:szCs w:val="18"/>
        </w:rPr>
        <w:t>1</w:t>
      </w:r>
      <w:r w:rsidR="00CE1695">
        <w:rPr>
          <w:rFonts w:ascii="Poppins" w:hAnsi="Poppins" w:cs="Poppins"/>
          <w:sz w:val="18"/>
          <w:szCs w:val="18"/>
        </w:rPr>
        <w:t>2</w:t>
      </w:r>
      <w:r w:rsidRPr="0096213B">
        <w:rPr>
          <w:rFonts w:ascii="Poppins" w:hAnsi="Poppins" w:cs="Poppins"/>
          <w:sz w:val="18"/>
          <w:szCs w:val="18"/>
        </w:rPr>
        <w:t xml:space="preserve"> US$/Bl para la Gasolina Premium y un ajuste de </w:t>
      </w:r>
      <w:r w:rsidR="007878B1">
        <w:rPr>
          <w:rFonts w:ascii="Poppins" w:hAnsi="Poppins" w:cs="Poppins"/>
          <w:sz w:val="18"/>
          <w:szCs w:val="18"/>
        </w:rPr>
        <w:t>1</w:t>
      </w:r>
      <w:r w:rsidR="00513E2B" w:rsidRPr="0096213B">
        <w:rPr>
          <w:rFonts w:ascii="Poppins" w:hAnsi="Poppins" w:cs="Poppins"/>
          <w:sz w:val="18"/>
          <w:szCs w:val="18"/>
        </w:rPr>
        <w:t>,</w:t>
      </w:r>
      <w:r w:rsidR="001577F7">
        <w:rPr>
          <w:rFonts w:ascii="Poppins" w:hAnsi="Poppins" w:cs="Poppins"/>
          <w:sz w:val="18"/>
          <w:szCs w:val="18"/>
        </w:rPr>
        <w:t>7</w:t>
      </w:r>
      <w:r w:rsidR="00CE1695">
        <w:rPr>
          <w:rFonts w:ascii="Poppins" w:hAnsi="Poppins" w:cs="Poppins"/>
          <w:sz w:val="18"/>
          <w:szCs w:val="18"/>
        </w:rPr>
        <w:t>5</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5D67782C"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354C69">
        <w:rPr>
          <w:rFonts w:ascii="Poppins" w:hAnsi="Poppins" w:cs="Poppins"/>
          <w:sz w:val="18"/>
          <w:szCs w:val="18"/>
        </w:rPr>
        <w:t>17</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110925">
        <w:rPr>
          <w:rFonts w:ascii="Poppins" w:hAnsi="Poppins" w:cs="Poppins"/>
          <w:sz w:val="18"/>
          <w:szCs w:val="18"/>
        </w:rPr>
        <w:t>6</w:t>
      </w:r>
      <w:r w:rsidR="008508AE">
        <w:rPr>
          <w:rFonts w:ascii="Poppins" w:hAnsi="Poppins" w:cs="Poppins"/>
          <w:sz w:val="18"/>
          <w:szCs w:val="18"/>
        </w:rPr>
        <w:t>,</w:t>
      </w:r>
      <w:r w:rsidR="00354C69">
        <w:rPr>
          <w:rFonts w:ascii="Poppins" w:hAnsi="Poppins" w:cs="Poppins"/>
          <w:sz w:val="18"/>
          <w:szCs w:val="18"/>
        </w:rPr>
        <w:t>28</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033E60BD"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354C69">
        <w:rPr>
          <w:rFonts w:ascii="Poppins" w:hAnsi="Poppins" w:cs="Poppins"/>
          <w:sz w:val="18"/>
          <w:szCs w:val="18"/>
        </w:rPr>
        <w:t>9</w:t>
      </w:r>
      <w:r w:rsidR="00110925">
        <w:rPr>
          <w:rFonts w:ascii="Poppins" w:hAnsi="Poppins" w:cs="Poppins"/>
          <w:sz w:val="18"/>
          <w:szCs w:val="18"/>
        </w:rPr>
        <w:t>,</w:t>
      </w:r>
      <w:r w:rsidR="00354C69">
        <w:rPr>
          <w:rFonts w:ascii="Poppins" w:hAnsi="Poppins" w:cs="Poppins"/>
          <w:sz w:val="18"/>
          <w:szCs w:val="18"/>
        </w:rPr>
        <w:t>28</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501C1F0C"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BF1449">
        <w:rPr>
          <w:rFonts w:ascii="Poppins" w:hAnsi="Poppins" w:cs="Poppins"/>
          <w:bCs/>
          <w:sz w:val="18"/>
          <w:szCs w:val="18"/>
        </w:rPr>
        <w:t>1</w:t>
      </w:r>
      <w:r w:rsidRPr="004C5B09">
        <w:rPr>
          <w:rFonts w:ascii="Poppins" w:hAnsi="Poppins" w:cs="Poppins"/>
          <w:bCs/>
          <w:sz w:val="18"/>
          <w:szCs w:val="18"/>
        </w:rPr>
        <w:t>,</w:t>
      </w:r>
      <w:r w:rsidR="00773F6E">
        <w:rPr>
          <w:rFonts w:ascii="Poppins" w:hAnsi="Poppins" w:cs="Poppins"/>
          <w:bCs/>
          <w:sz w:val="18"/>
          <w:szCs w:val="18"/>
        </w:rPr>
        <w:t>8</w:t>
      </w:r>
      <w:r w:rsidR="00A64753">
        <w:rPr>
          <w:rFonts w:ascii="Poppins" w:hAnsi="Poppins" w:cs="Poppins"/>
          <w:bCs/>
          <w:sz w:val="18"/>
          <w:szCs w:val="18"/>
        </w:rPr>
        <w:t>2</w:t>
      </w:r>
      <w:r w:rsidRPr="004C5B09">
        <w:rPr>
          <w:rFonts w:ascii="Poppins" w:hAnsi="Poppins" w:cs="Poppins"/>
          <w:bCs/>
          <w:sz w:val="18"/>
          <w:szCs w:val="18"/>
        </w:rPr>
        <w:t xml:space="preserve"> </w:t>
      </w:r>
      <w:r w:rsidR="00B42047" w:rsidRPr="004C5B09">
        <w:rPr>
          <w:rFonts w:ascii="Poppins" w:hAnsi="Poppins" w:cs="Poppins"/>
          <w:bCs/>
          <w:sz w:val="18"/>
          <w:szCs w:val="18"/>
        </w:rPr>
        <w:t>US$/Bl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57EF5702"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FE2C6C">
        <w:rPr>
          <w:rFonts w:ascii="Poppins" w:hAnsi="Poppins" w:cs="Poppins"/>
          <w:sz w:val="18"/>
          <w:szCs w:val="18"/>
        </w:rPr>
        <w:t>0</w:t>
      </w:r>
      <w:r w:rsidR="00F66E81" w:rsidRPr="0096213B">
        <w:rPr>
          <w:rFonts w:ascii="Poppins" w:hAnsi="Poppins" w:cs="Poppins"/>
          <w:sz w:val="18"/>
          <w:szCs w:val="18"/>
        </w:rPr>
        <w:t>,</w:t>
      </w:r>
      <w:r w:rsidR="00354C69">
        <w:rPr>
          <w:rFonts w:ascii="Poppins" w:hAnsi="Poppins" w:cs="Poppins"/>
          <w:sz w:val="18"/>
          <w:szCs w:val="18"/>
        </w:rPr>
        <w:t>55</w:t>
      </w:r>
      <w:r w:rsidR="00BF1449">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253EE980"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B11640">
        <w:rPr>
          <w:rFonts w:ascii="Poppins" w:hAnsi="Poppins" w:cs="Poppins"/>
          <w:sz w:val="18"/>
          <w:szCs w:val="18"/>
          <w:lang w:eastAsia="en-US"/>
        </w:rPr>
        <w:t>29</w:t>
      </w:r>
      <w:r w:rsidR="002C3713" w:rsidRPr="00881E39">
        <w:rPr>
          <w:rFonts w:ascii="Poppins" w:hAnsi="Poppins" w:cs="Poppins"/>
          <w:sz w:val="18"/>
          <w:szCs w:val="18"/>
          <w:lang w:eastAsia="en-US"/>
        </w:rPr>
        <w:t xml:space="preserve"> US$/Bl</w:t>
      </w:r>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1577F7">
        <w:rPr>
          <w:rFonts w:ascii="Poppins" w:hAnsi="Poppins" w:cs="Poppins"/>
          <w:sz w:val="18"/>
          <w:szCs w:val="18"/>
          <w:lang w:eastAsia="en-US"/>
        </w:rPr>
        <w:t>4</w:t>
      </w:r>
      <w:r w:rsidR="00354C69">
        <w:rPr>
          <w:rFonts w:ascii="Poppins" w:hAnsi="Poppins" w:cs="Poppins"/>
          <w:sz w:val="18"/>
          <w:szCs w:val="18"/>
          <w:lang w:eastAsia="en-US"/>
        </w:rPr>
        <w:t>4</w:t>
      </w:r>
      <w:r w:rsidR="002C3713" w:rsidRPr="00881E39">
        <w:rPr>
          <w:rFonts w:ascii="Poppins" w:hAnsi="Poppins" w:cs="Poppins"/>
          <w:sz w:val="18"/>
          <w:szCs w:val="18"/>
          <w:lang w:eastAsia="en-US"/>
        </w:rPr>
        <w:t xml:space="preserve"> US$/Bl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1577F7">
        <w:rPr>
          <w:rFonts w:ascii="Poppins" w:hAnsi="Poppins" w:cs="Poppins"/>
          <w:sz w:val="18"/>
          <w:szCs w:val="18"/>
          <w:lang w:eastAsia="en-US"/>
        </w:rPr>
        <w:t>3</w:t>
      </w:r>
      <w:r w:rsidR="00354C69">
        <w:rPr>
          <w:rFonts w:ascii="Poppins" w:hAnsi="Poppins" w:cs="Poppins"/>
          <w:sz w:val="18"/>
          <w:szCs w:val="18"/>
          <w:lang w:eastAsia="en-US"/>
        </w:rPr>
        <w:t>7</w:t>
      </w:r>
      <w:r w:rsidR="002C3713" w:rsidRPr="00881E39">
        <w:rPr>
          <w:rFonts w:ascii="Poppins" w:hAnsi="Poppins" w:cs="Poppins"/>
          <w:sz w:val="18"/>
          <w:szCs w:val="18"/>
          <w:lang w:eastAsia="en-US"/>
        </w:rPr>
        <w:t xml:space="preserve"> US$/</w:t>
      </w:r>
      <w:r w:rsidR="002C3713" w:rsidRPr="00A3027B">
        <w:rPr>
          <w:rFonts w:ascii="Poppins" w:hAnsi="Poppins" w:cs="Poppins"/>
          <w:sz w:val="18"/>
          <w:szCs w:val="18"/>
          <w:lang w:eastAsia="en-US"/>
        </w:rPr>
        <w:t>Bl</w:t>
      </w:r>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7"/>
          <w:footerReference w:type="default" r:id="rId18"/>
          <w:headerReference w:type="first" r:id="rId19"/>
          <w:footerReference w:type="first" r:id="rId20"/>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US$/Bl),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TABLA N°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71232621" w:rsidR="006B489A" w:rsidRDefault="0076591B" w:rsidP="00352553">
            <w:pPr>
              <w:rPr>
                <w:rFonts w:ascii="Poppins" w:hAnsi="Poppins" w:cs="Poppins"/>
                <w:i/>
                <w:iCs/>
                <w:sz w:val="14"/>
                <w:szCs w:val="14"/>
                <w:lang w:val="es-MX" w:eastAsia="en-US"/>
              </w:rPr>
            </w:pPr>
            <w:r w:rsidRPr="0076591B">
              <w:rPr>
                <w:rFonts w:ascii="Poppins" w:hAnsi="Poppins" w:cs="Poppins"/>
                <w:i/>
                <w:iCs/>
                <w:sz w:val="14"/>
                <w:szCs w:val="14"/>
                <w:lang w:val="es-MX" w:eastAsia="en-US"/>
              </w:rPr>
              <w:t xml:space="preserve"> </w:t>
            </w:r>
            <w:r w:rsidR="00ED5E9C" w:rsidRPr="00ED5E9C">
              <w:rPr>
                <w:rFonts w:ascii="Poppins" w:hAnsi="Poppins" w:cs="Poppins"/>
                <w:i/>
                <w:iCs/>
                <w:noProof/>
                <w:sz w:val="14"/>
                <w:szCs w:val="14"/>
                <w:lang w:val="es-MX" w:eastAsia="en-US"/>
              </w:rPr>
              <w:drawing>
                <wp:inline distT="0" distB="0" distL="0" distR="0" wp14:anchorId="7B9B2CA7" wp14:editId="7F801E9B">
                  <wp:extent cx="8172450" cy="3000375"/>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172450" cy="3000375"/>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2"/>
          <w:headerReference w:type="first" r:id="rId23"/>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2446C2B7" w:rsidR="000F7442" w:rsidRPr="0096213B" w:rsidRDefault="00867756" w:rsidP="000F7442">
            <w:pPr>
              <w:jc w:val="center"/>
              <w:rPr>
                <w:rFonts w:ascii="Poppins" w:hAnsi="Poppins" w:cs="Poppins"/>
                <w:sz w:val="8"/>
                <w:szCs w:val="20"/>
              </w:rPr>
            </w:pPr>
            <w:r w:rsidRPr="00867756">
              <w:rPr>
                <w:rFonts w:ascii="Poppins" w:hAnsi="Poppins" w:cs="Poppins"/>
                <w:noProof/>
                <w:sz w:val="8"/>
                <w:szCs w:val="20"/>
              </w:rPr>
              <w:drawing>
                <wp:inline distT="0" distB="0" distL="0" distR="0" wp14:anchorId="2E2149EE" wp14:editId="378FD763">
                  <wp:extent cx="3562350" cy="283845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2350" cy="283845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2CD9FA70" w:rsidR="00EF3BE9" w:rsidRPr="0096213B" w:rsidRDefault="00867756"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34483DA7" wp14:editId="3973FB82">
                  <wp:extent cx="5483860" cy="3000297"/>
                  <wp:effectExtent l="0" t="0" r="254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01393" cy="3009890"/>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TABLA N° 3</w:t>
      </w:r>
      <w:r w:rsidR="00354689" w:rsidRPr="000345D7">
        <w:rPr>
          <w:rFonts w:ascii="Poppins" w:hAnsi="Poppins" w:cs="Poppins"/>
          <w:i/>
          <w:sz w:val="16"/>
          <w:szCs w:val="16"/>
        </w:rPr>
        <w:t>: Diferencia entre Precios de Referencia de Combustibles vs Precios de Venta PETROPERU</w:t>
      </w:r>
    </w:p>
    <w:p w14:paraId="7BD435A3" w14:textId="1B5E2267" w:rsidR="00551F16" w:rsidRPr="0096213B" w:rsidRDefault="00867756"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867756">
        <w:drawing>
          <wp:inline distT="0" distB="0" distL="0" distR="0" wp14:anchorId="2DACC80A" wp14:editId="44B1D867">
            <wp:extent cx="5665261" cy="2347595"/>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67527" cy="2348534"/>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GRAFICA Nº</w:t>
      </w:r>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70D53B68" w:rsidR="00F70B88" w:rsidRDefault="00867756" w:rsidP="00604758">
      <w:pPr>
        <w:spacing w:line="0" w:lineRule="atLeast"/>
        <w:ind w:right="-567"/>
        <w:jc w:val="both"/>
        <w:rPr>
          <w:rFonts w:ascii="Poppins" w:hAnsi="Poppins" w:cs="Poppins"/>
          <w:noProof/>
          <w:sz w:val="20"/>
          <w:szCs w:val="20"/>
        </w:rPr>
      </w:pPr>
      <w:r w:rsidRPr="00867756">
        <w:drawing>
          <wp:inline distT="0" distB="0" distL="0" distR="0" wp14:anchorId="7F8CAF15" wp14:editId="7F9F99C0">
            <wp:extent cx="5850255" cy="2200275"/>
            <wp:effectExtent l="0" t="0" r="0" b="952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0255" cy="2200275"/>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7043A072" w14:textId="0A27A1A6" w:rsidR="00EE3E05" w:rsidRPr="0096213B" w:rsidRDefault="00EE3E05" w:rsidP="006220EA">
      <w:pPr>
        <w:jc w:val="both"/>
        <w:rPr>
          <w:rFonts w:ascii="Poppins" w:hAnsi="Poppins" w:cs="Poppins"/>
          <w:i/>
          <w:sz w:val="12"/>
          <w:szCs w:val="12"/>
        </w:rPr>
      </w:pPr>
      <w:r>
        <w:rPr>
          <w:rFonts w:ascii="Poppins" w:hAnsi="Poppins" w:cs="Poppins"/>
          <w:i/>
          <w:iCs/>
          <w:sz w:val="12"/>
          <w:szCs w:val="12"/>
        </w:rPr>
        <w:t xml:space="preserve">* </w:t>
      </w:r>
      <w:r w:rsidR="00BF1449">
        <w:rPr>
          <w:rFonts w:ascii="Poppins" w:hAnsi="Poppins" w:cs="Poppins"/>
          <w:i/>
          <w:iCs/>
          <w:sz w:val="12"/>
          <w:szCs w:val="12"/>
        </w:rPr>
        <w:t xml:space="preserve">Durante enero </w:t>
      </w:r>
      <w:r>
        <w:rPr>
          <w:rFonts w:ascii="Poppins" w:hAnsi="Poppins" w:cs="Poppins"/>
          <w:i/>
          <w:iCs/>
          <w:sz w:val="12"/>
          <w:szCs w:val="12"/>
        </w:rPr>
        <w:t>de 2026 no publicó precio para el GLP</w:t>
      </w: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GRAFICA Nº</w:t>
      </w:r>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4BAD9088" w:rsidR="00127A54" w:rsidRPr="0096213B" w:rsidRDefault="00F317E8" w:rsidP="006220EA">
      <w:pPr>
        <w:rPr>
          <w:rFonts w:ascii="Poppins" w:hAnsi="Poppins" w:cs="Poppins"/>
          <w:i/>
          <w:sz w:val="14"/>
          <w:szCs w:val="14"/>
        </w:rPr>
      </w:pPr>
      <w:r w:rsidRPr="00F317E8">
        <w:rPr>
          <w:noProof/>
        </w:rPr>
        <w:drawing>
          <wp:inline distT="0" distB="0" distL="0" distR="0" wp14:anchorId="6A5702D0" wp14:editId="674F12DF">
            <wp:extent cx="5850255" cy="7117080"/>
            <wp:effectExtent l="0" t="0" r="0" b="762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0255" cy="7117080"/>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32C18741" w:rsidR="005048C1" w:rsidRPr="0096213B" w:rsidRDefault="00F91202" w:rsidP="005048C1">
      <w:pPr>
        <w:jc w:val="both"/>
        <w:rPr>
          <w:rFonts w:ascii="Poppins" w:hAnsi="Poppins" w:cs="Poppins"/>
          <w:i/>
          <w:iCs/>
          <w:sz w:val="12"/>
          <w:szCs w:val="12"/>
        </w:rPr>
      </w:pPr>
      <w:r>
        <w:t xml:space="preserve">                       </w:t>
      </w:r>
      <w:r w:rsidR="00F317E8" w:rsidRPr="00F317E8">
        <w:rPr>
          <w:noProof/>
        </w:rPr>
        <w:drawing>
          <wp:inline distT="0" distB="0" distL="0" distR="0" wp14:anchorId="581EA51C" wp14:editId="3427D8B6">
            <wp:extent cx="5849867" cy="6332088"/>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2123" cy="633453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099F2984" w:rsidR="00812956" w:rsidRDefault="00867756" w:rsidP="00842A58">
      <w:pPr>
        <w:pStyle w:val="xl37"/>
        <w:tabs>
          <w:tab w:val="left" w:pos="180"/>
        </w:tabs>
        <w:spacing w:before="0" w:beforeAutospacing="0" w:after="0" w:afterAutospacing="0"/>
        <w:jc w:val="center"/>
        <w:rPr>
          <w:noProof/>
        </w:rPr>
      </w:pPr>
      <w:r>
        <w:rPr>
          <w:noProof/>
        </w:rPr>
        <w:drawing>
          <wp:inline distT="0" distB="0" distL="0" distR="0" wp14:anchorId="5C1D3D1D" wp14:editId="40719A36">
            <wp:extent cx="4220815" cy="2949336"/>
            <wp:effectExtent l="0" t="0" r="8890" b="381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39969" cy="2962720"/>
                    </a:xfrm>
                    <a:prstGeom prst="rect">
                      <a:avLst/>
                    </a:prstGeom>
                    <a:noFill/>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6CF9C392" w:rsidR="001307B8" w:rsidRPr="00A149FB" w:rsidRDefault="00356BB0"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r w:rsidRPr="00356BB0">
        <w:drawing>
          <wp:inline distT="0" distB="0" distL="0" distR="0" wp14:anchorId="44D0B4F2" wp14:editId="7F3959D8">
            <wp:extent cx="4307722" cy="3072402"/>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316871" cy="3078927"/>
                    </a:xfrm>
                    <a:prstGeom prst="rect">
                      <a:avLst/>
                    </a:prstGeom>
                  </pic:spPr>
                </pic:pic>
              </a:graphicData>
            </a:graphic>
          </wp:inline>
        </w:drawing>
      </w: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2B383E03" w:rsidR="006C0944" w:rsidRDefault="006C0944" w:rsidP="00373E46">
      <w:pPr>
        <w:pStyle w:val="xl37"/>
        <w:tabs>
          <w:tab w:val="left" w:pos="180"/>
        </w:tabs>
        <w:spacing w:before="0" w:beforeAutospacing="0" w:after="0" w:afterAutospacing="0"/>
        <w:jc w:val="center"/>
        <w:rPr>
          <w:noProof/>
        </w:rPr>
      </w:pPr>
    </w:p>
    <w:p w14:paraId="27AFB350" w14:textId="7C5A3F48" w:rsidR="000B7DDE" w:rsidRDefault="000B7DDE" w:rsidP="00373E46">
      <w:pPr>
        <w:pStyle w:val="xl37"/>
        <w:tabs>
          <w:tab w:val="left" w:pos="180"/>
        </w:tabs>
        <w:spacing w:before="0" w:beforeAutospacing="0" w:after="0" w:afterAutospacing="0"/>
        <w:jc w:val="center"/>
        <w:rPr>
          <w:noProof/>
        </w:rPr>
      </w:pPr>
    </w:p>
    <w:p w14:paraId="2D3AB8D3" w14:textId="77777777" w:rsidR="000B7DDE" w:rsidRDefault="000B7DDE"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5D6CC208" w14:textId="4492BD61" w:rsidR="00881591" w:rsidRDefault="00881591" w:rsidP="00373E46">
      <w:pPr>
        <w:pStyle w:val="xl37"/>
        <w:tabs>
          <w:tab w:val="left" w:pos="180"/>
        </w:tabs>
        <w:spacing w:before="0" w:beforeAutospacing="0" w:after="0" w:afterAutospacing="0"/>
        <w:jc w:val="center"/>
        <w:rPr>
          <w:noProof/>
        </w:rPr>
      </w:pPr>
    </w:p>
    <w:p w14:paraId="4C780AA7" w14:textId="77777777" w:rsidR="00356BB0" w:rsidRDefault="00356BB0" w:rsidP="00373E46">
      <w:pPr>
        <w:pStyle w:val="xl37"/>
        <w:tabs>
          <w:tab w:val="left" w:pos="180"/>
        </w:tabs>
        <w:spacing w:before="0" w:beforeAutospacing="0" w:after="0" w:afterAutospacing="0"/>
        <w:jc w:val="center"/>
        <w:rPr>
          <w:noProof/>
        </w:rPr>
      </w:pPr>
    </w:p>
    <w:p w14:paraId="71F4FA4D" w14:textId="1BDCCCE0" w:rsidR="006C0944" w:rsidRDefault="00356BB0" w:rsidP="00373E46">
      <w:pPr>
        <w:pStyle w:val="xl37"/>
        <w:tabs>
          <w:tab w:val="left" w:pos="180"/>
        </w:tabs>
        <w:spacing w:before="0" w:beforeAutospacing="0" w:after="0" w:afterAutospacing="0"/>
        <w:jc w:val="center"/>
        <w:rPr>
          <w:noProof/>
        </w:rPr>
      </w:pPr>
      <w:r>
        <w:rPr>
          <w:noProof/>
        </w:rPr>
        <w:drawing>
          <wp:inline distT="0" distB="0" distL="0" distR="0" wp14:anchorId="503D5EDB" wp14:editId="21C557FE">
            <wp:extent cx="4099409" cy="2928279"/>
            <wp:effectExtent l="0" t="0" r="0" b="571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06917" cy="2933642"/>
                    </a:xfrm>
                    <a:prstGeom prst="rect">
                      <a:avLst/>
                    </a:prstGeom>
                    <a:noFill/>
                  </pic:spPr>
                </pic:pic>
              </a:graphicData>
            </a:graphic>
          </wp:inline>
        </w:drawing>
      </w: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343D8F65" w:rsidR="00A62725" w:rsidRDefault="00A62725" w:rsidP="00BF0E9E">
      <w:pPr>
        <w:pStyle w:val="xl37"/>
        <w:tabs>
          <w:tab w:val="left" w:pos="180"/>
          <w:tab w:val="left" w:pos="1560"/>
          <w:tab w:val="left" w:pos="8222"/>
        </w:tabs>
        <w:spacing w:before="0" w:beforeAutospacing="0" w:after="0" w:afterAutospacing="0"/>
        <w:jc w:val="center"/>
        <w:rPr>
          <w:noProof/>
        </w:rPr>
      </w:pPr>
    </w:p>
    <w:p w14:paraId="38B2F0A8" w14:textId="43C72423" w:rsidR="00356BB0" w:rsidRDefault="00356BB0" w:rsidP="00BF0E9E">
      <w:pPr>
        <w:pStyle w:val="xl37"/>
        <w:tabs>
          <w:tab w:val="left" w:pos="180"/>
          <w:tab w:val="left" w:pos="1560"/>
          <w:tab w:val="left" w:pos="8222"/>
        </w:tabs>
        <w:spacing w:before="0" w:beforeAutospacing="0" w:after="0" w:afterAutospacing="0"/>
        <w:jc w:val="center"/>
        <w:rPr>
          <w:noProof/>
        </w:rPr>
      </w:pPr>
    </w:p>
    <w:p w14:paraId="49C23B04" w14:textId="77777777" w:rsidR="00356BB0" w:rsidRDefault="00356BB0" w:rsidP="00BF0E9E">
      <w:pPr>
        <w:pStyle w:val="xl37"/>
        <w:tabs>
          <w:tab w:val="left" w:pos="180"/>
          <w:tab w:val="left" w:pos="1560"/>
          <w:tab w:val="left" w:pos="8222"/>
        </w:tabs>
        <w:spacing w:before="0" w:beforeAutospacing="0" w:after="0" w:afterAutospacing="0"/>
        <w:jc w:val="center"/>
        <w:rPr>
          <w:noProof/>
        </w:rPr>
      </w:pPr>
    </w:p>
    <w:p w14:paraId="4426F80D" w14:textId="01913872" w:rsidR="00A62725" w:rsidRDefault="00356BB0" w:rsidP="00BF0E9E">
      <w:pPr>
        <w:pStyle w:val="xl37"/>
        <w:tabs>
          <w:tab w:val="left" w:pos="180"/>
          <w:tab w:val="left" w:pos="1560"/>
          <w:tab w:val="left" w:pos="8222"/>
        </w:tabs>
        <w:spacing w:before="0" w:beforeAutospacing="0" w:after="0" w:afterAutospacing="0"/>
        <w:jc w:val="center"/>
        <w:rPr>
          <w:noProof/>
        </w:rPr>
      </w:pPr>
      <w:r>
        <w:rPr>
          <w:noProof/>
        </w:rPr>
        <w:drawing>
          <wp:inline distT="0" distB="0" distL="0" distR="0" wp14:anchorId="08E341E2" wp14:editId="51BAD0AE">
            <wp:extent cx="4140255" cy="2843639"/>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67874" cy="2862609"/>
                    </a:xfrm>
                    <a:prstGeom prst="rect">
                      <a:avLst/>
                    </a:prstGeom>
                    <a:noFill/>
                  </pic:spPr>
                </pic:pic>
              </a:graphicData>
            </a:graphic>
          </wp:inline>
        </w:drawing>
      </w: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75E15FDC" w:rsidR="00300FA6" w:rsidRDefault="00300FA6" w:rsidP="00373E46">
      <w:pPr>
        <w:pStyle w:val="xl37"/>
        <w:tabs>
          <w:tab w:val="left" w:pos="180"/>
        </w:tabs>
        <w:spacing w:before="0" w:beforeAutospacing="0" w:after="0" w:afterAutospacing="0"/>
        <w:jc w:val="center"/>
        <w:rPr>
          <w:noProof/>
        </w:rPr>
      </w:pPr>
    </w:p>
    <w:p w14:paraId="62276F35" w14:textId="01BC6A79" w:rsidR="00300FA6" w:rsidRDefault="00300FA6"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35841C2E" w14:textId="2839DC64" w:rsidR="00881591" w:rsidRDefault="00881591" w:rsidP="00373E46">
      <w:pPr>
        <w:pStyle w:val="xl37"/>
        <w:tabs>
          <w:tab w:val="left" w:pos="180"/>
        </w:tabs>
        <w:spacing w:before="0" w:beforeAutospacing="0" w:after="0" w:afterAutospacing="0"/>
        <w:jc w:val="center"/>
        <w:rPr>
          <w:noProof/>
        </w:rPr>
      </w:pPr>
    </w:p>
    <w:p w14:paraId="4EC8AD56" w14:textId="7EDB7F28" w:rsidR="00881591" w:rsidRDefault="00881591" w:rsidP="00373E46">
      <w:pPr>
        <w:pStyle w:val="xl37"/>
        <w:tabs>
          <w:tab w:val="left" w:pos="180"/>
        </w:tabs>
        <w:spacing w:before="0" w:beforeAutospacing="0" w:after="0" w:afterAutospacing="0"/>
        <w:jc w:val="center"/>
        <w:rPr>
          <w:noProof/>
        </w:rPr>
      </w:pPr>
    </w:p>
    <w:p w14:paraId="45AA2568" w14:textId="77777777" w:rsidR="00D349DB" w:rsidRDefault="00D349DB" w:rsidP="00373E46">
      <w:pPr>
        <w:pStyle w:val="xl37"/>
        <w:tabs>
          <w:tab w:val="left" w:pos="180"/>
        </w:tabs>
        <w:spacing w:before="0" w:beforeAutospacing="0" w:after="0" w:afterAutospacing="0"/>
        <w:jc w:val="center"/>
        <w:rPr>
          <w:noProof/>
        </w:rPr>
      </w:pPr>
    </w:p>
    <w:p w14:paraId="1C1CF780" w14:textId="400E93A7" w:rsidR="0067287F" w:rsidRDefault="0067287F" w:rsidP="00373E46">
      <w:pPr>
        <w:pStyle w:val="xl37"/>
        <w:tabs>
          <w:tab w:val="left" w:pos="180"/>
        </w:tabs>
        <w:spacing w:before="0" w:beforeAutospacing="0" w:after="0" w:afterAutospacing="0"/>
        <w:jc w:val="center"/>
        <w:rPr>
          <w:noProof/>
        </w:rPr>
      </w:pPr>
    </w:p>
    <w:p w14:paraId="0A435752" w14:textId="77777777" w:rsidR="0067287F" w:rsidRDefault="0067287F" w:rsidP="00373E46">
      <w:pPr>
        <w:pStyle w:val="xl37"/>
        <w:tabs>
          <w:tab w:val="left" w:pos="180"/>
        </w:tabs>
        <w:spacing w:before="0" w:beforeAutospacing="0" w:after="0" w:afterAutospacing="0"/>
        <w:jc w:val="center"/>
        <w:rPr>
          <w:noProof/>
        </w:rPr>
      </w:pPr>
    </w:p>
    <w:p w14:paraId="7B33F026" w14:textId="77777777" w:rsidR="00300FA6" w:rsidRDefault="00300FA6"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190CAB" w:rsidP="00CA3C87">
      <w:pPr>
        <w:rPr>
          <w:rFonts w:ascii="Poppins" w:hAnsi="Poppins" w:cs="Poppins"/>
          <w:b/>
          <w:bCs/>
          <w:i/>
          <w:iCs/>
          <w:sz w:val="12"/>
          <w:szCs w:val="12"/>
        </w:rPr>
      </w:pPr>
      <w:hyperlink r:id="rId36"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7"/>
      <w:footerReference w:type="default" r:id="rId38"/>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7F49FD9A"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5151B0">
            <w:rPr>
              <w:rFonts w:ascii="Poppins" w:hAnsi="Poppins" w:cs="Poppins"/>
              <w:b/>
              <w:sz w:val="22"/>
              <w:szCs w:val="22"/>
              <w:lang w:val="it-IT"/>
            </w:rPr>
            <w:t>0</w:t>
          </w:r>
          <w:r w:rsidR="00C16233">
            <w:rPr>
              <w:rFonts w:ascii="Poppins" w:hAnsi="Poppins" w:cs="Poppins"/>
              <w:b/>
              <w:sz w:val="22"/>
              <w:szCs w:val="22"/>
              <w:lang w:val="it-IT"/>
            </w:rPr>
            <w:t>9</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64E720B9"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5151B0">
            <w:rPr>
              <w:rFonts w:ascii="Poppins" w:hAnsi="Poppins" w:cs="Poppins"/>
              <w:b/>
              <w:sz w:val="22"/>
              <w:szCs w:val="22"/>
              <w:lang w:val="it-IT"/>
            </w:rPr>
            <w:t>0</w:t>
          </w:r>
          <w:r w:rsidR="00C16233">
            <w:rPr>
              <w:rFonts w:ascii="Poppins" w:hAnsi="Poppins" w:cs="Poppins"/>
              <w:b/>
              <w:sz w:val="22"/>
              <w:szCs w:val="22"/>
              <w:lang w:val="it-IT"/>
            </w:rPr>
            <w:t>9</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03FC4801"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AA1E5F">
            <w:rPr>
              <w:rFonts w:ascii="Poppins" w:hAnsi="Poppins" w:cs="Poppins"/>
              <w:b/>
              <w:sz w:val="22"/>
              <w:szCs w:val="22"/>
              <w:lang w:val="it-IT"/>
            </w:rPr>
            <w:t>0</w:t>
          </w:r>
          <w:r w:rsidR="00C16233">
            <w:rPr>
              <w:rFonts w:ascii="Poppins" w:hAnsi="Poppins" w:cs="Poppins"/>
              <w:b/>
              <w:sz w:val="22"/>
              <w:szCs w:val="22"/>
              <w:lang w:val="it-IT"/>
            </w:rPr>
            <w:t>9</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7202C3FC"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E55006">
            <w:rPr>
              <w:rFonts w:ascii="Poppins" w:hAnsi="Poppins" w:cs="Poppins"/>
              <w:b/>
              <w:sz w:val="22"/>
              <w:szCs w:val="22"/>
              <w:lang w:val="it-IT"/>
            </w:rPr>
            <w:t>0</w:t>
          </w:r>
          <w:r w:rsidR="00C16233">
            <w:rPr>
              <w:rFonts w:ascii="Poppins" w:hAnsi="Poppins" w:cs="Poppins"/>
              <w:b/>
              <w:sz w:val="22"/>
              <w:szCs w:val="22"/>
              <w:lang w:val="it-IT"/>
            </w:rPr>
            <w:t>9</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1873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775"/>
    <w:rsid w:val="003568F9"/>
    <w:rsid w:val="00356B94"/>
    <w:rsid w:val="00356BB0"/>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596"/>
    <w:rsid w:val="0064084C"/>
    <w:rsid w:val="006408BA"/>
    <w:rsid w:val="00640B7B"/>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87393"/>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1.xml"/><Relationship Id="rId26" Type="http://schemas.openxmlformats.org/officeDocument/2006/relationships/image" Target="media/image10.emf"/><Relationship Id="rId39" Type="http://schemas.openxmlformats.org/officeDocument/2006/relationships/fontTable" Target="fontTable.xml"/><Relationship Id="rId21" Type="http://schemas.openxmlformats.org/officeDocument/2006/relationships/image" Target="media/image6.emf"/><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3.xml"/><Relationship Id="rId28" Type="http://schemas.openxmlformats.org/officeDocument/2006/relationships/image" Target="media/image12.emf"/><Relationship Id="rId36" Type="http://schemas.openxmlformats.org/officeDocument/2006/relationships/hyperlink" Target="https://www.osinergmin.gob.pe/seccion/centro_documental/gart/precios_referencia_banda_precios/PreciosReferencia/Informe-Tecnico-479-2021-GRT.pdf"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footer" Target="foot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547</TotalTime>
  <Pages>19</Pages>
  <Words>4344</Words>
  <Characters>23896</Characters>
  <Application>Microsoft Office Word</Application>
  <DocSecurity>0</DocSecurity>
  <Lines>199</Lines>
  <Paragraphs>56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28184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10</cp:revision>
  <cp:lastPrinted>2026-02-16T14:35:00Z</cp:lastPrinted>
  <dcterms:created xsi:type="dcterms:W3CDTF">2026-03-04T15:59:00Z</dcterms:created>
  <dcterms:modified xsi:type="dcterms:W3CDTF">2026-03-06T20:27:00Z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