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291AED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7045AA">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52B2C08"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7045AA">
        <w:rPr>
          <w:rFonts w:asciiTheme="minorHAnsi" w:hAnsiTheme="minorHAnsi" w:cstheme="minorHAnsi"/>
          <w:b/>
          <w:bCs/>
          <w:sz w:val="28"/>
          <w:szCs w:val="28"/>
        </w:rPr>
        <w:t>01</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045AA">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7FB1795A" w:rsidR="00E53D92" w:rsidRPr="002B3648" w:rsidRDefault="00B21DAA"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EA4D23">
        <w:rPr>
          <w:noProof/>
        </w:rPr>
        <w:drawing>
          <wp:inline distT="0" distB="0" distL="0" distR="0" wp14:anchorId="56897EDC" wp14:editId="73D49FDA">
            <wp:extent cx="5387340" cy="3581400"/>
            <wp:effectExtent l="0" t="0" r="3810" b="0"/>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histogram&#10;&#10;Description automatically generated"/>
                    <pic:cNvPicPr/>
                  </pic:nvPicPr>
                  <pic:blipFill>
                    <a:blip r:embed="rId8"/>
                    <a:stretch>
                      <a:fillRect/>
                    </a:stretch>
                  </pic:blipFill>
                  <pic:spPr>
                    <a:xfrm>
                      <a:off x="0" y="0"/>
                      <a:ext cx="5387340" cy="358140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BD7899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marzo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197D44AE" w14:textId="68F63714"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11377">
        <w:rPr>
          <w:rFonts w:asciiTheme="minorHAnsi" w:hAnsiTheme="minorHAnsi" w:cstheme="minorHAnsi"/>
          <w:sz w:val="22"/>
          <w:szCs w:val="22"/>
        </w:rPr>
        <w:t>7</w:t>
      </w:r>
      <w:r w:rsidR="00B21DAA">
        <w:rPr>
          <w:rFonts w:asciiTheme="minorHAnsi" w:hAnsiTheme="minorHAnsi" w:cstheme="minorHAnsi"/>
          <w:sz w:val="22"/>
          <w:szCs w:val="22"/>
        </w:rPr>
        <w:t>5</w:t>
      </w:r>
      <w:r>
        <w:rPr>
          <w:rFonts w:asciiTheme="minorHAnsi" w:hAnsiTheme="minorHAnsi" w:cstheme="minorHAnsi"/>
          <w:sz w:val="22"/>
          <w:szCs w:val="22"/>
        </w:rPr>
        <w:t>,</w:t>
      </w:r>
      <w:r w:rsidR="00B21DAA">
        <w:rPr>
          <w:rFonts w:asciiTheme="minorHAnsi" w:hAnsiTheme="minorHAnsi" w:cstheme="minorHAnsi"/>
          <w:sz w:val="22"/>
          <w:szCs w:val="22"/>
        </w:rPr>
        <w:t>43</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las gasolinas registraron un precio superior a </w:t>
      </w:r>
      <w:r w:rsidR="00E11377">
        <w:rPr>
          <w:rFonts w:asciiTheme="minorHAnsi" w:hAnsiTheme="minorHAnsi" w:cstheme="minorHAnsi"/>
          <w:sz w:val="22"/>
          <w:szCs w:val="22"/>
        </w:rPr>
        <w:t>9</w:t>
      </w:r>
      <w:r w:rsidR="00B21DAA">
        <w:rPr>
          <w:rFonts w:asciiTheme="minorHAnsi" w:hAnsiTheme="minorHAnsi" w:cstheme="minorHAnsi"/>
          <w:sz w:val="22"/>
          <w:szCs w:val="22"/>
        </w:rPr>
        <w:t>5</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w:t>
      </w:r>
      <w:r w:rsidR="00B21DAA">
        <w:rPr>
          <w:rFonts w:asciiTheme="minorHAnsi" w:hAnsiTheme="minorHAnsi" w:cstheme="minorHAnsi"/>
          <w:sz w:val="22"/>
          <w:szCs w:val="22"/>
        </w:rPr>
        <w:t>98</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Para el mismo periodo, el precio del GLP cerró la semana en 3</w:t>
      </w:r>
      <w:r w:rsidR="00B21DAA">
        <w:rPr>
          <w:rFonts w:asciiTheme="minorHAnsi" w:hAnsiTheme="minorHAnsi" w:cstheme="minorHAnsi"/>
          <w:sz w:val="22"/>
          <w:szCs w:val="22"/>
        </w:rPr>
        <w:t>2</w:t>
      </w:r>
      <w:r>
        <w:rPr>
          <w:rFonts w:asciiTheme="minorHAnsi" w:hAnsiTheme="minorHAnsi" w:cstheme="minorHAnsi"/>
          <w:sz w:val="22"/>
          <w:szCs w:val="22"/>
        </w:rPr>
        <w:t>,</w:t>
      </w:r>
      <w:r w:rsidR="00B21DAA">
        <w:rPr>
          <w:rFonts w:asciiTheme="minorHAnsi" w:hAnsiTheme="minorHAnsi" w:cstheme="minorHAnsi"/>
          <w:sz w:val="22"/>
          <w:szCs w:val="22"/>
        </w:rPr>
        <w:t>55</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044BC767"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17</w:t>
      </w:r>
      <w:r w:rsidRPr="00431A8E">
        <w:rPr>
          <w:rFonts w:asciiTheme="minorHAnsi" w:hAnsiTheme="minorHAnsi" w:cstheme="minorHAnsi"/>
          <w:sz w:val="22"/>
          <w:szCs w:val="22"/>
        </w:rPr>
        <w:t>.</w:t>
      </w:r>
      <w:r>
        <w:rPr>
          <w:rFonts w:asciiTheme="minorHAnsi" w:hAnsiTheme="minorHAnsi" w:cstheme="minorHAnsi"/>
          <w:sz w:val="22"/>
          <w:szCs w:val="22"/>
        </w:rPr>
        <w:t>0</w:t>
      </w:r>
      <w:r w:rsidR="00E11377">
        <w:rPr>
          <w:rFonts w:asciiTheme="minorHAnsi" w:hAnsiTheme="minorHAnsi" w:cstheme="minorHAnsi"/>
          <w:sz w:val="22"/>
          <w:szCs w:val="22"/>
        </w:rPr>
        <w:t>4</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E11377">
        <w:rPr>
          <w:rFonts w:asciiTheme="minorHAnsi" w:hAnsiTheme="minorHAnsi" w:cstheme="minorHAnsi"/>
          <w:sz w:val="22"/>
          <w:szCs w:val="22"/>
        </w:rPr>
        <w:t>2</w:t>
      </w:r>
      <w:r w:rsidR="00B21DAA">
        <w:rPr>
          <w:rFonts w:asciiTheme="minorHAnsi" w:hAnsiTheme="minorHAnsi" w:cstheme="minorHAnsi"/>
          <w:sz w:val="22"/>
          <w:szCs w:val="22"/>
        </w:rPr>
        <w:t>8</w:t>
      </w:r>
      <w:r w:rsidRPr="00431A8E">
        <w:rPr>
          <w:rFonts w:asciiTheme="minorHAnsi" w:hAnsiTheme="minorHAnsi" w:cstheme="minorHAnsi"/>
          <w:sz w:val="22"/>
          <w:szCs w:val="22"/>
        </w:rPr>
        <w:t>.0</w:t>
      </w:r>
      <w:r w:rsidR="00E0065F">
        <w:rPr>
          <w:rFonts w:asciiTheme="minorHAnsi" w:hAnsiTheme="minorHAnsi" w:cstheme="minorHAnsi"/>
          <w:sz w:val="22"/>
          <w:szCs w:val="22"/>
        </w:rPr>
        <w:t>4</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Pr="00E60C43" w:rsidRDefault="00107E57" w:rsidP="00E60C43">
      <w:pPr>
        <w:pStyle w:val="Prrafodelista"/>
        <w:ind w:left="360"/>
        <w:contextualSpacing/>
        <w:jc w:val="both"/>
        <w:rPr>
          <w:rFonts w:asciiTheme="minorHAnsi" w:hAnsiTheme="minorHAnsi" w:cstheme="minorHAnsi"/>
          <w:b/>
          <w:bCs/>
          <w:sz w:val="22"/>
          <w:szCs w:val="22"/>
        </w:rPr>
      </w:pPr>
    </w:p>
    <w:p w14:paraId="14669D9E" w14:textId="77777777" w:rsidR="00B21DAA" w:rsidRPr="00E60C43" w:rsidRDefault="00B21DAA" w:rsidP="00E60C43">
      <w:pPr>
        <w:pStyle w:val="Prrafodelista"/>
        <w:numPr>
          <w:ilvl w:val="0"/>
          <w:numId w:val="13"/>
        </w:numPr>
        <w:ind w:left="360"/>
        <w:contextualSpacing/>
        <w:jc w:val="both"/>
        <w:rPr>
          <w:rFonts w:asciiTheme="minorHAnsi" w:hAnsiTheme="minorHAnsi" w:cstheme="minorHAnsi"/>
          <w:b/>
          <w:bCs/>
          <w:sz w:val="22"/>
          <w:szCs w:val="22"/>
        </w:rPr>
      </w:pPr>
      <w:r w:rsidRPr="00E60C43">
        <w:rPr>
          <w:rFonts w:asciiTheme="minorHAnsi" w:hAnsiTheme="minorHAnsi" w:cstheme="minorHAnsi"/>
          <w:b/>
          <w:bCs/>
          <w:sz w:val="22"/>
          <w:szCs w:val="22"/>
        </w:rPr>
        <w:t>La disminución de los inventarios de crudo, gasolinas y destilados, así como el aumento de las existencias de propano al 21 de abril del 2023.</w:t>
      </w:r>
    </w:p>
    <w:p w14:paraId="3FB96A06" w14:textId="77777777" w:rsidR="00B21DAA" w:rsidRPr="000161D1" w:rsidRDefault="00B21DAA" w:rsidP="00E60C43">
      <w:pPr>
        <w:pStyle w:val="Prrafodelista"/>
        <w:ind w:left="360"/>
        <w:jc w:val="both"/>
        <w:rPr>
          <w:rFonts w:asciiTheme="minorHAnsi" w:hAnsiTheme="minorHAnsi" w:cstheme="minorHAnsi"/>
          <w:sz w:val="22"/>
          <w:szCs w:val="22"/>
        </w:rPr>
      </w:pPr>
    </w:p>
    <w:p w14:paraId="472547CA" w14:textId="77777777" w:rsidR="00B21DAA" w:rsidRPr="000161D1"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Los inventarios de petróleo en Estados Unidos cayeron en 5,1 millones barriles, ubicándose en un +1% por encima de la media de los últimos 5 años, lo que representa 460,9 millones de barriles.</w:t>
      </w:r>
    </w:p>
    <w:p w14:paraId="7C3FE187" w14:textId="77777777" w:rsidR="00B21DAA" w:rsidRPr="000161D1" w:rsidRDefault="00B21DAA" w:rsidP="00E60C43">
      <w:pPr>
        <w:pStyle w:val="Prrafodelista"/>
        <w:ind w:left="360"/>
        <w:jc w:val="both"/>
        <w:rPr>
          <w:rFonts w:asciiTheme="minorHAnsi" w:hAnsiTheme="minorHAnsi" w:cstheme="minorHAnsi"/>
          <w:sz w:val="22"/>
          <w:szCs w:val="22"/>
        </w:rPr>
      </w:pPr>
    </w:p>
    <w:p w14:paraId="39BBED62" w14:textId="77777777" w:rsidR="00B21DAA" w:rsidRPr="000161D1"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Por su parte, las existencias de gasolina bajaron 2,4 millones de barriles, reportando un total de 221,1 millones de barriles; mientras los inventarios de destilados, que incluyen al diésel y al combustible para calefacción, disminuyeron 0,6 millones de barriles, con un total de 111,5 millones de barriles. Finalmente, las existencias de propano subieron 3,43 millones de barriles, ubicándose en los 58,89 millones de barriles.</w:t>
      </w:r>
    </w:p>
    <w:p w14:paraId="798E8D75" w14:textId="77777777" w:rsidR="00B21DAA" w:rsidRPr="000161D1" w:rsidRDefault="00B21DAA" w:rsidP="00B21DAA">
      <w:pPr>
        <w:pStyle w:val="Prrafodelista"/>
        <w:ind w:left="426"/>
        <w:jc w:val="both"/>
        <w:rPr>
          <w:rFonts w:asciiTheme="minorHAnsi" w:hAnsiTheme="minorHAnsi" w:cstheme="minorHAnsi"/>
          <w:sz w:val="22"/>
          <w:szCs w:val="22"/>
        </w:rPr>
      </w:pPr>
    </w:p>
    <w:p w14:paraId="6CD5BEEE" w14:textId="77777777" w:rsidR="00B21DAA" w:rsidRPr="000161D1" w:rsidRDefault="00B21DAA" w:rsidP="00B21DAA">
      <w:pPr>
        <w:pStyle w:val="Prrafodelista"/>
        <w:numPr>
          <w:ilvl w:val="0"/>
          <w:numId w:val="13"/>
        </w:numPr>
        <w:ind w:left="360"/>
        <w:contextualSpacing/>
        <w:jc w:val="both"/>
        <w:rPr>
          <w:rFonts w:asciiTheme="minorHAnsi" w:hAnsiTheme="minorHAnsi" w:cstheme="minorHAnsi"/>
          <w:b/>
          <w:bCs/>
          <w:sz w:val="22"/>
          <w:szCs w:val="22"/>
        </w:rPr>
      </w:pPr>
      <w:r w:rsidRPr="000161D1">
        <w:rPr>
          <w:rFonts w:asciiTheme="minorHAnsi" w:hAnsiTheme="minorHAnsi" w:cstheme="minorHAnsi"/>
          <w:b/>
          <w:bCs/>
          <w:sz w:val="22"/>
          <w:szCs w:val="22"/>
        </w:rPr>
        <w:t>La incertidumbre económica y la posibilidad de un nuevo incremento de las tasas de interés en Estados Unidos y Europa, que podrían desacelerar el crecimiento y frenar el consumo de combustibles, aspectos que predominaron frente a las esperanzas sobre la demanda China.</w:t>
      </w:r>
    </w:p>
    <w:p w14:paraId="5F0AB35C" w14:textId="77777777" w:rsidR="00B21DAA" w:rsidRPr="000161D1" w:rsidRDefault="00B21DAA" w:rsidP="00B21DAA">
      <w:pPr>
        <w:pStyle w:val="Prrafodelista"/>
        <w:ind w:left="360"/>
        <w:jc w:val="both"/>
        <w:rPr>
          <w:rFonts w:asciiTheme="minorHAnsi" w:hAnsiTheme="minorHAnsi" w:cstheme="minorHAnsi"/>
          <w:b/>
          <w:bCs/>
          <w:sz w:val="22"/>
          <w:szCs w:val="22"/>
        </w:rPr>
      </w:pPr>
    </w:p>
    <w:p w14:paraId="388FB6DA" w14:textId="77777777" w:rsidR="00B21DAA" w:rsidRPr="000161D1" w:rsidRDefault="00B21DAA" w:rsidP="00B21DAA">
      <w:pPr>
        <w:pStyle w:val="Prrafodelista"/>
        <w:ind w:left="360"/>
        <w:jc w:val="both"/>
        <w:rPr>
          <w:rFonts w:asciiTheme="minorHAnsi" w:hAnsiTheme="minorHAnsi" w:cstheme="minorHAnsi"/>
          <w:color w:val="333333"/>
          <w:sz w:val="22"/>
          <w:szCs w:val="22"/>
          <w:shd w:val="clear" w:color="auto" w:fill="FFFFFF"/>
        </w:rPr>
      </w:pPr>
      <w:r w:rsidRPr="000161D1">
        <w:rPr>
          <w:rFonts w:asciiTheme="minorHAnsi" w:hAnsiTheme="minorHAnsi" w:cstheme="minorHAnsi"/>
          <w:sz w:val="22"/>
          <w:szCs w:val="22"/>
        </w:rPr>
        <w:t>Los inversores temen que las posibles alzas de tasas de parte de los bancos centrales en el marco de su lucha contra la inflación puedan frenar el crecimiento económico y mermar la demanda de energía en Estados Unidos, Reino Unido y la Unión Europea. Asimismo, la debilidad de los datos económicos estadounidenses y las utilidades de las firmas tecnológicas más bajas de lo esperado despertaron la preocupación de los inversores por el crecimiento</w:t>
      </w:r>
      <w:r w:rsidRPr="000161D1">
        <w:rPr>
          <w:rFonts w:asciiTheme="minorHAnsi" w:hAnsiTheme="minorHAnsi" w:cstheme="minorHAnsi"/>
          <w:color w:val="333333"/>
          <w:sz w:val="22"/>
          <w:szCs w:val="22"/>
          <w:shd w:val="clear" w:color="auto" w:fill="FFFFFF"/>
        </w:rPr>
        <w:t>.</w:t>
      </w:r>
    </w:p>
    <w:p w14:paraId="7C668848" w14:textId="77777777" w:rsidR="00B21DAA" w:rsidRPr="000161D1" w:rsidRDefault="00B21DAA" w:rsidP="00B21DAA">
      <w:pPr>
        <w:pStyle w:val="Prrafodelista"/>
        <w:ind w:left="360"/>
        <w:jc w:val="both"/>
        <w:rPr>
          <w:rFonts w:asciiTheme="minorHAnsi" w:hAnsiTheme="minorHAnsi" w:cstheme="minorHAnsi"/>
          <w:color w:val="333333"/>
          <w:sz w:val="22"/>
          <w:szCs w:val="22"/>
          <w:shd w:val="clear" w:color="auto" w:fill="FFFFFF"/>
        </w:rPr>
      </w:pPr>
    </w:p>
    <w:p w14:paraId="0487301D" w14:textId="77777777" w:rsidR="00B21DAA" w:rsidRPr="000161D1" w:rsidRDefault="00B21DAA" w:rsidP="00B21DAA">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El mercado espera que la Reserva Federal estadounidense, el Banco de Inglaterra y el Banco Central Europeo suban las tasas en sus próximas reuniones. La Fed se reunirá los días 2 y 3 de mayo.</w:t>
      </w:r>
    </w:p>
    <w:p w14:paraId="514D890C" w14:textId="77777777" w:rsidR="00B21DAA" w:rsidRPr="000161D1" w:rsidRDefault="00B21DAA" w:rsidP="00B21DAA">
      <w:pPr>
        <w:pStyle w:val="Prrafodelista"/>
        <w:ind w:left="360"/>
        <w:jc w:val="both"/>
        <w:rPr>
          <w:rFonts w:asciiTheme="minorHAnsi" w:hAnsiTheme="minorHAnsi" w:cstheme="minorHAnsi"/>
          <w:sz w:val="22"/>
          <w:szCs w:val="22"/>
        </w:rPr>
      </w:pPr>
    </w:p>
    <w:p w14:paraId="268F7A43" w14:textId="77777777" w:rsidR="00B21DAA" w:rsidRPr="000161D1" w:rsidRDefault="00B21DAA" w:rsidP="00B21DAA">
      <w:pPr>
        <w:pStyle w:val="Prrafodelista"/>
        <w:ind w:left="357"/>
        <w:jc w:val="both"/>
        <w:rPr>
          <w:rFonts w:asciiTheme="minorHAnsi" w:hAnsiTheme="minorHAnsi" w:cstheme="minorHAnsi"/>
          <w:sz w:val="22"/>
          <w:szCs w:val="22"/>
        </w:rPr>
      </w:pPr>
      <w:r w:rsidRPr="000161D1">
        <w:rPr>
          <w:rFonts w:asciiTheme="minorHAnsi" w:hAnsiTheme="minorHAnsi" w:cstheme="minorHAnsi"/>
          <w:sz w:val="22"/>
          <w:szCs w:val="22"/>
        </w:rPr>
        <w:lastRenderedPageBreak/>
        <w:t xml:space="preserve">El presidente de la Reserva Federal de Atlanta, Raphael </w:t>
      </w:r>
      <w:proofErr w:type="spellStart"/>
      <w:r w:rsidRPr="000161D1">
        <w:rPr>
          <w:rFonts w:asciiTheme="minorHAnsi" w:hAnsiTheme="minorHAnsi" w:cstheme="minorHAnsi"/>
          <w:sz w:val="22"/>
          <w:szCs w:val="22"/>
        </w:rPr>
        <w:t>Bostic</w:t>
      </w:r>
      <w:proofErr w:type="spellEnd"/>
      <w:r w:rsidRPr="000161D1">
        <w:rPr>
          <w:rFonts w:asciiTheme="minorHAnsi" w:hAnsiTheme="minorHAnsi" w:cstheme="minorHAnsi"/>
          <w:sz w:val="22"/>
          <w:szCs w:val="22"/>
        </w:rPr>
        <w:t xml:space="preserve">, afirmó que es probable que la entidad suba las tasas una vez más para continuar el combate contra la inflación. </w:t>
      </w:r>
      <w:r w:rsidRPr="000161D1">
        <w:rPr>
          <w:rFonts w:asciiTheme="minorHAnsi" w:hAnsiTheme="minorHAnsi" w:cstheme="minorHAnsi"/>
          <w:sz w:val="22"/>
          <w:szCs w:val="22"/>
        </w:rPr>
        <w:br/>
        <w:t>En Europa, los responsables del Banco Central Europeo también desconfían de la inflación y han sugerido que las tasas deben seguir aumentando.</w:t>
      </w:r>
    </w:p>
    <w:p w14:paraId="69521B34" w14:textId="77777777" w:rsidR="00B21DAA" w:rsidRPr="000161D1" w:rsidRDefault="00B21DAA" w:rsidP="00B21DAA">
      <w:pPr>
        <w:pStyle w:val="Prrafodelista"/>
        <w:ind w:left="357"/>
        <w:jc w:val="both"/>
        <w:rPr>
          <w:rFonts w:asciiTheme="minorHAnsi" w:hAnsiTheme="minorHAnsi" w:cstheme="minorHAnsi"/>
          <w:sz w:val="22"/>
          <w:szCs w:val="22"/>
        </w:rPr>
      </w:pPr>
    </w:p>
    <w:p w14:paraId="0DEA82F2" w14:textId="1ADADB9D" w:rsidR="00B21DAA" w:rsidRDefault="00B21DAA" w:rsidP="00E60C43">
      <w:pPr>
        <w:pStyle w:val="Prrafodelista"/>
        <w:numPr>
          <w:ilvl w:val="0"/>
          <w:numId w:val="13"/>
        </w:numPr>
        <w:ind w:left="360"/>
        <w:contextualSpacing/>
        <w:jc w:val="both"/>
        <w:rPr>
          <w:rFonts w:asciiTheme="minorHAnsi" w:hAnsiTheme="minorHAnsi" w:cstheme="minorHAnsi"/>
          <w:b/>
          <w:bCs/>
          <w:sz w:val="22"/>
          <w:szCs w:val="22"/>
        </w:rPr>
      </w:pPr>
      <w:r w:rsidRPr="000161D1">
        <w:rPr>
          <w:rFonts w:asciiTheme="minorHAnsi" w:hAnsiTheme="minorHAnsi" w:cstheme="minorHAnsi"/>
          <w:b/>
          <w:bCs/>
          <w:sz w:val="22"/>
          <w:szCs w:val="22"/>
        </w:rPr>
        <w:t>Los datos alentadores de la economía de China, a pesar de las preocupaciones económicas globales.</w:t>
      </w:r>
    </w:p>
    <w:p w14:paraId="5927DDD1" w14:textId="77777777" w:rsidR="00B21DAA" w:rsidRPr="000161D1" w:rsidRDefault="00B21DAA" w:rsidP="00B21DAA">
      <w:pPr>
        <w:pStyle w:val="Prrafodelista"/>
        <w:spacing w:before="100" w:beforeAutospacing="1" w:after="100" w:afterAutospacing="1"/>
        <w:ind w:left="426"/>
        <w:contextualSpacing/>
        <w:jc w:val="both"/>
        <w:rPr>
          <w:rFonts w:asciiTheme="minorHAnsi" w:hAnsiTheme="minorHAnsi" w:cstheme="minorHAnsi"/>
          <w:b/>
          <w:bCs/>
          <w:sz w:val="22"/>
          <w:szCs w:val="22"/>
        </w:rPr>
      </w:pPr>
    </w:p>
    <w:p w14:paraId="78AE2459" w14:textId="1522D7E9" w:rsidR="00B21DAA"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La economía china creció un + 4,5% en el primer trimestre del 2023 y el rendimiento de las refinerías de petróleo de China alcanzó niveles récord en marzo.</w:t>
      </w:r>
    </w:p>
    <w:p w14:paraId="74C1C3C2" w14:textId="77777777" w:rsidR="00E60C43" w:rsidRPr="000161D1" w:rsidRDefault="00E60C43" w:rsidP="00E60C43">
      <w:pPr>
        <w:pStyle w:val="Prrafodelista"/>
        <w:ind w:left="360"/>
        <w:jc w:val="both"/>
        <w:rPr>
          <w:rFonts w:asciiTheme="minorHAnsi" w:hAnsiTheme="minorHAnsi" w:cstheme="minorHAnsi"/>
          <w:sz w:val="22"/>
          <w:szCs w:val="22"/>
        </w:rPr>
      </w:pPr>
    </w:p>
    <w:p w14:paraId="4BB57181" w14:textId="487FD992" w:rsidR="00B21DAA"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Las refinerías asiáticas siguieron comprando crudo ruso en abril 2023, aumentando la presión sobre los índices referenciales.</w:t>
      </w:r>
    </w:p>
    <w:p w14:paraId="6BCA85AF" w14:textId="77777777" w:rsidR="00E60C43" w:rsidRPr="000161D1" w:rsidRDefault="00E60C43" w:rsidP="00E60C43">
      <w:pPr>
        <w:pStyle w:val="Prrafodelista"/>
        <w:ind w:left="360"/>
        <w:jc w:val="both"/>
        <w:rPr>
          <w:rFonts w:asciiTheme="minorHAnsi" w:hAnsiTheme="minorHAnsi" w:cstheme="minorHAnsi"/>
          <w:sz w:val="22"/>
          <w:szCs w:val="22"/>
        </w:rPr>
      </w:pPr>
    </w:p>
    <w:p w14:paraId="0AD02F6B" w14:textId="53778DFF" w:rsidR="00B21DAA"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India y China han comprado la mayor parte del crudo ruso durante el mes de abril, a precios superiores al máximo fijado por Occidente de 60 dólares por barril, según operadores y cálculos de Reuters.</w:t>
      </w:r>
    </w:p>
    <w:p w14:paraId="2C8F608E" w14:textId="77777777" w:rsidR="00E60C43" w:rsidRPr="000161D1" w:rsidRDefault="00E60C43" w:rsidP="00E60C43">
      <w:pPr>
        <w:pStyle w:val="Prrafodelista"/>
        <w:ind w:left="360"/>
        <w:jc w:val="both"/>
        <w:rPr>
          <w:rFonts w:asciiTheme="minorHAnsi" w:hAnsiTheme="minorHAnsi" w:cstheme="minorHAnsi"/>
          <w:sz w:val="22"/>
          <w:szCs w:val="22"/>
        </w:rPr>
      </w:pPr>
    </w:p>
    <w:p w14:paraId="6FB7CF45" w14:textId="77777777" w:rsidR="00B21DAA" w:rsidRPr="000161D1" w:rsidRDefault="00B21DAA" w:rsidP="00E60C43">
      <w:pPr>
        <w:pStyle w:val="Prrafodelista"/>
        <w:numPr>
          <w:ilvl w:val="0"/>
          <w:numId w:val="13"/>
        </w:numPr>
        <w:ind w:left="360"/>
        <w:contextualSpacing/>
        <w:jc w:val="both"/>
        <w:rPr>
          <w:rFonts w:asciiTheme="minorHAnsi" w:hAnsiTheme="minorHAnsi" w:cstheme="minorHAnsi"/>
          <w:b/>
          <w:bCs/>
          <w:sz w:val="22"/>
          <w:szCs w:val="22"/>
        </w:rPr>
      </w:pPr>
      <w:r w:rsidRPr="000161D1">
        <w:rPr>
          <w:rFonts w:asciiTheme="minorHAnsi" w:hAnsiTheme="minorHAnsi" w:cstheme="minorHAnsi"/>
          <w:b/>
          <w:bCs/>
          <w:sz w:val="22"/>
          <w:szCs w:val="22"/>
        </w:rPr>
        <w:t>Las proyecciones de la AIE que indican un aumento récord de la demanda y la mayor demanda de gasolinas ante la proximidad del verano boreal.</w:t>
      </w:r>
    </w:p>
    <w:p w14:paraId="79977B21" w14:textId="77777777" w:rsidR="00B21DAA" w:rsidRPr="000161D1" w:rsidRDefault="00B21DAA" w:rsidP="00B21DAA">
      <w:pPr>
        <w:jc w:val="both"/>
        <w:rPr>
          <w:rFonts w:asciiTheme="minorHAnsi" w:hAnsiTheme="minorHAnsi" w:cstheme="minorHAnsi"/>
          <w:b/>
          <w:bCs/>
          <w:sz w:val="22"/>
          <w:szCs w:val="22"/>
        </w:rPr>
      </w:pPr>
    </w:p>
    <w:p w14:paraId="435BA4F0" w14:textId="77777777" w:rsidR="00B21DAA" w:rsidRPr="000161D1"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La Agencia Internacional de la Energía (AIE) espera que la demanda mundial aumente hasta un récord en este año, gracias a la recuperación del consumo en China.</w:t>
      </w:r>
    </w:p>
    <w:p w14:paraId="2DD36015" w14:textId="77777777" w:rsidR="00B21DAA" w:rsidRPr="000161D1" w:rsidRDefault="00B21DAA" w:rsidP="00E60C43">
      <w:pPr>
        <w:pStyle w:val="Prrafodelista"/>
        <w:ind w:left="360"/>
        <w:jc w:val="both"/>
        <w:rPr>
          <w:rFonts w:asciiTheme="minorHAnsi" w:hAnsiTheme="minorHAnsi" w:cstheme="minorHAnsi"/>
          <w:sz w:val="22"/>
          <w:szCs w:val="22"/>
        </w:rPr>
      </w:pPr>
    </w:p>
    <w:p w14:paraId="2119D7C1" w14:textId="77777777" w:rsidR="00B21DAA" w:rsidRPr="000161D1"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En su último informe mensual, la AIE señaló que la demanda mundial de petróleo crecerá en 2 millones de barriles diarios (bpd) en el año 2023, hasta alcanzar la cifra récord de 101,9 millones de bpd, impulsada especialmente por el mayor consumo chino, después del levantamiento de las restricciones por el COVID.</w:t>
      </w:r>
    </w:p>
    <w:p w14:paraId="7776BD95" w14:textId="77777777" w:rsidR="00B21DAA" w:rsidRPr="000161D1" w:rsidRDefault="00B21DAA" w:rsidP="00E60C43">
      <w:pPr>
        <w:pStyle w:val="Prrafodelista"/>
        <w:ind w:left="360"/>
        <w:jc w:val="both"/>
        <w:rPr>
          <w:rFonts w:asciiTheme="minorHAnsi" w:hAnsiTheme="minorHAnsi" w:cstheme="minorHAnsi"/>
          <w:sz w:val="22"/>
          <w:szCs w:val="22"/>
        </w:rPr>
      </w:pPr>
    </w:p>
    <w:p w14:paraId="5201220F" w14:textId="2951ED9D" w:rsidR="00107E57" w:rsidRDefault="00B21DAA" w:rsidP="00E60C43">
      <w:pPr>
        <w:pStyle w:val="Prrafodelista"/>
        <w:ind w:left="360"/>
        <w:jc w:val="both"/>
        <w:rPr>
          <w:rFonts w:asciiTheme="minorHAnsi" w:hAnsiTheme="minorHAnsi" w:cstheme="minorHAnsi"/>
          <w:sz w:val="22"/>
          <w:szCs w:val="22"/>
        </w:rPr>
      </w:pPr>
      <w:r w:rsidRPr="000161D1">
        <w:rPr>
          <w:rFonts w:asciiTheme="minorHAnsi" w:hAnsiTheme="minorHAnsi" w:cstheme="minorHAnsi"/>
          <w:sz w:val="22"/>
          <w:szCs w:val="22"/>
        </w:rPr>
        <w:t>El informe de la AIE señala también que la demanda china subirá 1,2 millones de barriles diarios hasta alcanzar 16,2 millones en el 2023. Según el documento, el mercado mundial del petróleo vivirá una situación tensa hasta finales del año 2023, tras el recorte de producción anunciado por la OPEP, que solo será compensado en parte por el aumento de la producción de países ajenos a esa organización, especialmente Estados Unidos y Brasil</w:t>
      </w:r>
      <w:r w:rsidR="00107E57" w:rsidRPr="00523CA0">
        <w:rPr>
          <w:rFonts w:asciiTheme="minorHAnsi" w:hAnsiTheme="minorHAnsi" w:cstheme="minorHAnsi"/>
          <w:sz w:val="22"/>
          <w:szCs w:val="22"/>
        </w:rPr>
        <w:t>.</w:t>
      </w:r>
    </w:p>
    <w:p w14:paraId="47156545" w14:textId="77777777" w:rsidR="00B21DAA" w:rsidRPr="00523CA0" w:rsidRDefault="00B21DAA" w:rsidP="00B21DAA">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52AE435E"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 xml:space="preserve">Diésel B5 </w:t>
      </w:r>
      <w:r w:rsidR="0079038D" w:rsidRPr="004D4B7D">
        <w:rPr>
          <w:rFonts w:asciiTheme="minorHAnsi" w:hAnsiTheme="minorHAnsi" w:cstheme="minorHAnsi"/>
          <w:sz w:val="22"/>
          <w:szCs w:val="22"/>
        </w:rPr>
        <w:lastRenderedPageBreak/>
        <w:t>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4616406D"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B21DAA">
        <w:rPr>
          <w:rFonts w:asciiTheme="minorHAnsi" w:hAnsiTheme="minorHAnsi" w:cstheme="minorHAnsi"/>
          <w:sz w:val="22"/>
          <w:szCs w:val="22"/>
        </w:rPr>
        <w:t>25</w:t>
      </w:r>
      <w:r w:rsidR="00E0065F">
        <w:rPr>
          <w:rFonts w:asciiTheme="minorHAnsi" w:hAnsiTheme="minorHAnsi" w:cstheme="minorHAnsi"/>
          <w:sz w:val="22"/>
          <w:szCs w:val="22"/>
        </w:rPr>
        <w:t xml:space="preserve"> d</w:t>
      </w:r>
      <w:r w:rsidR="009F6EF0">
        <w:rPr>
          <w:rFonts w:asciiTheme="minorHAnsi" w:hAnsiTheme="minorHAnsi" w:cstheme="minorHAnsi"/>
          <w:sz w:val="22"/>
          <w:szCs w:val="22"/>
        </w:rPr>
        <w:t xml:space="preserve">e </w:t>
      </w:r>
      <w:r w:rsidR="00E0065F">
        <w:rPr>
          <w:rFonts w:asciiTheme="minorHAnsi" w:hAnsiTheme="minorHAnsi" w:cstheme="minorHAnsi"/>
          <w:sz w:val="22"/>
          <w:szCs w:val="22"/>
        </w:rPr>
        <w:t>abril</w:t>
      </w:r>
      <w:r w:rsidRPr="00294829">
        <w:rPr>
          <w:rFonts w:asciiTheme="minorHAnsi" w:hAnsiTheme="minorHAnsi" w:cstheme="minorHAnsi"/>
          <w:sz w:val="22"/>
          <w:szCs w:val="22"/>
        </w:rPr>
        <w:t xml:space="preserve"> al lunes </w:t>
      </w:r>
      <w:r w:rsidR="00B21DAA">
        <w:rPr>
          <w:rFonts w:asciiTheme="minorHAnsi" w:hAnsiTheme="minorHAnsi" w:cstheme="minorHAnsi"/>
          <w:sz w:val="22"/>
          <w:szCs w:val="22"/>
        </w:rPr>
        <w:t>01</w:t>
      </w:r>
      <w:r w:rsidRPr="00294829">
        <w:rPr>
          <w:rFonts w:asciiTheme="minorHAnsi" w:hAnsiTheme="minorHAnsi" w:cstheme="minorHAnsi"/>
          <w:sz w:val="22"/>
          <w:szCs w:val="22"/>
        </w:rPr>
        <w:t xml:space="preserve"> de </w:t>
      </w:r>
      <w:r w:rsidR="00B21DAA">
        <w:rPr>
          <w:rFonts w:asciiTheme="minorHAnsi" w:hAnsiTheme="minorHAnsi" w:cstheme="minorHAnsi"/>
          <w:sz w:val="22"/>
          <w:szCs w:val="22"/>
        </w:rPr>
        <w:t>mayo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6210DAC9" w:rsidR="009D32AB" w:rsidRPr="001B07FE" w:rsidRDefault="00E812D9" w:rsidP="00FC618C">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E11377">
        <w:rPr>
          <w:rFonts w:asciiTheme="minorHAnsi" w:hAnsiTheme="minorHAnsi" w:cstheme="minorHAnsi"/>
          <w:sz w:val="22"/>
          <w:szCs w:val="22"/>
        </w:rPr>
        <w:t>2</w:t>
      </w:r>
      <w:r w:rsidR="00B21DAA">
        <w:rPr>
          <w:rFonts w:asciiTheme="minorHAnsi" w:hAnsiTheme="minorHAnsi" w:cstheme="minorHAnsi"/>
          <w:sz w:val="22"/>
          <w:szCs w:val="22"/>
        </w:rPr>
        <w:t>8</w:t>
      </w:r>
      <w:r w:rsidRPr="001B07FE">
        <w:rPr>
          <w:rFonts w:asciiTheme="minorHAnsi" w:hAnsiTheme="minorHAnsi" w:cstheme="minorHAnsi"/>
          <w:sz w:val="22"/>
          <w:szCs w:val="22"/>
        </w:rPr>
        <w:t>.0</w:t>
      </w:r>
      <w:r w:rsidR="00E0065F">
        <w:rPr>
          <w:rFonts w:asciiTheme="minorHAnsi" w:hAnsiTheme="minorHAnsi" w:cstheme="minorHAnsi"/>
          <w:sz w:val="22"/>
          <w:szCs w:val="22"/>
        </w:rPr>
        <w:t>4</w:t>
      </w:r>
      <w:r w:rsidRPr="001B07FE">
        <w:rPr>
          <w:rFonts w:asciiTheme="minorHAnsi" w:hAnsiTheme="minorHAnsi" w:cstheme="minorHAnsi"/>
          <w:sz w:val="22"/>
          <w:szCs w:val="22"/>
        </w:rPr>
        <w:t xml:space="preserve">.2023, PETROPERÚ </w:t>
      </w:r>
      <w:r w:rsidR="009A4663" w:rsidRPr="00232A32">
        <w:rPr>
          <w:rFonts w:asciiTheme="minorHAnsi" w:hAnsiTheme="minorHAnsi" w:cstheme="minorHAnsi"/>
          <w:sz w:val="22"/>
          <w:szCs w:val="22"/>
        </w:rPr>
        <w:t xml:space="preserve">publicó su lista de precios de venta de combustibles. Se registraron </w:t>
      </w:r>
      <w:r w:rsidR="009A4663">
        <w:rPr>
          <w:rFonts w:asciiTheme="minorHAnsi" w:hAnsiTheme="minorHAnsi" w:cstheme="minorHAnsi"/>
          <w:sz w:val="22"/>
          <w:szCs w:val="22"/>
        </w:rPr>
        <w:t>variaciones en el precio de las Gasolina Premium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27</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Gasolina Regular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28</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Gasolina de 84 octanos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4103CD">
        <w:rPr>
          <w:rFonts w:asciiTheme="minorHAnsi" w:hAnsiTheme="minorHAnsi" w:cstheme="minorHAnsi"/>
          <w:sz w:val="22"/>
          <w:szCs w:val="22"/>
        </w:rPr>
        <w:t>,28</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así como el Gasohol Premium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2</w:t>
      </w:r>
      <w:r w:rsidR="00E11377">
        <w:rPr>
          <w:rFonts w:asciiTheme="minorHAnsi" w:hAnsiTheme="minorHAnsi" w:cstheme="minorHAnsi"/>
          <w:sz w:val="22"/>
          <w:szCs w:val="22"/>
        </w:rPr>
        <w:t>6</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Gasohol Regular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26</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Gasohol de 84 octanos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26</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Asimismo, también se registraron diferencias en los precios del Diesel B5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79</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xml:space="preserve">) y </w:t>
      </w:r>
      <w:r w:rsidR="004103CD">
        <w:rPr>
          <w:rFonts w:asciiTheme="minorHAnsi" w:hAnsiTheme="minorHAnsi" w:cstheme="minorHAnsi"/>
          <w:sz w:val="22"/>
          <w:szCs w:val="22"/>
        </w:rPr>
        <w:t>e</w:t>
      </w:r>
      <w:r w:rsidR="009A4663">
        <w:rPr>
          <w:rFonts w:asciiTheme="minorHAnsi" w:hAnsiTheme="minorHAnsi" w:cstheme="minorHAnsi"/>
          <w:sz w:val="22"/>
          <w:szCs w:val="22"/>
        </w:rPr>
        <w:t>l residual R6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4103CD">
        <w:rPr>
          <w:rFonts w:asciiTheme="minorHAnsi" w:hAnsiTheme="minorHAnsi" w:cstheme="minorHAnsi"/>
          <w:sz w:val="22"/>
          <w:szCs w:val="22"/>
        </w:rPr>
        <w:t>0</w:t>
      </w:r>
      <w:r w:rsidR="00E11377">
        <w:rPr>
          <w:rFonts w:asciiTheme="minorHAnsi" w:hAnsiTheme="minorHAnsi" w:cstheme="minorHAnsi"/>
          <w:sz w:val="22"/>
          <w:szCs w:val="22"/>
        </w:rPr>
        <w:t>2</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w:t>
      </w:r>
    </w:p>
    <w:p w14:paraId="0F52D45B" w14:textId="214F9991"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62D754BB" w14:textId="0234B450" w:rsidR="000866E6" w:rsidRDefault="000866E6" w:rsidP="00E53D92">
      <w:pPr>
        <w:ind w:firstLine="426"/>
        <w:rPr>
          <w:rFonts w:asciiTheme="minorHAnsi" w:hAnsiTheme="minorHAnsi" w:cstheme="minorHAnsi"/>
          <w:sz w:val="22"/>
          <w:szCs w:val="22"/>
        </w:rPr>
      </w:pPr>
    </w:p>
    <w:p w14:paraId="3AF62326" w14:textId="0FAF4A97" w:rsidR="000866E6" w:rsidRDefault="000866E6" w:rsidP="00E53D92">
      <w:pPr>
        <w:ind w:firstLine="426"/>
        <w:rPr>
          <w:rFonts w:asciiTheme="minorHAnsi" w:hAnsiTheme="minorHAnsi" w:cstheme="minorHAnsi"/>
          <w:sz w:val="22"/>
          <w:szCs w:val="22"/>
        </w:rPr>
      </w:pPr>
    </w:p>
    <w:p w14:paraId="52CD4EE8" w14:textId="29590222" w:rsidR="000866E6" w:rsidRDefault="000866E6" w:rsidP="00E53D92">
      <w:pPr>
        <w:ind w:firstLine="426"/>
        <w:rPr>
          <w:rFonts w:asciiTheme="minorHAnsi" w:hAnsiTheme="minorHAnsi" w:cstheme="minorHAnsi"/>
          <w:sz w:val="22"/>
          <w:szCs w:val="22"/>
        </w:rPr>
      </w:pPr>
    </w:p>
    <w:p w14:paraId="56B3A2C0" w14:textId="77777777" w:rsidR="000866E6" w:rsidRPr="00E77343" w:rsidRDefault="000866E6"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lastRenderedPageBreak/>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5DE66853"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462DEB98"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E11377">
        <w:rPr>
          <w:rFonts w:asciiTheme="minorHAnsi" w:hAnsiTheme="minorHAnsi" w:cstheme="minorHAnsi"/>
          <w:sz w:val="22"/>
          <w:szCs w:val="22"/>
        </w:rPr>
        <w:t>1</w:t>
      </w:r>
      <w:r w:rsidR="00EF2B41">
        <w:rPr>
          <w:rFonts w:asciiTheme="minorHAnsi" w:hAnsiTheme="minorHAnsi" w:cstheme="minorHAnsi"/>
          <w:sz w:val="22"/>
          <w:szCs w:val="22"/>
        </w:rPr>
        <w:t>7</w:t>
      </w:r>
      <w:r>
        <w:rPr>
          <w:rFonts w:asciiTheme="minorHAnsi" w:hAnsiTheme="minorHAnsi" w:cstheme="minorHAnsi"/>
          <w:sz w:val="22"/>
          <w:szCs w:val="22"/>
        </w:rPr>
        <w:t>/0</w:t>
      </w:r>
      <w:r w:rsidR="00E11377">
        <w:rPr>
          <w:rFonts w:asciiTheme="minorHAnsi" w:hAnsiTheme="minorHAnsi" w:cstheme="minorHAnsi"/>
          <w:sz w:val="22"/>
          <w:szCs w:val="22"/>
        </w:rPr>
        <w:t>4</w:t>
      </w:r>
      <w:r>
        <w:rPr>
          <w:rFonts w:asciiTheme="minorHAnsi" w:hAnsiTheme="minorHAnsi" w:cstheme="minorHAnsi"/>
          <w:sz w:val="22"/>
          <w:szCs w:val="22"/>
        </w:rPr>
        <w:t xml:space="preserve">/2023 y el </w:t>
      </w:r>
      <w:r w:rsidR="00E11377">
        <w:rPr>
          <w:rFonts w:asciiTheme="minorHAnsi" w:hAnsiTheme="minorHAnsi" w:cstheme="minorHAnsi"/>
          <w:sz w:val="22"/>
          <w:szCs w:val="22"/>
        </w:rPr>
        <w:t>2</w:t>
      </w:r>
      <w:r w:rsidR="00EF2B41">
        <w:rPr>
          <w:rFonts w:asciiTheme="minorHAnsi" w:hAnsiTheme="minorHAnsi" w:cstheme="minorHAnsi"/>
          <w:sz w:val="22"/>
          <w:szCs w:val="22"/>
        </w:rPr>
        <w:t>8</w:t>
      </w:r>
      <w:r>
        <w:rPr>
          <w:rFonts w:asciiTheme="minorHAnsi" w:hAnsiTheme="minorHAnsi" w:cstheme="minorHAnsi"/>
          <w:sz w:val="22"/>
          <w:szCs w:val="22"/>
        </w:rPr>
        <w:t>/0</w:t>
      </w:r>
      <w:r w:rsidR="00AC2744">
        <w:rPr>
          <w:rFonts w:asciiTheme="minorHAnsi" w:hAnsiTheme="minorHAnsi" w:cstheme="minorHAnsi"/>
          <w:sz w:val="22"/>
          <w:szCs w:val="22"/>
        </w:rPr>
        <w:t>4</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15F1B6F2"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11377">
        <w:rPr>
          <w:rFonts w:ascii="Calibri" w:hAnsi="Calibri" w:cs="Arial"/>
          <w:b/>
          <w:bCs/>
          <w:i/>
          <w:sz w:val="22"/>
          <w:szCs w:val="22"/>
          <w:lang w:eastAsia="es-PE"/>
        </w:rPr>
        <w:t>2</w:t>
      </w:r>
      <w:r w:rsidR="00EF2B41">
        <w:rPr>
          <w:rFonts w:ascii="Calibri" w:hAnsi="Calibri" w:cs="Arial"/>
          <w:b/>
          <w:bCs/>
          <w:i/>
          <w:sz w:val="22"/>
          <w:szCs w:val="22"/>
          <w:lang w:eastAsia="es-PE"/>
        </w:rPr>
        <w:t>8</w:t>
      </w:r>
      <w:r>
        <w:rPr>
          <w:rFonts w:ascii="Calibri" w:hAnsi="Calibri" w:cs="Arial"/>
          <w:b/>
          <w:bCs/>
          <w:i/>
          <w:sz w:val="22"/>
          <w:szCs w:val="22"/>
          <w:lang w:eastAsia="es-PE"/>
        </w:rPr>
        <w:t>-0</w:t>
      </w:r>
      <w:r w:rsidR="00AC2744">
        <w:rPr>
          <w:rFonts w:ascii="Calibri" w:hAnsi="Calibri" w:cs="Arial"/>
          <w:b/>
          <w:bCs/>
          <w:i/>
          <w:sz w:val="22"/>
          <w:szCs w:val="22"/>
          <w:lang w:eastAsia="es-PE"/>
        </w:rPr>
        <w:t>4</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66C97A1D" w:rsidR="00A86191" w:rsidRPr="00CC2A8A" w:rsidRDefault="00EF2B41" w:rsidP="00A86191">
      <w:pPr>
        <w:pBdr>
          <w:top w:val="single" w:sz="4" w:space="1" w:color="auto"/>
          <w:bottom w:val="single" w:sz="4" w:space="1" w:color="auto"/>
        </w:pBdr>
        <w:rPr>
          <w:rFonts w:ascii="Calibri" w:hAnsi="Calibri" w:cs="Arial"/>
          <w:bCs/>
          <w:sz w:val="32"/>
          <w:szCs w:val="32"/>
        </w:rPr>
      </w:pPr>
      <w:r w:rsidRPr="00461120">
        <w:rPr>
          <w:noProof/>
        </w:rPr>
        <w:drawing>
          <wp:inline distT="0" distB="0" distL="0" distR="0" wp14:anchorId="5A5E9BFA" wp14:editId="03046647">
            <wp:extent cx="5490845" cy="2922905"/>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764C32A8"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713C2F">
        <w:rPr>
          <w:rFonts w:asciiTheme="minorHAnsi" w:hAnsiTheme="minorHAnsi" w:cstheme="minorHAnsi"/>
          <w:sz w:val="22"/>
          <w:szCs w:val="22"/>
        </w:rPr>
        <w:t>6</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EF2B41">
        <w:rPr>
          <w:rFonts w:asciiTheme="minorHAnsi" w:hAnsiTheme="minorHAnsi" w:cstheme="minorHAnsi"/>
          <w:sz w:val="22"/>
          <w:szCs w:val="22"/>
        </w:rPr>
        <w:t>0</w:t>
      </w:r>
      <w:r>
        <w:rPr>
          <w:rFonts w:asciiTheme="minorHAnsi" w:hAnsiTheme="minorHAnsi" w:cstheme="minorHAnsi"/>
          <w:sz w:val="22"/>
          <w:szCs w:val="22"/>
        </w:rPr>
        <w:t>% y 8</w:t>
      </w:r>
      <w:r w:rsidR="00713C2F">
        <w:rPr>
          <w:rFonts w:asciiTheme="minorHAnsi" w:hAnsiTheme="minorHAnsi" w:cstheme="minorHAnsi"/>
          <w:sz w:val="22"/>
          <w:szCs w:val="22"/>
        </w:rPr>
        <w:t>7</w:t>
      </w:r>
      <w:r>
        <w:rPr>
          <w:rFonts w:asciiTheme="minorHAnsi" w:hAnsiTheme="minorHAnsi" w:cstheme="minorHAnsi"/>
          <w:sz w:val="22"/>
          <w:szCs w:val="22"/>
        </w:rPr>
        <w:t xml:space="preserve">% del precio de referencia de los biocombustibles, </w:t>
      </w:r>
      <w:r w:rsidR="00AC2744">
        <w:rPr>
          <w:rFonts w:asciiTheme="minorHAnsi" w:hAnsiTheme="minorHAnsi" w:cstheme="minorHAnsi"/>
          <w:sz w:val="22"/>
          <w:szCs w:val="22"/>
        </w:rPr>
        <w:t>8</w:t>
      </w:r>
      <w:r w:rsidR="00EF2B41">
        <w:rPr>
          <w:rFonts w:asciiTheme="minorHAnsi" w:hAnsiTheme="minorHAnsi" w:cstheme="minorHAnsi"/>
          <w:sz w:val="22"/>
          <w:szCs w:val="22"/>
        </w:rPr>
        <w:t>2</w:t>
      </w:r>
      <w:r>
        <w:rPr>
          <w:rFonts w:asciiTheme="minorHAnsi" w:hAnsiTheme="minorHAnsi" w:cstheme="minorHAnsi"/>
          <w:sz w:val="22"/>
          <w:szCs w:val="22"/>
        </w:rPr>
        <w:t xml:space="preserve">%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EF2B41">
        <w:rPr>
          <w:rFonts w:asciiTheme="minorHAnsi" w:hAnsiTheme="minorHAnsi" w:cstheme="minorHAnsi"/>
          <w:sz w:val="22"/>
          <w:szCs w:val="22"/>
        </w:rPr>
        <w:t>7</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13932838"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713C2F">
        <w:rPr>
          <w:rFonts w:asciiTheme="minorHAnsi" w:hAnsiTheme="minorHAnsi" w:cstheme="minorHAnsi"/>
          <w:sz w:val="22"/>
          <w:szCs w:val="22"/>
        </w:rPr>
        <w:t>2</w:t>
      </w:r>
      <w:r w:rsidR="00EF2B41">
        <w:rPr>
          <w:rFonts w:asciiTheme="minorHAnsi" w:hAnsiTheme="minorHAnsi" w:cstheme="minorHAnsi"/>
          <w:sz w:val="22"/>
          <w:szCs w:val="22"/>
        </w:rPr>
        <w:t>8</w:t>
      </w:r>
      <w:r>
        <w:rPr>
          <w:rFonts w:asciiTheme="minorHAnsi" w:hAnsiTheme="minorHAnsi" w:cstheme="minorHAnsi"/>
          <w:sz w:val="22"/>
          <w:szCs w:val="22"/>
        </w:rPr>
        <w:t xml:space="preserve"> de </w:t>
      </w:r>
      <w:r w:rsidR="00AC2744">
        <w:rPr>
          <w:rFonts w:asciiTheme="minorHAnsi" w:hAnsiTheme="minorHAnsi" w:cstheme="minorHAnsi"/>
          <w:sz w:val="22"/>
          <w:szCs w:val="22"/>
        </w:rPr>
        <w:t>abril</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448FB3AC"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46E175C0"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EF2B41">
        <w:rPr>
          <w:rFonts w:asciiTheme="minorHAnsi" w:hAnsiTheme="minorHAnsi" w:cstheme="minorHAnsi"/>
          <w:sz w:val="22"/>
          <w:szCs w:val="22"/>
        </w:rPr>
        <w:t>4</w:t>
      </w:r>
      <w:r w:rsidR="001F2602">
        <w:rPr>
          <w:rFonts w:asciiTheme="minorHAnsi" w:hAnsiTheme="minorHAnsi" w:cstheme="minorHAnsi"/>
          <w:sz w:val="22"/>
          <w:szCs w:val="22"/>
        </w:rPr>
        <w:t>,</w:t>
      </w:r>
      <w:r w:rsidR="00EF2B41">
        <w:rPr>
          <w:rFonts w:asciiTheme="minorHAnsi" w:hAnsiTheme="minorHAnsi" w:cstheme="minorHAnsi"/>
          <w:sz w:val="22"/>
          <w:szCs w:val="22"/>
        </w:rPr>
        <w:t>96</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282F7F6F"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F2B41">
        <w:rPr>
          <w:rFonts w:asciiTheme="minorHAnsi" w:hAnsiTheme="minorHAnsi" w:cstheme="minorHAnsi"/>
          <w:sz w:val="22"/>
          <w:szCs w:val="22"/>
          <w:lang w:val="en-US"/>
        </w:rPr>
        <w:t>4</w:t>
      </w:r>
      <w:r>
        <w:rPr>
          <w:rFonts w:asciiTheme="minorHAnsi" w:hAnsiTheme="minorHAnsi" w:cstheme="minorHAnsi"/>
          <w:sz w:val="22"/>
          <w:szCs w:val="22"/>
          <w:lang w:val="en-US"/>
        </w:rPr>
        <w:t>,</w:t>
      </w:r>
      <w:r w:rsidR="00EF2B41">
        <w:rPr>
          <w:rFonts w:asciiTheme="minorHAnsi" w:hAnsiTheme="minorHAnsi" w:cstheme="minorHAnsi"/>
          <w:sz w:val="22"/>
          <w:szCs w:val="22"/>
          <w:lang w:val="en-US"/>
        </w:rPr>
        <w:t>96</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EF2B41">
        <w:rPr>
          <w:rFonts w:asciiTheme="minorHAnsi" w:hAnsiTheme="minorHAnsi" w:cstheme="minorHAnsi"/>
          <w:sz w:val="22"/>
          <w:szCs w:val="22"/>
          <w:lang w:val="en-US"/>
        </w:rPr>
        <w:t>55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5DED1222"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EF2B41">
        <w:rPr>
          <w:rFonts w:asciiTheme="minorHAnsi" w:hAnsiTheme="minorHAnsi" w:cstheme="minorHAnsi"/>
          <w:sz w:val="22"/>
          <w:szCs w:val="22"/>
          <w:lang w:val="en-US"/>
        </w:rPr>
        <w:t>49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21860D42"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713C2F">
        <w:rPr>
          <w:rFonts w:asciiTheme="minorHAnsi" w:hAnsiTheme="minorHAnsi" w:cstheme="minorHAnsi"/>
          <w:sz w:val="22"/>
          <w:szCs w:val="22"/>
        </w:rPr>
        <w:t>9</w:t>
      </w:r>
      <w:r w:rsidR="00EF2B41">
        <w:rPr>
          <w:rFonts w:asciiTheme="minorHAnsi" w:hAnsiTheme="minorHAnsi" w:cstheme="minorHAnsi"/>
          <w:sz w:val="22"/>
          <w:szCs w:val="22"/>
        </w:rPr>
        <w:t>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6695B19D"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EF2B41">
        <w:rPr>
          <w:rFonts w:asciiTheme="minorHAnsi" w:hAnsiTheme="minorHAnsi" w:cstheme="minorHAnsi"/>
          <w:sz w:val="22"/>
          <w:szCs w:val="22"/>
        </w:rPr>
        <w:t>85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713C2F">
        <w:rPr>
          <w:rFonts w:asciiTheme="minorHAnsi" w:hAnsiTheme="minorHAnsi" w:cstheme="minorHAnsi"/>
          <w:sz w:val="22"/>
          <w:szCs w:val="22"/>
        </w:rPr>
        <w:t>7</w:t>
      </w:r>
      <w:r w:rsidR="00EF2B41">
        <w:rPr>
          <w:rFonts w:asciiTheme="minorHAnsi" w:hAnsiTheme="minorHAnsi" w:cstheme="minorHAnsi"/>
          <w:sz w:val="22"/>
          <w:szCs w:val="22"/>
        </w:rPr>
        <w:t>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5F891AA4"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EF2B41">
        <w:rPr>
          <w:rFonts w:asciiTheme="minorHAnsi" w:hAnsiTheme="minorHAnsi" w:cstheme="minorHAnsi"/>
          <w:sz w:val="22"/>
          <w:szCs w:val="22"/>
        </w:rPr>
        <w:t>78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EF2B41">
        <w:rPr>
          <w:rFonts w:asciiTheme="minorHAnsi" w:hAnsiTheme="minorHAnsi" w:cstheme="minorHAnsi"/>
          <w:sz w:val="22"/>
          <w:szCs w:val="22"/>
        </w:rPr>
        <w:t>9</w:t>
      </w:r>
      <w:r w:rsidR="00513E2B">
        <w:rPr>
          <w:rFonts w:asciiTheme="minorHAnsi" w:hAnsiTheme="minorHAnsi" w:cstheme="minorHAnsi"/>
          <w:sz w:val="22"/>
          <w:szCs w:val="22"/>
        </w:rPr>
        <w:t>,</w:t>
      </w:r>
      <w:r w:rsidR="00EF2B41">
        <w:rPr>
          <w:rFonts w:asciiTheme="minorHAnsi" w:hAnsiTheme="minorHAnsi" w:cstheme="minorHAnsi"/>
          <w:sz w:val="22"/>
          <w:szCs w:val="22"/>
        </w:rPr>
        <w:t>59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447775C5" w:rsidR="00E812D9" w:rsidRDefault="00E812D9" w:rsidP="00E812D9">
      <w:pPr>
        <w:ind w:left="426" w:hanging="426"/>
        <w:jc w:val="both"/>
        <w:rPr>
          <w:rFonts w:asciiTheme="minorHAnsi" w:hAnsiTheme="minorHAnsi" w:cstheme="minorHAnsi"/>
          <w:sz w:val="22"/>
          <w:szCs w:val="22"/>
          <w:u w:val="single"/>
        </w:rPr>
      </w:pPr>
    </w:p>
    <w:p w14:paraId="35EDCE20" w14:textId="7F096701" w:rsidR="000866E6" w:rsidRDefault="000866E6" w:rsidP="00E812D9">
      <w:pPr>
        <w:ind w:left="426" w:hanging="426"/>
        <w:jc w:val="both"/>
        <w:rPr>
          <w:rFonts w:asciiTheme="minorHAnsi" w:hAnsiTheme="minorHAnsi" w:cstheme="minorHAnsi"/>
          <w:sz w:val="22"/>
          <w:szCs w:val="22"/>
          <w:u w:val="single"/>
        </w:rPr>
      </w:pPr>
    </w:p>
    <w:p w14:paraId="26C19936" w14:textId="6C1F6C3B" w:rsidR="000866E6" w:rsidRDefault="000866E6" w:rsidP="00E812D9">
      <w:pPr>
        <w:ind w:left="426" w:hanging="426"/>
        <w:jc w:val="both"/>
        <w:rPr>
          <w:rFonts w:asciiTheme="minorHAnsi" w:hAnsiTheme="minorHAnsi" w:cstheme="minorHAnsi"/>
          <w:sz w:val="22"/>
          <w:szCs w:val="22"/>
          <w:u w:val="single"/>
        </w:rPr>
      </w:pPr>
    </w:p>
    <w:p w14:paraId="0C87F571" w14:textId="56DFBA01" w:rsidR="000866E6" w:rsidRDefault="000866E6" w:rsidP="00E812D9">
      <w:pPr>
        <w:ind w:left="426" w:hanging="426"/>
        <w:jc w:val="both"/>
        <w:rPr>
          <w:rFonts w:asciiTheme="minorHAnsi" w:hAnsiTheme="minorHAnsi" w:cstheme="minorHAnsi"/>
          <w:sz w:val="22"/>
          <w:szCs w:val="22"/>
          <w:u w:val="single"/>
        </w:rPr>
      </w:pPr>
    </w:p>
    <w:p w14:paraId="5FEF9CEA" w14:textId="0663B413" w:rsidR="000866E6" w:rsidRDefault="000866E6" w:rsidP="00E812D9">
      <w:pPr>
        <w:ind w:left="426" w:hanging="426"/>
        <w:jc w:val="both"/>
        <w:rPr>
          <w:rFonts w:asciiTheme="minorHAnsi" w:hAnsiTheme="minorHAnsi" w:cstheme="minorHAnsi"/>
          <w:sz w:val="22"/>
          <w:szCs w:val="22"/>
          <w:u w:val="single"/>
        </w:rPr>
      </w:pPr>
    </w:p>
    <w:p w14:paraId="39FFE211" w14:textId="2890839D" w:rsidR="000866E6" w:rsidRDefault="000866E6" w:rsidP="00E812D9">
      <w:pPr>
        <w:ind w:left="426" w:hanging="426"/>
        <w:jc w:val="both"/>
        <w:rPr>
          <w:rFonts w:asciiTheme="minorHAnsi" w:hAnsiTheme="minorHAnsi" w:cstheme="minorHAnsi"/>
          <w:sz w:val="22"/>
          <w:szCs w:val="22"/>
          <w:u w:val="single"/>
        </w:rPr>
      </w:pPr>
    </w:p>
    <w:p w14:paraId="4B15E4EB" w14:textId="77777777" w:rsidR="000866E6" w:rsidRDefault="000866E6"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2AC43F1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713C2F">
        <w:rPr>
          <w:rFonts w:asciiTheme="minorHAnsi" w:hAnsiTheme="minorHAnsi" w:cstheme="minorHAnsi"/>
          <w:sz w:val="22"/>
          <w:szCs w:val="22"/>
        </w:rPr>
        <w:t>9</w:t>
      </w:r>
      <w:r w:rsidR="00EF2B41">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45B51A84" w:rsidR="00E812D9" w:rsidRDefault="00E812D9" w:rsidP="00E812D9">
      <w:pPr>
        <w:ind w:left="426" w:hanging="426"/>
        <w:jc w:val="both"/>
        <w:rPr>
          <w:rFonts w:asciiTheme="minorHAnsi" w:hAnsiTheme="minorHAnsi" w:cstheme="minorHAnsi"/>
          <w:b/>
          <w:sz w:val="22"/>
          <w:szCs w:val="22"/>
          <w:u w:val="single"/>
        </w:rPr>
      </w:pPr>
    </w:p>
    <w:p w14:paraId="6F85BF9C" w14:textId="77777777" w:rsidR="00EF2B41" w:rsidRPr="006E3A77" w:rsidRDefault="00EF2B41"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17C0557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EF2B41">
        <w:rPr>
          <w:rFonts w:asciiTheme="minorHAnsi" w:hAnsiTheme="minorHAnsi" w:cstheme="minorHAnsi"/>
          <w:sz w:val="22"/>
          <w:szCs w:val="22"/>
        </w:rPr>
        <w:t>49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77777777" w:rsidR="000866E6" w:rsidRDefault="000866E6"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4CE378D0" w:rsidR="00765078" w:rsidRDefault="000866E6" w:rsidP="004F74EE">
      <w:pPr>
        <w:pBdr>
          <w:top w:val="single" w:sz="4" w:space="1" w:color="auto"/>
          <w:bottom w:val="single" w:sz="4" w:space="1" w:color="auto"/>
        </w:pBdr>
        <w:jc w:val="center"/>
        <w:rPr>
          <w:rFonts w:ascii="Calibri" w:hAnsi="Calibri" w:cs="Calibri"/>
          <w:sz w:val="22"/>
          <w:szCs w:val="22"/>
          <w:lang w:val="es-PE" w:eastAsia="en-US"/>
        </w:rPr>
      </w:pPr>
      <w:r w:rsidRPr="000866E6">
        <w:drawing>
          <wp:inline distT="0" distB="0" distL="0" distR="0" wp14:anchorId="098F1EE5" wp14:editId="684AE221">
            <wp:extent cx="8173085" cy="300037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30003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2CD0252D" w:rsidR="00F85D23" w:rsidRDefault="000866E6" w:rsidP="00FB4E04">
            <w:pPr>
              <w:ind w:left="-618" w:right="-654"/>
              <w:jc w:val="center"/>
              <w:rPr>
                <w:rFonts w:asciiTheme="minorHAnsi" w:hAnsiTheme="minorHAnsi" w:cstheme="minorHAnsi"/>
              </w:rPr>
            </w:pPr>
            <w:r w:rsidRPr="000866E6">
              <w:rPr>
                <w:rFonts w:asciiTheme="minorHAnsi" w:hAnsiTheme="minorHAnsi" w:cstheme="minorHAnsi"/>
                <w:noProof/>
              </w:rPr>
              <w:drawing>
                <wp:inline distT="0" distB="0" distL="0" distR="0" wp14:anchorId="70C0C381" wp14:editId="59847DEB">
                  <wp:extent cx="3526155" cy="2838091"/>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2395" cy="2843113"/>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17ED429E" w:rsidR="00EF3BE9" w:rsidRPr="00CE793E" w:rsidRDefault="000866E6"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525B9921" wp14:editId="66376709">
                  <wp:extent cx="5329555" cy="2458529"/>
                  <wp:effectExtent l="0" t="0" r="444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72424" cy="2478305"/>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7EED5CB6" w:rsidR="006C63F4" w:rsidRPr="00737F8F" w:rsidRDefault="000866E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866E6">
        <w:drawing>
          <wp:inline distT="0" distB="0" distL="0" distR="0" wp14:anchorId="029B3F4F" wp14:editId="3009EEE0">
            <wp:extent cx="5667513" cy="2389517"/>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b="5118"/>
                    <a:stretch/>
                  </pic:blipFill>
                  <pic:spPr bwMode="auto">
                    <a:xfrm>
                      <a:off x="0" y="0"/>
                      <a:ext cx="5678758" cy="2394258"/>
                    </a:xfrm>
                    <a:prstGeom prst="rect">
                      <a:avLst/>
                    </a:prstGeom>
                    <a:noFill/>
                    <a:ln>
                      <a:noFill/>
                    </a:ln>
                    <a:extLst>
                      <a:ext uri="{53640926-AAD7-44D8-BBD7-CCE9431645EC}">
                        <a14:shadowObscured xmlns:a14="http://schemas.microsoft.com/office/drawing/2010/main"/>
                      </a:ext>
                    </a:extLst>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67E83457" w:rsidR="005C4A97" w:rsidRDefault="00710ECC" w:rsidP="00604758">
      <w:pPr>
        <w:spacing w:line="0" w:lineRule="atLeast"/>
        <w:ind w:right="-567"/>
        <w:jc w:val="both"/>
        <w:rPr>
          <w:rFonts w:asciiTheme="minorHAnsi" w:hAnsiTheme="minorHAnsi" w:cstheme="minorHAnsi"/>
          <w:i/>
          <w:sz w:val="18"/>
          <w:szCs w:val="18"/>
        </w:rPr>
      </w:pPr>
      <w:r w:rsidRPr="00710ECC">
        <w:drawing>
          <wp:inline distT="0" distB="0" distL="0" distR="0" wp14:anchorId="77CC62D3" wp14:editId="3F2C41E7">
            <wp:extent cx="5850255" cy="225149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6378" cy="225385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3FF47CCB" w:rsidR="00127A54" w:rsidRDefault="00710ECC" w:rsidP="006220EA">
      <w:pPr>
        <w:rPr>
          <w:rFonts w:asciiTheme="minorHAnsi" w:hAnsiTheme="minorHAnsi" w:cstheme="minorHAnsi"/>
          <w:i/>
          <w:sz w:val="18"/>
          <w:szCs w:val="18"/>
        </w:rPr>
      </w:pPr>
      <w:r w:rsidRPr="00710ECC">
        <w:drawing>
          <wp:inline distT="0" distB="0" distL="0" distR="0" wp14:anchorId="4609C5D4" wp14:editId="4754092D">
            <wp:extent cx="5850255" cy="7384211"/>
            <wp:effectExtent l="0" t="0" r="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2400" cy="7386918"/>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94754AD" w:rsidR="005048C1" w:rsidRPr="00C2751F" w:rsidRDefault="00710ECC" w:rsidP="005048C1">
      <w:pPr>
        <w:spacing w:line="0" w:lineRule="atLeast"/>
        <w:ind w:right="-567"/>
        <w:jc w:val="both"/>
        <w:rPr>
          <w:noProof/>
          <w:lang w:val="es-PE" w:eastAsia="es-PE"/>
        </w:rPr>
      </w:pPr>
      <w:r w:rsidRPr="00710ECC">
        <w:drawing>
          <wp:inline distT="0" distB="0" distL="0" distR="0" wp14:anchorId="2D798EF7" wp14:editId="6BCFC43C">
            <wp:extent cx="5850255" cy="596947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3313" cy="5972599"/>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19B126C6" w14:textId="77777777" w:rsidR="00EA266B" w:rsidRDefault="00EA266B" w:rsidP="00EA266B">
      <w:pPr>
        <w:jc w:val="center"/>
        <w:rPr>
          <w:rFonts w:asciiTheme="minorHAnsi" w:hAnsiTheme="minorHAnsi" w:cstheme="minorHAnsi"/>
          <w:sz w:val="22"/>
          <w:szCs w:val="22"/>
        </w:rPr>
      </w:pPr>
      <w:r>
        <w:rPr>
          <w:noProof/>
        </w:rPr>
        <w:drawing>
          <wp:inline distT="0" distB="0" distL="0" distR="0" wp14:anchorId="25C27658" wp14:editId="3042CA83">
            <wp:extent cx="4665694" cy="2491105"/>
            <wp:effectExtent l="19050" t="19050" r="20955" b="23495"/>
            <wp:docPr id="31" name="Picture 3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71028" cy="2493953"/>
                    </a:xfrm>
                    <a:prstGeom prst="rect">
                      <a:avLst/>
                    </a:prstGeom>
                    <a:noFill/>
                    <a:ln>
                      <a:solidFill>
                        <a:schemeClr val="accent1"/>
                      </a:solidFill>
                    </a:ln>
                  </pic:spPr>
                </pic:pic>
              </a:graphicData>
            </a:graphic>
          </wp:inline>
        </w:drawing>
      </w:r>
    </w:p>
    <w:p w14:paraId="3C294BE7" w14:textId="77777777" w:rsidR="00EA266B" w:rsidRDefault="00EA266B" w:rsidP="00EA266B">
      <w:pPr>
        <w:jc w:val="center"/>
        <w:rPr>
          <w:rFonts w:asciiTheme="minorHAnsi" w:hAnsiTheme="minorHAnsi" w:cstheme="minorHAnsi"/>
          <w:sz w:val="22"/>
          <w:szCs w:val="22"/>
        </w:rPr>
      </w:pPr>
    </w:p>
    <w:p w14:paraId="1751ABD2" w14:textId="77777777" w:rsidR="00EA266B" w:rsidRDefault="00EA266B" w:rsidP="00EA266B">
      <w:pPr>
        <w:jc w:val="center"/>
        <w:rPr>
          <w:rFonts w:asciiTheme="minorHAnsi" w:hAnsiTheme="minorHAnsi" w:cstheme="minorHAnsi"/>
          <w:sz w:val="22"/>
          <w:szCs w:val="22"/>
        </w:rPr>
      </w:pPr>
      <w:r>
        <w:rPr>
          <w:noProof/>
        </w:rPr>
        <w:drawing>
          <wp:inline distT="0" distB="0" distL="0" distR="0" wp14:anchorId="0D5FD471" wp14:editId="3065A627">
            <wp:extent cx="4608607" cy="2460625"/>
            <wp:effectExtent l="19050" t="19050" r="20955" b="15875"/>
            <wp:docPr id="32" name="Picture 3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18604" cy="2465963"/>
                    </a:xfrm>
                    <a:prstGeom prst="rect">
                      <a:avLst/>
                    </a:prstGeom>
                    <a:noFill/>
                    <a:ln>
                      <a:solidFill>
                        <a:schemeClr val="accent1"/>
                      </a:solidFill>
                    </a:ln>
                  </pic:spPr>
                </pic:pic>
              </a:graphicData>
            </a:graphic>
          </wp:inline>
        </w:drawing>
      </w:r>
    </w:p>
    <w:p w14:paraId="33395508" w14:textId="77777777" w:rsidR="00EA266B" w:rsidRDefault="00EA266B" w:rsidP="00EA266B">
      <w:pPr>
        <w:jc w:val="center"/>
        <w:rPr>
          <w:rFonts w:asciiTheme="minorHAnsi" w:hAnsiTheme="minorHAnsi" w:cstheme="minorHAnsi"/>
          <w:sz w:val="22"/>
          <w:szCs w:val="22"/>
        </w:rPr>
      </w:pPr>
    </w:p>
    <w:p w14:paraId="397FE128" w14:textId="77777777" w:rsidR="00EA266B" w:rsidRDefault="00EA266B" w:rsidP="00EA266B">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r>
        <w:rPr>
          <w:noProof/>
        </w:rPr>
        <w:drawing>
          <wp:inline distT="0" distB="0" distL="0" distR="0" wp14:anchorId="46A3FB5D" wp14:editId="1BEEE66B">
            <wp:extent cx="4554855" cy="2431925"/>
            <wp:effectExtent l="19050" t="19050" r="17145" b="26035"/>
            <wp:docPr id="33" name="Picture 3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6846" cy="2443666"/>
                    </a:xfrm>
                    <a:prstGeom prst="rect">
                      <a:avLst/>
                    </a:prstGeom>
                    <a:noFill/>
                    <a:ln>
                      <a:solidFill>
                        <a:schemeClr val="accent1"/>
                      </a:solidFill>
                    </a:ln>
                  </pic:spPr>
                </pic:pic>
              </a:graphicData>
            </a:graphic>
          </wp:inline>
        </w:drawing>
      </w:r>
    </w:p>
    <w:p w14:paraId="79ED9FC8" w14:textId="77777777" w:rsidR="00EA266B" w:rsidRDefault="00EA266B" w:rsidP="00EA266B">
      <w:pPr>
        <w:jc w:val="center"/>
        <w:rPr>
          <w:rFonts w:asciiTheme="minorHAnsi" w:hAnsiTheme="minorHAnsi" w:cstheme="minorHAnsi"/>
          <w:b/>
          <w:iCs/>
          <w:u w:val="single"/>
        </w:rPr>
      </w:pPr>
    </w:p>
    <w:p w14:paraId="2C17BD35" w14:textId="77777777" w:rsidR="00EA266B" w:rsidRDefault="00EA266B" w:rsidP="00EA266B">
      <w:pPr>
        <w:jc w:val="center"/>
        <w:rPr>
          <w:rFonts w:asciiTheme="minorHAnsi" w:hAnsiTheme="minorHAnsi" w:cstheme="minorHAnsi"/>
          <w:b/>
          <w:iCs/>
          <w:u w:val="single"/>
        </w:rPr>
      </w:pPr>
      <w:r>
        <w:rPr>
          <w:noProof/>
        </w:rPr>
        <w:drawing>
          <wp:inline distT="0" distB="0" distL="0" distR="0" wp14:anchorId="370A6339" wp14:editId="248D5F12">
            <wp:extent cx="4560570" cy="2434976"/>
            <wp:effectExtent l="19050" t="19050" r="11430" b="22860"/>
            <wp:docPr id="34" name="Picture 3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3389" cy="2441820"/>
                    </a:xfrm>
                    <a:prstGeom prst="rect">
                      <a:avLst/>
                    </a:prstGeom>
                    <a:noFill/>
                    <a:ln>
                      <a:solidFill>
                        <a:schemeClr val="accent1"/>
                      </a:solidFill>
                    </a:ln>
                  </pic:spPr>
                </pic:pic>
              </a:graphicData>
            </a:graphic>
          </wp:inline>
        </w:drawing>
      </w:r>
    </w:p>
    <w:p w14:paraId="572098EB" w14:textId="77777777" w:rsidR="003C289C" w:rsidRDefault="003C289C" w:rsidP="003C289C">
      <w:pPr>
        <w:jc w:val="center"/>
        <w:rPr>
          <w:rFonts w:asciiTheme="minorHAnsi" w:hAnsiTheme="minorHAnsi" w:cstheme="minorHAnsi"/>
          <w:b/>
          <w:iCs/>
          <w:u w:val="single"/>
        </w:rPr>
      </w:pPr>
    </w:p>
    <w:p w14:paraId="1897531A" w14:textId="1BDC1EDE" w:rsidR="003C289C" w:rsidRDefault="003C289C" w:rsidP="003C289C">
      <w:pPr>
        <w:jc w:val="center"/>
        <w:rPr>
          <w:rFonts w:asciiTheme="minorHAnsi" w:hAnsiTheme="minorHAnsi" w:cstheme="minorHAnsi"/>
          <w:b/>
          <w:iCs/>
          <w:u w:val="single"/>
        </w:rPr>
      </w:pPr>
    </w:p>
    <w:p w14:paraId="005BDD39" w14:textId="77777777" w:rsidR="003C289C" w:rsidRDefault="003C289C" w:rsidP="003C289C">
      <w:pPr>
        <w:rPr>
          <w:rFonts w:asciiTheme="minorHAnsi" w:hAnsiTheme="minorHAnsi" w:cstheme="minorHAnsi"/>
          <w:b/>
          <w:iCs/>
          <w:u w:val="single"/>
        </w:rPr>
      </w:pPr>
    </w:p>
    <w:p w14:paraId="5F427FD7" w14:textId="77777777" w:rsidR="003C289C" w:rsidRDefault="003C289C" w:rsidP="003C289C">
      <w:pPr>
        <w:rPr>
          <w:rFonts w:asciiTheme="minorHAnsi" w:hAnsiTheme="minorHAnsi" w:cstheme="minorHAnsi"/>
          <w:b/>
          <w:iCs/>
          <w:u w:val="single"/>
        </w:rPr>
      </w:pPr>
    </w:p>
    <w:p w14:paraId="152F346D" w14:textId="77777777" w:rsidR="003C289C" w:rsidRDefault="003C289C" w:rsidP="003C289C">
      <w:pPr>
        <w:rPr>
          <w:rFonts w:asciiTheme="minorHAnsi" w:hAnsiTheme="minorHAnsi" w:cstheme="minorHAnsi"/>
          <w:b/>
          <w:iCs/>
          <w:u w:val="single"/>
        </w:rPr>
      </w:pPr>
    </w:p>
    <w:p w14:paraId="4EFAE8E0" w14:textId="77777777" w:rsidR="003C289C" w:rsidRDefault="003C289C" w:rsidP="003C289C">
      <w:pPr>
        <w:rPr>
          <w:rFonts w:asciiTheme="minorHAnsi" w:hAnsiTheme="minorHAnsi" w:cstheme="minorHAnsi"/>
          <w:b/>
          <w:iCs/>
          <w:u w:val="single"/>
        </w:rPr>
      </w:pPr>
    </w:p>
    <w:p w14:paraId="0AC4CAD2" w14:textId="77777777" w:rsidR="003C289C" w:rsidRDefault="003C289C" w:rsidP="003C289C">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E60C43"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1E0E438"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6E1BB8">
            <w:rPr>
              <w:rFonts w:ascii="Calibri" w:hAnsi="Calibri" w:cs="Calibri"/>
              <w:b/>
              <w:sz w:val="26"/>
              <w:szCs w:val="26"/>
              <w:lang w:val="it-IT"/>
            </w:rPr>
            <w:t>8</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FA1906B"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7045AA">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EE8C3E5"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6E1BB8">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0386F014"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6E1BB8">
            <w:rPr>
              <w:rFonts w:ascii="Calibri" w:hAnsi="Calibri" w:cs="Calibri"/>
              <w:b/>
              <w:sz w:val="26"/>
              <w:szCs w:val="26"/>
              <w:lang w:val="it-IT"/>
            </w:rPr>
            <w:t>8</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15</Pages>
  <Words>2894</Words>
  <Characters>15920</Characters>
  <Application>Microsoft Office Word</Application>
  <DocSecurity>0</DocSecurity>
  <Lines>132</Lines>
  <Paragraphs>37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18777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5</cp:revision>
  <cp:lastPrinted>2023-04-19T15:26:00Z</cp:lastPrinted>
  <dcterms:created xsi:type="dcterms:W3CDTF">2023-05-02T16:47:00Z</dcterms:created>
  <dcterms:modified xsi:type="dcterms:W3CDTF">2023-05-02T21:19:00Z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