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93F77B0"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0D4804">
        <w:rPr>
          <w:rFonts w:ascii="Poppins" w:hAnsi="Poppins" w:cs="Poppins"/>
          <w:sz w:val="24"/>
          <w:szCs w:val="22"/>
          <w:u w:val="single"/>
          <w:lang w:val="es-PE"/>
        </w:rPr>
        <w:t>6</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175E92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291A5A">
        <w:rPr>
          <w:rFonts w:ascii="Poppins" w:hAnsi="Poppins" w:cs="Poppins"/>
          <w:b/>
          <w:bCs/>
          <w:sz w:val="22"/>
          <w:szCs w:val="22"/>
        </w:rPr>
        <w:t>0</w:t>
      </w:r>
      <w:r w:rsidR="000D4804">
        <w:rPr>
          <w:rFonts w:ascii="Poppins" w:hAnsi="Poppins" w:cs="Poppins"/>
          <w:b/>
          <w:bCs/>
          <w:sz w:val="22"/>
          <w:szCs w:val="22"/>
        </w:rPr>
        <w:t>9</w:t>
      </w:r>
      <w:r w:rsidR="00316BFF">
        <w:rPr>
          <w:rFonts w:ascii="Poppins" w:hAnsi="Poppins" w:cs="Poppins"/>
          <w:b/>
          <w:bCs/>
          <w:sz w:val="22"/>
          <w:szCs w:val="22"/>
        </w:rPr>
        <w:t>/</w:t>
      </w:r>
      <w:r w:rsidR="005151B0">
        <w:rPr>
          <w:rFonts w:ascii="Poppins" w:hAnsi="Poppins" w:cs="Poppins"/>
          <w:b/>
          <w:bCs/>
          <w:sz w:val="22"/>
          <w:szCs w:val="22"/>
        </w:rPr>
        <w:t>0</w:t>
      </w:r>
      <w:r w:rsidR="00291A5A">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06467183" w:rsidR="00AB06BA" w:rsidRPr="001C2FD3" w:rsidRDefault="000D4804"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B701EEA" wp14:editId="620818CC">
            <wp:extent cx="5334000" cy="375575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6782" cy="376475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6028086"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07A4E">
        <w:rPr>
          <w:rFonts w:ascii="Poppins" w:hAnsi="Poppins" w:cs="Poppins"/>
          <w:sz w:val="18"/>
          <w:szCs w:val="18"/>
        </w:rPr>
        <w:t>6</w:t>
      </w:r>
      <w:r w:rsidR="000A7DFE">
        <w:rPr>
          <w:rFonts w:ascii="Poppins" w:hAnsi="Poppins" w:cs="Poppins"/>
          <w:sz w:val="18"/>
          <w:szCs w:val="18"/>
        </w:rPr>
        <w:t>3</w:t>
      </w:r>
      <w:r w:rsidR="00E23D92" w:rsidRPr="00273F37">
        <w:rPr>
          <w:rFonts w:ascii="Poppins" w:hAnsi="Poppins" w:cs="Poppins"/>
          <w:sz w:val="18"/>
          <w:szCs w:val="18"/>
        </w:rPr>
        <w:t>,</w:t>
      </w:r>
      <w:r w:rsidR="000A7DFE">
        <w:rPr>
          <w:rFonts w:ascii="Poppins" w:hAnsi="Poppins" w:cs="Poppins"/>
          <w:sz w:val="18"/>
          <w:szCs w:val="18"/>
        </w:rPr>
        <w:t>39</w:t>
      </w:r>
      <w:r w:rsidRPr="00273F37">
        <w:rPr>
          <w:rFonts w:ascii="Poppins" w:hAnsi="Poppins" w:cs="Poppins"/>
          <w:sz w:val="18"/>
          <w:szCs w:val="18"/>
        </w:rPr>
        <w:t xml:space="preserve"> US$/Bl, las gasolinas registraron un precio superior a </w:t>
      </w:r>
      <w:r w:rsidR="007A079C">
        <w:rPr>
          <w:rFonts w:ascii="Poppins" w:hAnsi="Poppins" w:cs="Poppins"/>
          <w:sz w:val="18"/>
          <w:szCs w:val="18"/>
        </w:rPr>
        <w:t>7</w:t>
      </w:r>
      <w:r w:rsidR="007477F2">
        <w:rPr>
          <w:rFonts w:ascii="Poppins" w:hAnsi="Poppins" w:cs="Poppins"/>
          <w:sz w:val="18"/>
          <w:szCs w:val="18"/>
        </w:rPr>
        <w:t>7</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0A7DFE">
        <w:rPr>
          <w:rFonts w:ascii="Poppins" w:hAnsi="Poppins" w:cs="Poppins"/>
          <w:sz w:val="18"/>
          <w:szCs w:val="18"/>
        </w:rPr>
        <w:t>95</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0A7DFE">
        <w:rPr>
          <w:rFonts w:ascii="Poppins" w:hAnsi="Poppins" w:cs="Poppins"/>
          <w:sz w:val="18"/>
          <w:szCs w:val="18"/>
        </w:rPr>
        <w:t>8</w:t>
      </w:r>
      <w:r w:rsidR="00941CD2" w:rsidRPr="00273F37">
        <w:rPr>
          <w:rFonts w:ascii="Poppins" w:hAnsi="Poppins" w:cs="Poppins"/>
          <w:sz w:val="18"/>
          <w:szCs w:val="18"/>
        </w:rPr>
        <w:t>,</w:t>
      </w:r>
      <w:r w:rsidR="000A7DFE">
        <w:rPr>
          <w:rFonts w:ascii="Poppins" w:hAnsi="Poppins" w:cs="Poppins"/>
          <w:sz w:val="18"/>
          <w:szCs w:val="18"/>
        </w:rPr>
        <w:t>02</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19F36DAE"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0A7DFE">
        <w:rPr>
          <w:rFonts w:ascii="Poppins" w:hAnsi="Poppins" w:cs="Poppins"/>
          <w:bCs/>
          <w:sz w:val="18"/>
          <w:szCs w:val="18"/>
        </w:rPr>
        <w:t>2</w:t>
      </w:r>
      <w:r w:rsidR="0042324B">
        <w:rPr>
          <w:rFonts w:ascii="Poppins" w:hAnsi="Poppins" w:cs="Poppins"/>
          <w:bCs/>
          <w:sz w:val="18"/>
          <w:szCs w:val="18"/>
        </w:rPr>
        <w:t>6</w:t>
      </w:r>
      <w:r w:rsidR="007D7CB0">
        <w:rPr>
          <w:rFonts w:ascii="Poppins" w:hAnsi="Poppins" w:cs="Poppins"/>
          <w:bCs/>
          <w:sz w:val="18"/>
          <w:szCs w:val="18"/>
        </w:rPr>
        <w:t>.</w:t>
      </w:r>
      <w:r w:rsidR="00B816EA">
        <w:rPr>
          <w:rFonts w:ascii="Poppins" w:hAnsi="Poppins" w:cs="Poppins"/>
          <w:bCs/>
          <w:sz w:val="18"/>
          <w:szCs w:val="18"/>
        </w:rPr>
        <w:t>0</w:t>
      </w:r>
      <w:r w:rsidR="00784CB3" w:rsidRPr="00ED72E4">
        <w:rPr>
          <w:rFonts w:ascii="Poppins" w:hAnsi="Poppins" w:cs="Poppins"/>
          <w:bCs/>
          <w:sz w:val="18"/>
          <w:szCs w:val="18"/>
        </w:rPr>
        <w:t>1</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42324B">
        <w:rPr>
          <w:rFonts w:ascii="Poppins" w:hAnsi="Poppins" w:cs="Poppins"/>
          <w:bCs/>
          <w:sz w:val="18"/>
          <w:szCs w:val="18"/>
        </w:rPr>
        <w:t>0</w:t>
      </w:r>
      <w:r w:rsidR="000A7DFE">
        <w:rPr>
          <w:rFonts w:ascii="Poppins" w:hAnsi="Poppins" w:cs="Poppins"/>
          <w:bCs/>
          <w:sz w:val="18"/>
          <w:szCs w:val="18"/>
        </w:rPr>
        <w:t>6</w:t>
      </w:r>
      <w:r w:rsidR="005151B0">
        <w:rPr>
          <w:rFonts w:ascii="Poppins" w:hAnsi="Poppins" w:cs="Poppins"/>
          <w:bCs/>
          <w:sz w:val="18"/>
          <w:szCs w:val="18"/>
        </w:rPr>
        <w:t>.0</w:t>
      </w:r>
      <w:r w:rsidR="000A7DFE">
        <w:rPr>
          <w:rFonts w:ascii="Poppins" w:hAnsi="Poppins" w:cs="Poppins"/>
          <w:bCs/>
          <w:sz w:val="18"/>
          <w:szCs w:val="18"/>
        </w:rPr>
        <w:t>2</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186534B4" w14:textId="77777777" w:rsidR="000A7DFE" w:rsidRPr="00592F97" w:rsidRDefault="000A7DFE" w:rsidP="000A7DFE">
      <w:pPr>
        <w:jc w:val="both"/>
        <w:rPr>
          <w:rFonts w:ascii="Poppins" w:hAnsi="Poppins" w:cs="Poppins"/>
          <w:sz w:val="18"/>
          <w:szCs w:val="18"/>
        </w:rPr>
      </w:pPr>
    </w:p>
    <w:p w14:paraId="7DA39B34" w14:textId="77777777" w:rsidR="000A7DFE" w:rsidRPr="00E63B29" w:rsidRDefault="000A7DFE" w:rsidP="000A7DFE">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El incremento de los inventarios de gasolinas, así como el descenso de las existencias de crudo</w:t>
      </w:r>
      <w:r>
        <w:rPr>
          <w:rFonts w:ascii="Poppins" w:hAnsi="Poppins" w:cs="Poppins"/>
          <w:b/>
          <w:sz w:val="18"/>
          <w:szCs w:val="18"/>
        </w:rPr>
        <w:t>, destilado medio</w:t>
      </w:r>
      <w:r w:rsidRPr="00E63B29">
        <w:rPr>
          <w:rFonts w:ascii="Poppins" w:hAnsi="Poppins" w:cs="Poppins"/>
          <w:b/>
          <w:sz w:val="18"/>
          <w:szCs w:val="18"/>
        </w:rPr>
        <w:t xml:space="preserve"> y propano, al 3</w:t>
      </w:r>
      <w:r>
        <w:rPr>
          <w:rFonts w:ascii="Poppins" w:hAnsi="Poppins" w:cs="Poppins"/>
          <w:b/>
          <w:sz w:val="18"/>
          <w:szCs w:val="18"/>
        </w:rPr>
        <w:t>0</w:t>
      </w:r>
      <w:r w:rsidRPr="00E63B29">
        <w:rPr>
          <w:rFonts w:ascii="Poppins" w:hAnsi="Poppins" w:cs="Poppins"/>
          <w:b/>
          <w:sz w:val="18"/>
          <w:szCs w:val="18"/>
        </w:rPr>
        <w:t xml:space="preserve"> de enero del 2026</w:t>
      </w:r>
    </w:p>
    <w:p w14:paraId="0886147A" w14:textId="77777777" w:rsidR="000A7DFE" w:rsidRPr="00E63B29" w:rsidRDefault="000A7DFE" w:rsidP="000A7DFE">
      <w:pPr>
        <w:shd w:val="clear" w:color="auto" w:fill="FFFFFF"/>
        <w:ind w:left="425"/>
        <w:jc w:val="both"/>
        <w:rPr>
          <w:rFonts w:ascii="Poppins" w:hAnsi="Poppins" w:cs="Poppins"/>
          <w:sz w:val="18"/>
          <w:szCs w:val="18"/>
        </w:rPr>
      </w:pPr>
    </w:p>
    <w:p w14:paraId="1ACC4618" w14:textId="77777777" w:rsidR="000A7DFE" w:rsidRPr="00E63B29" w:rsidRDefault="000A7DFE" w:rsidP="000A7DFE">
      <w:pPr>
        <w:shd w:val="clear" w:color="auto" w:fill="FFFFFF"/>
        <w:ind w:left="425"/>
        <w:jc w:val="both"/>
        <w:rPr>
          <w:rFonts w:ascii="Poppins" w:hAnsi="Poppins" w:cs="Poppins"/>
          <w:sz w:val="18"/>
          <w:szCs w:val="18"/>
        </w:rPr>
      </w:pPr>
      <w:r w:rsidRPr="00E63B29">
        <w:rPr>
          <w:rFonts w:ascii="Poppins" w:hAnsi="Poppins" w:cs="Poppins"/>
          <w:sz w:val="18"/>
          <w:szCs w:val="18"/>
        </w:rPr>
        <w:t>Los inventarios de petróleo de Estados Unidos se redujeron en 3</w:t>
      </w:r>
      <w:r>
        <w:rPr>
          <w:rFonts w:ascii="Poppins" w:hAnsi="Poppins" w:cs="Poppins"/>
          <w:sz w:val="18"/>
          <w:szCs w:val="18"/>
        </w:rPr>
        <w:t>,5</w:t>
      </w:r>
      <w:r w:rsidRPr="00E63B29">
        <w:rPr>
          <w:rFonts w:ascii="Poppins" w:hAnsi="Poppins" w:cs="Poppins"/>
          <w:sz w:val="18"/>
          <w:szCs w:val="18"/>
        </w:rPr>
        <w:t xml:space="preserve"> millones de barriles alcanzando los 42</w:t>
      </w:r>
      <w:r>
        <w:rPr>
          <w:rFonts w:ascii="Poppins" w:hAnsi="Poppins" w:cs="Poppins"/>
          <w:sz w:val="18"/>
          <w:szCs w:val="18"/>
        </w:rPr>
        <w:t>0</w:t>
      </w:r>
      <w:r w:rsidRPr="00E63B29">
        <w:rPr>
          <w:rFonts w:ascii="Poppins" w:hAnsi="Poppins" w:cs="Poppins"/>
          <w:sz w:val="18"/>
          <w:szCs w:val="18"/>
        </w:rPr>
        <w:t>,</w:t>
      </w:r>
      <w:r>
        <w:rPr>
          <w:rFonts w:ascii="Poppins" w:hAnsi="Poppins" w:cs="Poppins"/>
          <w:sz w:val="18"/>
          <w:szCs w:val="18"/>
        </w:rPr>
        <w:t>3</w:t>
      </w:r>
      <w:r w:rsidRPr="00E63B29">
        <w:rPr>
          <w:rFonts w:ascii="Poppins" w:hAnsi="Poppins" w:cs="Poppins"/>
          <w:sz w:val="18"/>
          <w:szCs w:val="18"/>
        </w:rPr>
        <w:t xml:space="preserve"> millones de barriles, ubicándose en un -</w:t>
      </w:r>
      <w:r>
        <w:rPr>
          <w:rFonts w:ascii="Poppins" w:hAnsi="Poppins" w:cs="Poppins"/>
          <w:sz w:val="18"/>
          <w:szCs w:val="18"/>
        </w:rPr>
        <w:t>4</w:t>
      </w:r>
      <w:r w:rsidRPr="00E63B29">
        <w:rPr>
          <w:rFonts w:ascii="Poppins" w:hAnsi="Poppins" w:cs="Poppins"/>
          <w:sz w:val="18"/>
          <w:szCs w:val="18"/>
        </w:rPr>
        <w:t>% por debajo de la media de los últimos 5 años, para esta época del año.</w:t>
      </w:r>
    </w:p>
    <w:p w14:paraId="29A9BBEB" w14:textId="77777777" w:rsidR="000A7DFE" w:rsidRPr="00E63B29" w:rsidRDefault="000A7DFE" w:rsidP="000A7DFE">
      <w:pPr>
        <w:shd w:val="clear" w:color="auto" w:fill="FFFFFF"/>
        <w:ind w:left="425"/>
        <w:jc w:val="both"/>
        <w:rPr>
          <w:rFonts w:ascii="Poppins" w:hAnsi="Poppins" w:cs="Poppins"/>
          <w:sz w:val="18"/>
          <w:szCs w:val="18"/>
        </w:rPr>
      </w:pPr>
    </w:p>
    <w:p w14:paraId="6F9AFEDC" w14:textId="77777777" w:rsidR="000A7DFE" w:rsidRPr="00E63B29" w:rsidRDefault="000A7DFE" w:rsidP="000A7DFE">
      <w:pPr>
        <w:shd w:val="clear" w:color="auto" w:fill="FFFFFF"/>
        <w:ind w:left="425"/>
        <w:jc w:val="both"/>
        <w:rPr>
          <w:rFonts w:ascii="Poppins" w:hAnsi="Poppins" w:cs="Poppins"/>
          <w:sz w:val="18"/>
          <w:szCs w:val="18"/>
        </w:rPr>
      </w:pPr>
      <w:r w:rsidRPr="00E63B29">
        <w:rPr>
          <w:rFonts w:ascii="Poppins" w:hAnsi="Poppins" w:cs="Poppins"/>
          <w:sz w:val="18"/>
          <w:szCs w:val="18"/>
        </w:rPr>
        <w:t>Por su parte, las existencias de gasolinas aumentaron en 0,</w:t>
      </w:r>
      <w:r>
        <w:rPr>
          <w:rFonts w:ascii="Poppins" w:hAnsi="Poppins" w:cs="Poppins"/>
          <w:sz w:val="18"/>
          <w:szCs w:val="18"/>
        </w:rPr>
        <w:t>7</w:t>
      </w:r>
      <w:r w:rsidRPr="00E63B29">
        <w:rPr>
          <w:rFonts w:ascii="Poppins" w:hAnsi="Poppins" w:cs="Poppins"/>
          <w:sz w:val="18"/>
          <w:szCs w:val="18"/>
        </w:rPr>
        <w:t xml:space="preserve"> millones de barriles, reportando un total de 257,</w:t>
      </w:r>
      <w:r>
        <w:rPr>
          <w:rFonts w:ascii="Poppins" w:hAnsi="Poppins" w:cs="Poppins"/>
          <w:sz w:val="18"/>
          <w:szCs w:val="18"/>
        </w:rPr>
        <w:t>9</w:t>
      </w:r>
      <w:r w:rsidRPr="00E63B29">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decrecieron</w:t>
      </w:r>
      <w:r w:rsidRPr="00E63B29">
        <w:rPr>
          <w:rFonts w:ascii="Poppins" w:hAnsi="Poppins" w:cs="Poppins"/>
          <w:sz w:val="18"/>
          <w:szCs w:val="18"/>
        </w:rPr>
        <w:t xml:space="preserve"> en </w:t>
      </w:r>
      <w:r>
        <w:rPr>
          <w:rFonts w:ascii="Poppins" w:hAnsi="Poppins" w:cs="Poppins"/>
          <w:sz w:val="18"/>
          <w:szCs w:val="18"/>
        </w:rPr>
        <w:t>5</w:t>
      </w:r>
      <w:r w:rsidRPr="00E63B29">
        <w:rPr>
          <w:rFonts w:ascii="Poppins" w:hAnsi="Poppins" w:cs="Poppins"/>
          <w:sz w:val="18"/>
          <w:szCs w:val="18"/>
        </w:rPr>
        <w:t>,</w:t>
      </w:r>
      <w:r>
        <w:rPr>
          <w:rFonts w:ascii="Poppins" w:hAnsi="Poppins" w:cs="Poppins"/>
          <w:sz w:val="18"/>
          <w:szCs w:val="18"/>
        </w:rPr>
        <w:t>6</w:t>
      </w:r>
      <w:r w:rsidRPr="00E63B29">
        <w:rPr>
          <w:rFonts w:ascii="Poppins" w:hAnsi="Poppins" w:cs="Poppins"/>
          <w:sz w:val="18"/>
          <w:szCs w:val="18"/>
        </w:rPr>
        <w:t xml:space="preserve"> millones de barriles, ubicándose en 1</w:t>
      </w:r>
      <w:r>
        <w:rPr>
          <w:rFonts w:ascii="Poppins" w:hAnsi="Poppins" w:cs="Poppins"/>
          <w:sz w:val="18"/>
          <w:szCs w:val="18"/>
        </w:rPr>
        <w:t>27</w:t>
      </w:r>
      <w:r w:rsidRPr="00E63B29">
        <w:rPr>
          <w:rFonts w:ascii="Poppins" w:hAnsi="Poppins" w:cs="Poppins"/>
          <w:sz w:val="18"/>
          <w:szCs w:val="18"/>
        </w:rPr>
        <w:t>,</w:t>
      </w:r>
      <w:r>
        <w:rPr>
          <w:rFonts w:ascii="Poppins" w:hAnsi="Poppins" w:cs="Poppins"/>
          <w:sz w:val="18"/>
          <w:szCs w:val="18"/>
        </w:rPr>
        <w:t>4</w:t>
      </w:r>
      <w:r w:rsidRPr="00E63B29">
        <w:rPr>
          <w:rFonts w:ascii="Poppins" w:hAnsi="Poppins" w:cs="Poppins"/>
          <w:sz w:val="18"/>
          <w:szCs w:val="18"/>
        </w:rPr>
        <w:t xml:space="preserve"> millones de barriles.</w:t>
      </w:r>
    </w:p>
    <w:p w14:paraId="28302B9E" w14:textId="77777777" w:rsidR="000A7DFE" w:rsidRPr="00E63B29" w:rsidRDefault="000A7DFE" w:rsidP="000A7DFE">
      <w:pPr>
        <w:shd w:val="clear" w:color="auto" w:fill="FFFFFF"/>
        <w:ind w:left="425"/>
        <w:jc w:val="both"/>
        <w:rPr>
          <w:rFonts w:ascii="Poppins" w:hAnsi="Poppins" w:cs="Poppins"/>
          <w:sz w:val="18"/>
          <w:szCs w:val="18"/>
        </w:rPr>
      </w:pPr>
    </w:p>
    <w:p w14:paraId="5B06233D" w14:textId="77777777" w:rsidR="000A7DFE" w:rsidRPr="00E63B29" w:rsidRDefault="000A7DFE" w:rsidP="000A7DFE">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disminuyeron</w:t>
      </w:r>
      <w:r w:rsidRPr="00E63B29">
        <w:rPr>
          <w:rFonts w:ascii="Poppins" w:hAnsi="Poppins" w:cs="Poppins"/>
          <w:sz w:val="18"/>
          <w:szCs w:val="18"/>
        </w:rPr>
        <w:t xml:space="preserve"> en </w:t>
      </w:r>
      <w:r>
        <w:rPr>
          <w:rFonts w:ascii="Poppins" w:hAnsi="Poppins" w:cs="Poppins"/>
          <w:sz w:val="18"/>
          <w:szCs w:val="18"/>
        </w:rPr>
        <w:t>6,24</w:t>
      </w:r>
      <w:r w:rsidRPr="00E63B29">
        <w:rPr>
          <w:rFonts w:ascii="Poppins" w:hAnsi="Poppins" w:cs="Poppins"/>
          <w:sz w:val="18"/>
          <w:szCs w:val="18"/>
        </w:rPr>
        <w:t xml:space="preserve"> millones de barriles, registrando un nivel de 8</w:t>
      </w:r>
      <w:r>
        <w:rPr>
          <w:rFonts w:ascii="Poppins" w:hAnsi="Poppins" w:cs="Poppins"/>
          <w:sz w:val="18"/>
          <w:szCs w:val="18"/>
        </w:rPr>
        <w:t>2</w:t>
      </w:r>
      <w:r w:rsidRPr="00E63B29">
        <w:rPr>
          <w:rFonts w:ascii="Poppins" w:hAnsi="Poppins" w:cs="Poppins"/>
          <w:sz w:val="18"/>
          <w:szCs w:val="18"/>
        </w:rPr>
        <w:t>,</w:t>
      </w:r>
      <w:r>
        <w:rPr>
          <w:rFonts w:ascii="Poppins" w:hAnsi="Poppins" w:cs="Poppins"/>
          <w:sz w:val="18"/>
          <w:szCs w:val="18"/>
        </w:rPr>
        <w:t>72</w:t>
      </w:r>
      <w:r w:rsidRPr="00E63B29">
        <w:rPr>
          <w:rFonts w:ascii="Poppins" w:hAnsi="Poppins" w:cs="Poppins"/>
          <w:sz w:val="18"/>
          <w:szCs w:val="18"/>
        </w:rPr>
        <w:t xml:space="preserve"> millones de barriles.</w:t>
      </w:r>
    </w:p>
    <w:p w14:paraId="1582C902" w14:textId="77777777" w:rsidR="000A7DFE" w:rsidRPr="002750EA" w:rsidRDefault="000A7DFE" w:rsidP="000A7DFE">
      <w:pPr>
        <w:shd w:val="clear" w:color="auto" w:fill="FFFFFF"/>
        <w:ind w:left="425"/>
        <w:jc w:val="both"/>
        <w:rPr>
          <w:rFonts w:ascii="Poppins" w:hAnsi="Poppins" w:cs="Poppins"/>
          <w:sz w:val="18"/>
          <w:szCs w:val="18"/>
          <w:highlight w:val="yellow"/>
        </w:rPr>
      </w:pPr>
    </w:p>
    <w:p w14:paraId="55661024" w14:textId="77777777" w:rsidR="000A7DFE" w:rsidRPr="00782EDD" w:rsidRDefault="000A7DFE" w:rsidP="000A7DFE">
      <w:pPr>
        <w:pStyle w:val="Prrafodelista"/>
        <w:numPr>
          <w:ilvl w:val="0"/>
          <w:numId w:val="30"/>
        </w:numPr>
        <w:ind w:left="425"/>
        <w:contextualSpacing/>
        <w:jc w:val="both"/>
        <w:rPr>
          <w:rFonts w:ascii="Poppins" w:hAnsi="Poppins" w:cs="Poppins"/>
          <w:b/>
          <w:sz w:val="18"/>
          <w:szCs w:val="18"/>
        </w:rPr>
      </w:pPr>
      <w:r w:rsidRPr="00782EDD">
        <w:rPr>
          <w:rFonts w:ascii="Poppins" w:hAnsi="Poppins" w:cs="Poppins"/>
          <w:b/>
          <w:sz w:val="18"/>
          <w:szCs w:val="18"/>
        </w:rPr>
        <w:lastRenderedPageBreak/>
        <w:t>EE.UU. reconfigura el control del crudo venezolano ampliando licencias y habilita</w:t>
      </w:r>
      <w:r>
        <w:rPr>
          <w:rFonts w:ascii="Poppins" w:hAnsi="Poppins" w:cs="Poppins"/>
          <w:b/>
          <w:sz w:val="18"/>
          <w:szCs w:val="18"/>
        </w:rPr>
        <w:t>ndo la compra de</w:t>
      </w:r>
      <w:r w:rsidRPr="00782EDD">
        <w:rPr>
          <w:rFonts w:ascii="Poppins" w:hAnsi="Poppins" w:cs="Poppins"/>
          <w:b/>
          <w:sz w:val="18"/>
          <w:szCs w:val="18"/>
        </w:rPr>
        <w:t xml:space="preserve"> diluyentes para facilitar las exportaciones supervisadas</w:t>
      </w:r>
    </w:p>
    <w:p w14:paraId="47861AAE" w14:textId="77777777" w:rsidR="000A7DFE" w:rsidRPr="00782EDD" w:rsidRDefault="000A7DFE" w:rsidP="000A7DFE">
      <w:pPr>
        <w:shd w:val="clear" w:color="auto" w:fill="FFFFFF"/>
        <w:ind w:left="425"/>
        <w:jc w:val="both"/>
        <w:rPr>
          <w:rFonts w:ascii="Poppins" w:hAnsi="Poppins" w:cs="Poppins"/>
          <w:sz w:val="18"/>
          <w:szCs w:val="18"/>
        </w:rPr>
      </w:pPr>
    </w:p>
    <w:p w14:paraId="7EBA6ABC" w14:textId="77777777" w:rsidR="000A7DFE" w:rsidRPr="00782EDD" w:rsidRDefault="000A7DFE" w:rsidP="000A7DFE">
      <w:pPr>
        <w:shd w:val="clear" w:color="auto" w:fill="FFFFFF"/>
        <w:ind w:left="425"/>
        <w:jc w:val="both"/>
        <w:rPr>
          <w:rFonts w:ascii="Poppins" w:hAnsi="Poppins" w:cs="Poppins"/>
          <w:sz w:val="18"/>
          <w:szCs w:val="18"/>
        </w:rPr>
      </w:pPr>
      <w:r w:rsidRPr="00782EDD">
        <w:rPr>
          <w:rFonts w:ascii="Poppins" w:hAnsi="Poppins" w:cs="Poppins"/>
          <w:sz w:val="18"/>
          <w:szCs w:val="18"/>
        </w:rPr>
        <w:t>Tras la flexibilización parcial del marco sancionatorio, el 3 de febrero de 2026 el Departamento del Tesoro de EE.UU. emitió la Licencia General 47, que autoriza la exportación y venta de diluyentes estadounidenses a Venezuela. Estos insumos son clave para procesar el crudo extrapesado y hacerlo exportable. Esta medida se suma a licencias previas (Licencia 46) que permiten a compañías como Chevron operar, transportar y comercializar crudo venezolano bajo supervisión, reduciendo fricciones financieras y logísticas que habían limitado los flujos tras el endurecimiento de sanciones en el año 2025.</w:t>
      </w:r>
    </w:p>
    <w:p w14:paraId="509DB338" w14:textId="77777777" w:rsidR="000A7DFE" w:rsidRPr="00782EDD" w:rsidRDefault="000A7DFE" w:rsidP="000A7DFE">
      <w:pPr>
        <w:shd w:val="clear" w:color="auto" w:fill="FFFFFF"/>
        <w:ind w:left="425"/>
        <w:jc w:val="both"/>
        <w:rPr>
          <w:rFonts w:ascii="Poppins" w:hAnsi="Poppins" w:cs="Poppins"/>
          <w:sz w:val="18"/>
          <w:szCs w:val="18"/>
        </w:rPr>
      </w:pPr>
    </w:p>
    <w:p w14:paraId="4CF14E2C" w14:textId="77777777" w:rsidR="000A7DFE" w:rsidRPr="00782EDD" w:rsidRDefault="000A7DFE" w:rsidP="000A7DFE">
      <w:pPr>
        <w:shd w:val="clear" w:color="auto" w:fill="FFFFFF"/>
        <w:ind w:left="425"/>
        <w:jc w:val="both"/>
        <w:rPr>
          <w:rFonts w:ascii="Poppins" w:hAnsi="Poppins" w:cs="Poppins"/>
          <w:sz w:val="18"/>
          <w:szCs w:val="18"/>
        </w:rPr>
      </w:pPr>
      <w:r w:rsidRPr="00782EDD">
        <w:rPr>
          <w:rFonts w:ascii="Poppins" w:hAnsi="Poppins" w:cs="Poppins"/>
          <w:sz w:val="18"/>
          <w:szCs w:val="18"/>
        </w:rPr>
        <w:t>Según datos de seguimiento marítimo citados por Reuters, las exportaciones venezolanas repuntaron en enero hacia los 800 mil bpd, desde niveles cercanos a 500 mil bpd en diciembre de 2025, impulsadas por la reactivación de acuerdos comerciales y mayor disponibilidad operativa. En consecuencia, EE.UU. volvió a posicionarse como uno de los principales destinos individuales, con envíos canalizados por operadores internacionales y casas comerciales.</w:t>
      </w:r>
    </w:p>
    <w:p w14:paraId="6050DE3A" w14:textId="77777777" w:rsidR="000A7DFE" w:rsidRPr="00782EDD" w:rsidRDefault="000A7DFE" w:rsidP="000A7DFE">
      <w:pPr>
        <w:shd w:val="clear" w:color="auto" w:fill="FFFFFF"/>
        <w:ind w:left="425"/>
        <w:jc w:val="both"/>
        <w:rPr>
          <w:rFonts w:ascii="Poppins" w:hAnsi="Poppins" w:cs="Poppins"/>
          <w:sz w:val="18"/>
          <w:szCs w:val="18"/>
        </w:rPr>
      </w:pPr>
    </w:p>
    <w:p w14:paraId="196A34A9" w14:textId="77777777" w:rsidR="000A7DFE" w:rsidRPr="00782EDD" w:rsidRDefault="000A7DFE" w:rsidP="000A7DFE">
      <w:pPr>
        <w:shd w:val="clear" w:color="auto" w:fill="FFFFFF"/>
        <w:ind w:left="425"/>
        <w:jc w:val="both"/>
        <w:rPr>
          <w:rFonts w:ascii="Poppins" w:hAnsi="Poppins" w:cs="Poppins"/>
          <w:sz w:val="18"/>
          <w:szCs w:val="18"/>
        </w:rPr>
      </w:pPr>
      <w:r w:rsidRPr="00782EDD">
        <w:rPr>
          <w:rFonts w:ascii="Poppins" w:hAnsi="Poppins" w:cs="Poppins"/>
          <w:sz w:val="18"/>
          <w:szCs w:val="18"/>
        </w:rPr>
        <w:t xml:space="preserve">La habilitación de diluyentes, cuyos requerimientos históricos estimados </w:t>
      </w:r>
      <w:r>
        <w:rPr>
          <w:rFonts w:ascii="Poppins" w:hAnsi="Poppins" w:cs="Poppins"/>
          <w:sz w:val="18"/>
          <w:szCs w:val="18"/>
        </w:rPr>
        <w:t xml:space="preserve">han sido </w:t>
      </w:r>
      <w:r w:rsidRPr="00782EDD">
        <w:rPr>
          <w:rFonts w:ascii="Poppins" w:hAnsi="Poppins" w:cs="Poppins"/>
          <w:sz w:val="18"/>
          <w:szCs w:val="18"/>
        </w:rPr>
        <w:t>de 50–60 mil bpd, reduce cuellos de botella que afectaban la producción y exportación. Aunque la recuperación dependerá de logística, financiamiento y demanda efectiva, el regreso progresivo de los barriles venezolanos introduce oferta incremental de crudo pesado.</w:t>
      </w:r>
    </w:p>
    <w:p w14:paraId="1A72E5DA" w14:textId="77777777" w:rsidR="000A7DFE" w:rsidRPr="004D50A4" w:rsidRDefault="000A7DFE" w:rsidP="000A7DFE">
      <w:pPr>
        <w:shd w:val="clear" w:color="auto" w:fill="FFFFFF"/>
        <w:ind w:left="425"/>
        <w:jc w:val="both"/>
        <w:rPr>
          <w:rFonts w:ascii="Poppins" w:hAnsi="Poppins" w:cs="Poppins"/>
          <w:sz w:val="18"/>
          <w:szCs w:val="18"/>
          <w:highlight w:val="yellow"/>
        </w:rPr>
      </w:pPr>
    </w:p>
    <w:p w14:paraId="44E8A759" w14:textId="77777777" w:rsidR="000A7DFE" w:rsidRPr="006A68F7" w:rsidRDefault="000A7DFE" w:rsidP="000A7DFE">
      <w:pPr>
        <w:pStyle w:val="Prrafodelista"/>
        <w:numPr>
          <w:ilvl w:val="0"/>
          <w:numId w:val="30"/>
        </w:numPr>
        <w:ind w:left="425"/>
        <w:contextualSpacing/>
        <w:jc w:val="both"/>
        <w:rPr>
          <w:rFonts w:ascii="Poppins" w:hAnsi="Poppins" w:cs="Poppins"/>
          <w:b/>
          <w:sz w:val="18"/>
          <w:szCs w:val="18"/>
        </w:rPr>
      </w:pPr>
      <w:r w:rsidRPr="006A68F7">
        <w:rPr>
          <w:rFonts w:ascii="Poppins" w:hAnsi="Poppins" w:cs="Poppins"/>
          <w:b/>
          <w:sz w:val="18"/>
          <w:szCs w:val="18"/>
        </w:rPr>
        <w:t>La escalada de tensiones entre EE.UU. e Irán evoluciona hacia el diálogo y reduce la prima geopolítica</w:t>
      </w:r>
    </w:p>
    <w:p w14:paraId="2C68E24A" w14:textId="77777777" w:rsidR="000A7DFE" w:rsidRPr="006A68F7" w:rsidRDefault="000A7DFE" w:rsidP="000A7DFE">
      <w:pPr>
        <w:shd w:val="clear" w:color="auto" w:fill="FFFFFF"/>
        <w:ind w:left="425"/>
        <w:jc w:val="both"/>
        <w:rPr>
          <w:rFonts w:ascii="Poppins" w:hAnsi="Poppins" w:cs="Poppins"/>
          <w:sz w:val="18"/>
          <w:szCs w:val="18"/>
        </w:rPr>
      </w:pPr>
    </w:p>
    <w:p w14:paraId="4EBE0C5F" w14:textId="77777777" w:rsidR="000A7DFE" w:rsidRPr="006A68F7" w:rsidRDefault="000A7DFE" w:rsidP="000A7DFE">
      <w:pPr>
        <w:shd w:val="clear" w:color="auto" w:fill="FFFFFF"/>
        <w:ind w:left="425"/>
        <w:jc w:val="both"/>
        <w:rPr>
          <w:rFonts w:ascii="Poppins" w:hAnsi="Poppins" w:cs="Poppins"/>
          <w:sz w:val="18"/>
          <w:szCs w:val="18"/>
        </w:rPr>
      </w:pPr>
      <w:r w:rsidRPr="006A68F7">
        <w:rPr>
          <w:rFonts w:ascii="Poppins" w:hAnsi="Poppins" w:cs="Poppins"/>
          <w:sz w:val="18"/>
          <w:szCs w:val="18"/>
        </w:rPr>
        <w:t>Tras semanas de tensiones crecientes, incluyendo el endurecimiento del discurso de EE.UU., sanciones a buques vinculados a exportaciones iraníes y mayor presencia militar estadounidense en el Golfo, el conflicto EE.UU.–Irán entró en una fase diplomática con el inicio de conversaciones nucleares en Omán. El cambio de tono redujo el temor inmediato a una interrupción física de suministro en Medio Oriente y llevó al precio del crudo Brent a retroceder hacia los 67–68 US$/barril el 8 de febrero de 2026 (con el WTI en torno a 63 US$/barril), según reportes de Reuters.</w:t>
      </w:r>
    </w:p>
    <w:p w14:paraId="6BED6A08" w14:textId="77777777" w:rsidR="000A7DFE" w:rsidRPr="006A68F7" w:rsidRDefault="000A7DFE" w:rsidP="000A7DFE">
      <w:pPr>
        <w:shd w:val="clear" w:color="auto" w:fill="FFFFFF"/>
        <w:ind w:left="425"/>
        <w:jc w:val="both"/>
        <w:rPr>
          <w:rFonts w:ascii="Poppins" w:hAnsi="Poppins" w:cs="Poppins"/>
          <w:sz w:val="18"/>
          <w:szCs w:val="18"/>
        </w:rPr>
      </w:pPr>
    </w:p>
    <w:p w14:paraId="0E09A6BA" w14:textId="77777777" w:rsidR="000A7DFE" w:rsidRDefault="000A7DFE" w:rsidP="000A7DFE">
      <w:pPr>
        <w:shd w:val="clear" w:color="auto" w:fill="FFFFFF"/>
        <w:ind w:left="425"/>
        <w:jc w:val="both"/>
        <w:rPr>
          <w:rFonts w:ascii="Poppins" w:hAnsi="Poppins" w:cs="Poppins"/>
          <w:sz w:val="18"/>
          <w:szCs w:val="18"/>
        </w:rPr>
      </w:pPr>
      <w:r w:rsidRPr="006A68F7">
        <w:rPr>
          <w:rFonts w:ascii="Poppins" w:hAnsi="Poppins" w:cs="Poppins"/>
          <w:sz w:val="18"/>
          <w:szCs w:val="18"/>
        </w:rPr>
        <w:t>No obstante, la incertidumbre persiste. Las diferencias sobre el alcance del acuerdo, donde, Irán centrado en el expediente nuclear y EE.UU. buscando incluir misiles y temas regionales, mantienen elevada la sensibilidad a disrupciones. Como se conoce, el Estrecho de Ormuz sigue siendo el principal punto crítico del sistema energético global ya que por allí transitan cerca de 20 millones de barriles diarios, aproximadamente una quinta parte del comercio marítimo mundial de crudo y combustibles, según la EIA. En ese entorno, cada señal de avance o retroceso diplomático se traduce rápidamente en ajustes en el precio del crudo.</w:t>
      </w:r>
    </w:p>
    <w:p w14:paraId="234DDDC0" w14:textId="77777777" w:rsidR="000A7DFE" w:rsidRPr="004D50A4" w:rsidRDefault="000A7DFE" w:rsidP="000A7DFE">
      <w:pPr>
        <w:shd w:val="clear" w:color="auto" w:fill="FFFFFF"/>
        <w:ind w:left="425"/>
        <w:jc w:val="both"/>
        <w:rPr>
          <w:rFonts w:ascii="Poppins" w:hAnsi="Poppins" w:cs="Poppins"/>
          <w:sz w:val="18"/>
          <w:szCs w:val="18"/>
          <w:highlight w:val="yellow"/>
        </w:rPr>
      </w:pPr>
    </w:p>
    <w:p w14:paraId="7D40E0B8" w14:textId="77777777" w:rsidR="000A7DFE" w:rsidRPr="001B4F58" w:rsidRDefault="000A7DFE" w:rsidP="000A7DFE">
      <w:pPr>
        <w:pStyle w:val="Prrafodelista"/>
        <w:numPr>
          <w:ilvl w:val="0"/>
          <w:numId w:val="30"/>
        </w:numPr>
        <w:ind w:left="425"/>
        <w:contextualSpacing/>
        <w:jc w:val="both"/>
        <w:rPr>
          <w:rFonts w:ascii="Poppins" w:hAnsi="Poppins" w:cs="Poppins"/>
          <w:b/>
          <w:sz w:val="18"/>
          <w:szCs w:val="18"/>
        </w:rPr>
      </w:pPr>
      <w:r w:rsidRPr="001B4F58">
        <w:rPr>
          <w:rFonts w:ascii="Poppins" w:hAnsi="Poppins" w:cs="Poppins"/>
          <w:b/>
          <w:sz w:val="18"/>
          <w:szCs w:val="18"/>
        </w:rPr>
        <w:t>Actividad económica global muestra resiliencia, apoyada por ligera expansión en Asia e inversiones tecnológicas</w:t>
      </w:r>
    </w:p>
    <w:p w14:paraId="3CF9E81B" w14:textId="77777777" w:rsidR="000A7DFE" w:rsidRPr="001B4F58" w:rsidRDefault="000A7DFE" w:rsidP="000A7DFE">
      <w:pPr>
        <w:shd w:val="clear" w:color="auto" w:fill="FFFFFF"/>
        <w:ind w:left="425"/>
        <w:jc w:val="both"/>
        <w:rPr>
          <w:rFonts w:ascii="Poppins" w:hAnsi="Poppins" w:cs="Poppins"/>
          <w:sz w:val="18"/>
          <w:szCs w:val="18"/>
        </w:rPr>
      </w:pPr>
    </w:p>
    <w:p w14:paraId="5A4A37FD" w14:textId="77777777" w:rsidR="000A7DFE" w:rsidRPr="001B4F58" w:rsidRDefault="000A7DFE" w:rsidP="000A7DFE">
      <w:pPr>
        <w:shd w:val="clear" w:color="auto" w:fill="FFFFFF"/>
        <w:ind w:left="425"/>
        <w:jc w:val="both"/>
        <w:rPr>
          <w:rFonts w:ascii="Poppins" w:hAnsi="Poppins" w:cs="Poppins"/>
          <w:sz w:val="18"/>
          <w:szCs w:val="18"/>
        </w:rPr>
      </w:pPr>
      <w:r w:rsidRPr="00B33A03">
        <w:rPr>
          <w:rFonts w:ascii="Poppins" w:hAnsi="Poppins" w:cs="Poppins"/>
          <w:sz w:val="18"/>
          <w:szCs w:val="18"/>
        </w:rPr>
        <w:t xml:space="preserve">Los datos más recientes de encuestas </w:t>
      </w:r>
      <w:r w:rsidRPr="001B4F58">
        <w:rPr>
          <w:rFonts w:ascii="Poppins" w:hAnsi="Poppins" w:cs="Poppins"/>
          <w:sz w:val="18"/>
          <w:szCs w:val="18"/>
        </w:rPr>
        <w:t xml:space="preserve">e indicadores de actividad económica </w:t>
      </w:r>
      <w:r w:rsidRPr="00B33A03">
        <w:rPr>
          <w:rFonts w:ascii="Poppins" w:hAnsi="Poppins" w:cs="Poppins"/>
          <w:sz w:val="18"/>
          <w:szCs w:val="18"/>
        </w:rPr>
        <w:t xml:space="preserve">señalaron una leve mejora en la actividad manufacturera en Asia al inicio de 2026, con </w:t>
      </w:r>
      <w:r w:rsidRPr="001B4F58">
        <w:rPr>
          <w:rFonts w:ascii="Poppins" w:hAnsi="Poppins" w:cs="Poppins"/>
          <w:sz w:val="18"/>
          <w:szCs w:val="18"/>
        </w:rPr>
        <w:t xml:space="preserve">ligera expansión tanto de </w:t>
      </w:r>
      <w:r w:rsidRPr="00B33A03">
        <w:rPr>
          <w:rFonts w:ascii="Poppins" w:hAnsi="Poppins" w:cs="Poppins"/>
          <w:sz w:val="18"/>
          <w:szCs w:val="18"/>
        </w:rPr>
        <w:t xml:space="preserve">Taiwán </w:t>
      </w:r>
      <w:r w:rsidRPr="001B4F58">
        <w:rPr>
          <w:rFonts w:ascii="Poppins" w:hAnsi="Poppins" w:cs="Poppins"/>
          <w:sz w:val="18"/>
          <w:szCs w:val="18"/>
        </w:rPr>
        <w:t xml:space="preserve">como de Indonesia </w:t>
      </w:r>
      <w:r w:rsidRPr="00B33A03">
        <w:rPr>
          <w:rFonts w:ascii="Poppins" w:hAnsi="Poppins" w:cs="Poppins"/>
          <w:sz w:val="18"/>
          <w:szCs w:val="18"/>
        </w:rPr>
        <w:t xml:space="preserve">en enero, lo que sugiere una demanda global que sigue </w:t>
      </w:r>
      <w:r w:rsidRPr="00B33A03">
        <w:rPr>
          <w:rFonts w:ascii="Poppins" w:hAnsi="Poppins" w:cs="Poppins"/>
          <w:sz w:val="18"/>
          <w:szCs w:val="18"/>
        </w:rPr>
        <w:lastRenderedPageBreak/>
        <w:t xml:space="preserve">en crecimiento moderado. </w:t>
      </w:r>
      <w:r w:rsidRPr="001B4F58">
        <w:rPr>
          <w:rFonts w:ascii="Poppins" w:hAnsi="Poppins" w:cs="Poppins"/>
          <w:sz w:val="18"/>
          <w:szCs w:val="18"/>
        </w:rPr>
        <w:t>En esa línea, datos</w:t>
      </w:r>
      <w:r w:rsidRPr="00B33A03">
        <w:rPr>
          <w:rFonts w:ascii="Poppins" w:hAnsi="Poppins" w:cs="Poppins"/>
          <w:sz w:val="18"/>
          <w:szCs w:val="18"/>
        </w:rPr>
        <w:t xml:space="preserve"> amplificad</w:t>
      </w:r>
      <w:r w:rsidRPr="001B4F58">
        <w:rPr>
          <w:rFonts w:ascii="Poppins" w:hAnsi="Poppins" w:cs="Poppins"/>
          <w:sz w:val="18"/>
          <w:szCs w:val="18"/>
        </w:rPr>
        <w:t>o</w:t>
      </w:r>
      <w:r w:rsidRPr="00B33A03">
        <w:rPr>
          <w:rFonts w:ascii="Poppins" w:hAnsi="Poppins" w:cs="Poppins"/>
          <w:sz w:val="18"/>
          <w:szCs w:val="18"/>
        </w:rPr>
        <w:t xml:space="preserve">s por S&amp;P Global </w:t>
      </w:r>
      <w:r w:rsidRPr="001B4F58">
        <w:rPr>
          <w:rFonts w:ascii="Poppins" w:hAnsi="Poppins" w:cs="Poppins"/>
          <w:sz w:val="18"/>
          <w:szCs w:val="18"/>
        </w:rPr>
        <w:t xml:space="preserve">del indicador global de actividad empresarial (que combina manufactura y servicios) </w:t>
      </w:r>
      <w:r w:rsidRPr="00B33A03">
        <w:rPr>
          <w:rFonts w:ascii="Poppins" w:hAnsi="Poppins" w:cs="Poppins"/>
          <w:sz w:val="18"/>
          <w:szCs w:val="18"/>
        </w:rPr>
        <w:t xml:space="preserve">también mostraron </w:t>
      </w:r>
      <w:r w:rsidRPr="001B4F58">
        <w:rPr>
          <w:rFonts w:ascii="Poppins" w:hAnsi="Poppins" w:cs="Poppins"/>
          <w:sz w:val="18"/>
          <w:szCs w:val="18"/>
        </w:rPr>
        <w:t xml:space="preserve">ligera expansión en enero, respecto del mes de </w:t>
      </w:r>
      <w:r w:rsidRPr="00B33A03">
        <w:rPr>
          <w:rFonts w:ascii="Poppins" w:hAnsi="Poppins" w:cs="Poppins"/>
          <w:sz w:val="18"/>
          <w:szCs w:val="18"/>
        </w:rPr>
        <w:t>diciembre, reflejando un impulso de producción tanto en bienes como servicios a pesar de una confianza empresarial todavía contenida.</w:t>
      </w:r>
    </w:p>
    <w:p w14:paraId="6C52B921" w14:textId="77777777" w:rsidR="000A7DFE" w:rsidRPr="00B33A03" w:rsidRDefault="000A7DFE" w:rsidP="000A7DFE">
      <w:pPr>
        <w:shd w:val="clear" w:color="auto" w:fill="FFFFFF"/>
        <w:ind w:left="425"/>
        <w:jc w:val="both"/>
        <w:rPr>
          <w:rFonts w:ascii="Poppins" w:hAnsi="Poppins" w:cs="Poppins"/>
          <w:sz w:val="18"/>
          <w:szCs w:val="18"/>
        </w:rPr>
      </w:pPr>
      <w:r w:rsidRPr="00B33A03">
        <w:rPr>
          <w:rFonts w:ascii="Poppins" w:hAnsi="Poppins" w:cs="Poppins"/>
          <w:sz w:val="18"/>
          <w:szCs w:val="18"/>
        </w:rPr>
        <w:t xml:space="preserve"> </w:t>
      </w:r>
    </w:p>
    <w:p w14:paraId="3C95071F" w14:textId="77777777" w:rsidR="000A7DFE" w:rsidRDefault="000A7DFE" w:rsidP="000A7DFE">
      <w:pPr>
        <w:shd w:val="clear" w:color="auto" w:fill="FFFFFF"/>
        <w:ind w:left="425"/>
        <w:jc w:val="both"/>
        <w:rPr>
          <w:rFonts w:ascii="Poppins" w:hAnsi="Poppins" w:cs="Poppins"/>
          <w:sz w:val="18"/>
          <w:szCs w:val="18"/>
        </w:rPr>
      </w:pPr>
      <w:r w:rsidRPr="00B33A03">
        <w:rPr>
          <w:rFonts w:ascii="Poppins" w:hAnsi="Poppins" w:cs="Poppins"/>
          <w:sz w:val="18"/>
          <w:szCs w:val="18"/>
        </w:rPr>
        <w:t>Paralelamente, el Fondo Monetario Internacional</w:t>
      </w:r>
      <w:r w:rsidRPr="001B4F58">
        <w:rPr>
          <w:rFonts w:ascii="Poppins" w:hAnsi="Poppins" w:cs="Poppins"/>
          <w:sz w:val="18"/>
          <w:szCs w:val="18"/>
        </w:rPr>
        <w:t xml:space="preserve"> (FMI)</w:t>
      </w:r>
      <w:r w:rsidRPr="00B33A03">
        <w:rPr>
          <w:rFonts w:ascii="Poppins" w:hAnsi="Poppins" w:cs="Poppins"/>
          <w:sz w:val="18"/>
          <w:szCs w:val="18"/>
        </w:rPr>
        <w:t xml:space="preserve"> proyectó un crecimiento global de </w:t>
      </w:r>
      <w:r w:rsidRPr="001B4F58">
        <w:rPr>
          <w:rFonts w:ascii="Poppins" w:hAnsi="Poppins" w:cs="Poppins"/>
          <w:sz w:val="18"/>
          <w:szCs w:val="18"/>
        </w:rPr>
        <w:t xml:space="preserve">aproximadamente </w:t>
      </w:r>
      <w:r w:rsidRPr="00B33A03">
        <w:rPr>
          <w:rFonts w:ascii="Poppins" w:hAnsi="Poppins" w:cs="Poppins"/>
          <w:sz w:val="18"/>
          <w:szCs w:val="18"/>
        </w:rPr>
        <w:t xml:space="preserve">3,3% para 2026 en su </w:t>
      </w:r>
      <w:r w:rsidRPr="001B4F58">
        <w:rPr>
          <w:rFonts w:ascii="Poppins" w:hAnsi="Poppins" w:cs="Poppins"/>
          <w:sz w:val="18"/>
          <w:szCs w:val="18"/>
        </w:rPr>
        <w:t xml:space="preserve">última </w:t>
      </w:r>
      <w:r w:rsidRPr="00B33A03">
        <w:rPr>
          <w:rFonts w:ascii="Poppins" w:hAnsi="Poppins" w:cs="Poppins"/>
          <w:sz w:val="18"/>
          <w:szCs w:val="18"/>
        </w:rPr>
        <w:t xml:space="preserve">actualización de </w:t>
      </w:r>
      <w:r w:rsidRPr="001B4F58">
        <w:rPr>
          <w:rFonts w:ascii="Poppins" w:hAnsi="Poppins" w:cs="Poppins"/>
          <w:sz w:val="18"/>
          <w:szCs w:val="18"/>
        </w:rPr>
        <w:t xml:space="preserve">proyecciones de </w:t>
      </w:r>
      <w:r w:rsidRPr="00B33A03">
        <w:rPr>
          <w:rFonts w:ascii="Poppins" w:hAnsi="Poppins" w:cs="Poppins"/>
          <w:sz w:val="18"/>
          <w:szCs w:val="18"/>
        </w:rPr>
        <w:t xml:space="preserve">enero, revisando al alza las estimaciones previas y destacando que la inversión en tecnología, incluido el auge de la inteligencia artificial, contrarresta vientos en contra como tensiones comerciales y políticas. Aun así, este desempeño macro </w:t>
      </w:r>
      <w:r w:rsidRPr="00B33A03">
        <w:rPr>
          <w:rFonts w:ascii="Poppins" w:hAnsi="Poppins" w:cs="Poppins"/>
          <w:i/>
          <w:iCs/>
          <w:sz w:val="18"/>
          <w:szCs w:val="18"/>
        </w:rPr>
        <w:t xml:space="preserve">“resiliente” </w:t>
      </w:r>
      <w:r w:rsidRPr="00B33A03">
        <w:rPr>
          <w:rFonts w:ascii="Poppins" w:hAnsi="Poppins" w:cs="Poppins"/>
          <w:sz w:val="18"/>
          <w:szCs w:val="18"/>
        </w:rPr>
        <w:t xml:space="preserve">no elimina por completo los riesgos de desaceleración estructural ni compensa completamente los drivers bajistas del petróleo ligados a oferta y geopolítica, dejando un panorama mixto para la demanda </w:t>
      </w:r>
      <w:r w:rsidRPr="001B4F58">
        <w:rPr>
          <w:rFonts w:ascii="Poppins" w:hAnsi="Poppins" w:cs="Poppins"/>
          <w:sz w:val="18"/>
          <w:szCs w:val="18"/>
        </w:rPr>
        <w:t xml:space="preserve">de </w:t>
      </w:r>
      <w:r w:rsidRPr="00B33A03">
        <w:rPr>
          <w:rFonts w:ascii="Poppins" w:hAnsi="Poppins" w:cs="Poppins"/>
          <w:sz w:val="18"/>
          <w:szCs w:val="18"/>
        </w:rPr>
        <w:t>energétic</w:t>
      </w:r>
      <w:r w:rsidRPr="001B4F58">
        <w:rPr>
          <w:rFonts w:ascii="Poppins" w:hAnsi="Poppins" w:cs="Poppins"/>
          <w:sz w:val="18"/>
          <w:szCs w:val="18"/>
        </w:rPr>
        <w:t>os</w:t>
      </w:r>
      <w:r w:rsidRPr="00B33A03">
        <w:rPr>
          <w:rFonts w:ascii="Poppins" w:hAnsi="Poppins" w:cs="Poppins"/>
          <w:sz w:val="18"/>
          <w:szCs w:val="18"/>
        </w:rPr>
        <w:t>.</w:t>
      </w:r>
    </w:p>
    <w:p w14:paraId="3C3F0BE6" w14:textId="77777777" w:rsidR="000A7DFE" w:rsidRDefault="000A7DFE" w:rsidP="000A7DFE">
      <w:pPr>
        <w:shd w:val="clear" w:color="auto" w:fill="FFFFFF"/>
        <w:ind w:left="425"/>
        <w:jc w:val="both"/>
        <w:rPr>
          <w:rFonts w:ascii="Poppins" w:hAnsi="Poppins" w:cs="Poppins"/>
          <w:sz w:val="18"/>
          <w:szCs w:val="18"/>
        </w:rPr>
      </w:pPr>
    </w:p>
    <w:p w14:paraId="59B85603" w14:textId="77777777" w:rsidR="000A7DFE" w:rsidRDefault="000A7DFE" w:rsidP="000A7DFE">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La Unión Europea</w:t>
      </w:r>
      <w:r w:rsidRPr="007A6797">
        <w:rPr>
          <w:rFonts w:ascii="Poppins" w:hAnsi="Poppins" w:cs="Poppins"/>
          <w:b/>
          <w:sz w:val="18"/>
          <w:szCs w:val="18"/>
        </w:rPr>
        <w:t xml:space="preserve"> endurece sanciones a Rusia con veto amplio a servicios marítimos para exportaciones de crudo</w:t>
      </w:r>
    </w:p>
    <w:p w14:paraId="0FC89AAB" w14:textId="77777777" w:rsidR="000A7DFE" w:rsidRPr="007A6797" w:rsidRDefault="000A7DFE" w:rsidP="000A7DFE">
      <w:pPr>
        <w:pStyle w:val="Prrafodelista"/>
        <w:ind w:left="425"/>
        <w:jc w:val="both"/>
        <w:rPr>
          <w:rFonts w:ascii="Poppins" w:hAnsi="Poppins" w:cs="Poppins"/>
          <w:b/>
          <w:sz w:val="18"/>
          <w:szCs w:val="18"/>
        </w:rPr>
      </w:pPr>
    </w:p>
    <w:p w14:paraId="1DE242FA" w14:textId="77777777" w:rsidR="000A7DFE" w:rsidRDefault="000A7DFE" w:rsidP="000A7DFE">
      <w:pPr>
        <w:shd w:val="clear" w:color="auto" w:fill="FFFFFF"/>
        <w:ind w:left="425"/>
        <w:jc w:val="both"/>
        <w:rPr>
          <w:rFonts w:ascii="Poppins" w:hAnsi="Poppins" w:cs="Poppins"/>
          <w:sz w:val="18"/>
          <w:szCs w:val="18"/>
        </w:rPr>
      </w:pPr>
      <w:r w:rsidRPr="007A6797">
        <w:rPr>
          <w:rFonts w:ascii="Poppins" w:hAnsi="Poppins" w:cs="Poppins"/>
          <w:sz w:val="18"/>
          <w:szCs w:val="18"/>
        </w:rPr>
        <w:t>El 6 de febrero de 2026, la Comisión Europea presentó su 20º paquete de sanciones contra Rusia, cuyo eje es un veto amplio a servicios marítimos que facilitan las exportaciones de crudo ruso por vía marítima</w:t>
      </w:r>
      <w:r>
        <w:rPr>
          <w:rFonts w:ascii="Poppins" w:hAnsi="Poppins" w:cs="Poppins"/>
          <w:sz w:val="18"/>
          <w:szCs w:val="18"/>
        </w:rPr>
        <w:t xml:space="preserve">, </w:t>
      </w:r>
      <w:r w:rsidRPr="007A6797">
        <w:rPr>
          <w:rFonts w:ascii="Poppins" w:hAnsi="Poppins" w:cs="Poppins"/>
          <w:sz w:val="18"/>
          <w:szCs w:val="18"/>
        </w:rPr>
        <w:t xml:space="preserve">incluyendo seguros, financiamiento, </w:t>
      </w:r>
      <w:r>
        <w:rPr>
          <w:rFonts w:ascii="Poppins" w:hAnsi="Poppins" w:cs="Poppins"/>
          <w:sz w:val="18"/>
          <w:szCs w:val="18"/>
        </w:rPr>
        <w:t>servicios de intermediación</w:t>
      </w:r>
      <w:r w:rsidRPr="007A6797">
        <w:rPr>
          <w:rFonts w:ascii="Poppins" w:hAnsi="Poppins" w:cs="Poppins"/>
          <w:sz w:val="18"/>
          <w:szCs w:val="18"/>
        </w:rPr>
        <w:t xml:space="preserve"> y certificaciones</w:t>
      </w:r>
      <w:r>
        <w:rPr>
          <w:rFonts w:ascii="Poppins" w:hAnsi="Poppins" w:cs="Poppins"/>
          <w:sz w:val="18"/>
          <w:szCs w:val="18"/>
        </w:rPr>
        <w:t xml:space="preserve">, </w:t>
      </w:r>
      <w:r w:rsidRPr="007A6797">
        <w:rPr>
          <w:rFonts w:ascii="Poppins" w:hAnsi="Poppins" w:cs="Poppins"/>
          <w:sz w:val="18"/>
          <w:szCs w:val="18"/>
        </w:rPr>
        <w:t>independientemente del precio de venta</w:t>
      </w:r>
      <w:r>
        <w:rPr>
          <w:rFonts w:ascii="Poppins" w:hAnsi="Poppins" w:cs="Poppins"/>
          <w:sz w:val="18"/>
          <w:szCs w:val="18"/>
        </w:rPr>
        <w:t xml:space="preserve"> (Existe un precio tope de 60 US$/barril sobre las exportaciones rusas)</w:t>
      </w:r>
      <w:r w:rsidRPr="007A6797">
        <w:rPr>
          <w:rFonts w:ascii="Poppins" w:hAnsi="Poppins" w:cs="Poppins"/>
          <w:sz w:val="18"/>
          <w:szCs w:val="18"/>
        </w:rPr>
        <w:t xml:space="preserve">. La medida representa una escalada frente al esquema previo del </w:t>
      </w:r>
      <w:r>
        <w:rPr>
          <w:rFonts w:ascii="Poppins" w:hAnsi="Poppins" w:cs="Poppins"/>
          <w:sz w:val="18"/>
          <w:szCs w:val="18"/>
        </w:rPr>
        <w:t>Price máximo</w:t>
      </w:r>
      <w:r w:rsidRPr="007A6797">
        <w:rPr>
          <w:rFonts w:ascii="Poppins" w:hAnsi="Poppins" w:cs="Poppins"/>
          <w:sz w:val="18"/>
          <w:szCs w:val="18"/>
        </w:rPr>
        <w:t xml:space="preserve"> coordinado con el G7. Según Reuters, Rusia depende en parte significativa de flotas y servicios vinculados a países europeos como Grecia, Chipre y Malta, lo que convierte al componente logístico en un punto crítico de presión.</w:t>
      </w:r>
    </w:p>
    <w:p w14:paraId="0C3034C9" w14:textId="77777777" w:rsidR="000A7DFE" w:rsidRPr="007A6797" w:rsidRDefault="000A7DFE" w:rsidP="000A7DFE">
      <w:pPr>
        <w:shd w:val="clear" w:color="auto" w:fill="FFFFFF"/>
        <w:ind w:left="425"/>
        <w:jc w:val="both"/>
        <w:rPr>
          <w:rFonts w:ascii="Poppins" w:hAnsi="Poppins" w:cs="Poppins"/>
          <w:sz w:val="18"/>
          <w:szCs w:val="18"/>
        </w:rPr>
      </w:pPr>
    </w:p>
    <w:p w14:paraId="3065ACD5" w14:textId="77777777" w:rsidR="000A7DFE" w:rsidRPr="007A6797" w:rsidRDefault="000A7DFE" w:rsidP="000A7DFE">
      <w:pPr>
        <w:shd w:val="clear" w:color="auto" w:fill="FFFFFF"/>
        <w:ind w:left="425"/>
        <w:jc w:val="both"/>
        <w:rPr>
          <w:rFonts w:ascii="Poppins" w:hAnsi="Poppins" w:cs="Poppins"/>
          <w:sz w:val="18"/>
          <w:szCs w:val="18"/>
        </w:rPr>
      </w:pPr>
      <w:r w:rsidRPr="007A6797">
        <w:rPr>
          <w:rFonts w:ascii="Poppins" w:hAnsi="Poppins" w:cs="Poppins"/>
          <w:sz w:val="18"/>
          <w:szCs w:val="18"/>
        </w:rPr>
        <w:t>El impacto esperado es típicamente alcista, no por retirar barriles de inmediato, sino por aumentar la fricción operativa</w:t>
      </w:r>
      <w:r>
        <w:rPr>
          <w:rFonts w:ascii="Poppins" w:hAnsi="Poppins" w:cs="Poppins"/>
          <w:sz w:val="18"/>
          <w:szCs w:val="18"/>
        </w:rPr>
        <w:t>. Esto porque</w:t>
      </w:r>
      <w:r w:rsidRPr="007A6797">
        <w:rPr>
          <w:rFonts w:ascii="Poppins" w:hAnsi="Poppins" w:cs="Poppins"/>
          <w:sz w:val="18"/>
          <w:szCs w:val="18"/>
        </w:rPr>
        <w:t xml:space="preserve"> mayores costos de flete y seguros, uso más intensivo de la </w:t>
      </w:r>
      <w:r w:rsidRPr="007A6797">
        <w:rPr>
          <w:rFonts w:ascii="Poppins" w:hAnsi="Poppins" w:cs="Poppins"/>
          <w:i/>
          <w:iCs/>
          <w:sz w:val="18"/>
          <w:szCs w:val="18"/>
        </w:rPr>
        <w:t>“</w:t>
      </w:r>
      <w:r w:rsidRPr="00CD1CC8">
        <w:rPr>
          <w:rFonts w:ascii="Poppins" w:hAnsi="Poppins" w:cs="Poppins"/>
          <w:i/>
          <w:iCs/>
          <w:sz w:val="18"/>
          <w:szCs w:val="18"/>
        </w:rPr>
        <w:t>flota fantasma</w:t>
      </w:r>
      <w:r w:rsidRPr="007A6797">
        <w:rPr>
          <w:rFonts w:ascii="Poppins" w:hAnsi="Poppins" w:cs="Poppins"/>
          <w:i/>
          <w:iCs/>
          <w:sz w:val="18"/>
          <w:szCs w:val="18"/>
        </w:rPr>
        <w:t>”</w:t>
      </w:r>
      <w:r w:rsidRPr="007A6797">
        <w:rPr>
          <w:rFonts w:ascii="Poppins" w:hAnsi="Poppins" w:cs="Poppins"/>
          <w:sz w:val="18"/>
          <w:szCs w:val="18"/>
        </w:rPr>
        <w:t xml:space="preserve">, más transbordos y mayor riesgo contractual. Este encarecimiento logístico suele sostener diferenciales </w:t>
      </w:r>
      <w:r>
        <w:rPr>
          <w:rFonts w:ascii="Poppins" w:hAnsi="Poppins" w:cs="Poppins"/>
          <w:sz w:val="18"/>
          <w:szCs w:val="18"/>
        </w:rPr>
        <w:t xml:space="preserve">de precios </w:t>
      </w:r>
      <w:r w:rsidRPr="007A6797">
        <w:rPr>
          <w:rFonts w:ascii="Poppins" w:hAnsi="Poppins" w:cs="Poppins"/>
          <w:sz w:val="18"/>
          <w:szCs w:val="18"/>
        </w:rPr>
        <w:t>y presionar especialmente a los derivados</w:t>
      </w:r>
      <w:r>
        <w:rPr>
          <w:rFonts w:ascii="Poppins" w:hAnsi="Poppins" w:cs="Poppins"/>
          <w:sz w:val="18"/>
          <w:szCs w:val="18"/>
        </w:rPr>
        <w:t xml:space="preserve"> de petróleo </w:t>
      </w:r>
      <w:r w:rsidRPr="007A6797">
        <w:rPr>
          <w:rFonts w:ascii="Poppins" w:hAnsi="Poppins" w:cs="Poppins"/>
          <w:sz w:val="18"/>
          <w:szCs w:val="18"/>
        </w:rPr>
        <w:t>en Europa, como diésel y jet fuel</w:t>
      </w:r>
      <w:r>
        <w:rPr>
          <w:rFonts w:ascii="Poppins" w:hAnsi="Poppins" w:cs="Poppins"/>
          <w:sz w:val="18"/>
          <w:szCs w:val="18"/>
        </w:rPr>
        <w:t xml:space="preserve"> (aviación)</w:t>
      </w:r>
      <w:r w:rsidRPr="007A6797">
        <w:rPr>
          <w:rFonts w:ascii="Poppins" w:hAnsi="Poppins" w:cs="Poppins"/>
          <w:sz w:val="18"/>
          <w:szCs w:val="18"/>
        </w:rPr>
        <w:t>. No obstante, el efecto final dependerá del grado de implementación política y posibles excepciones</w:t>
      </w:r>
      <w:r>
        <w:rPr>
          <w:rFonts w:ascii="Poppins" w:hAnsi="Poppins" w:cs="Poppins"/>
          <w:sz w:val="18"/>
          <w:szCs w:val="18"/>
        </w:rPr>
        <w:t>.</w:t>
      </w:r>
    </w:p>
    <w:p w14:paraId="47A4287E" w14:textId="77777777" w:rsidR="000A7DFE" w:rsidRDefault="000A7DFE" w:rsidP="000A7DFE">
      <w:pPr>
        <w:shd w:val="clear" w:color="auto" w:fill="FFFFFF"/>
        <w:ind w:left="425"/>
        <w:jc w:val="both"/>
        <w:rPr>
          <w:rFonts w:ascii="Poppins" w:hAnsi="Poppins" w:cs="Poppins"/>
          <w:sz w:val="18"/>
          <w:szCs w:val="18"/>
        </w:rPr>
      </w:pPr>
    </w:p>
    <w:p w14:paraId="7FB23DB1" w14:textId="77777777" w:rsidR="000A7DFE" w:rsidRPr="00C23709" w:rsidRDefault="000A7DFE" w:rsidP="000A7DFE">
      <w:pPr>
        <w:pStyle w:val="Prrafodelista"/>
        <w:numPr>
          <w:ilvl w:val="0"/>
          <w:numId w:val="30"/>
        </w:numPr>
        <w:ind w:left="425"/>
        <w:contextualSpacing/>
        <w:jc w:val="both"/>
        <w:rPr>
          <w:rFonts w:ascii="Poppins" w:hAnsi="Poppins" w:cs="Poppins"/>
          <w:b/>
          <w:sz w:val="18"/>
          <w:szCs w:val="18"/>
        </w:rPr>
      </w:pPr>
      <w:r w:rsidRPr="00C23709">
        <w:rPr>
          <w:rFonts w:ascii="Poppins" w:hAnsi="Poppins" w:cs="Poppins"/>
          <w:b/>
          <w:sz w:val="18"/>
          <w:szCs w:val="18"/>
        </w:rPr>
        <w:t>Ola de frío extremo en EE.UU. impulsa la demanda de gas, electricidad y refinados</w:t>
      </w:r>
    </w:p>
    <w:p w14:paraId="73F599EC" w14:textId="77777777" w:rsidR="000A7DFE" w:rsidRPr="00C23709" w:rsidRDefault="000A7DFE" w:rsidP="000A7DFE">
      <w:pPr>
        <w:jc w:val="both"/>
        <w:rPr>
          <w:rFonts w:ascii="Poppins" w:hAnsi="Poppins" w:cs="Poppins"/>
          <w:b/>
          <w:sz w:val="18"/>
          <w:szCs w:val="18"/>
        </w:rPr>
      </w:pPr>
    </w:p>
    <w:p w14:paraId="301EDEDB" w14:textId="77777777" w:rsidR="000A7DFE" w:rsidRPr="00C23709" w:rsidRDefault="000A7DFE" w:rsidP="000A7DFE">
      <w:pPr>
        <w:shd w:val="clear" w:color="auto" w:fill="FFFFFF"/>
        <w:ind w:left="425"/>
        <w:jc w:val="both"/>
        <w:rPr>
          <w:rFonts w:ascii="Poppins" w:hAnsi="Poppins" w:cs="Poppins"/>
          <w:sz w:val="18"/>
          <w:szCs w:val="18"/>
        </w:rPr>
      </w:pPr>
      <w:r w:rsidRPr="00C23709">
        <w:rPr>
          <w:rFonts w:ascii="Poppins" w:hAnsi="Poppins" w:cs="Poppins"/>
          <w:sz w:val="18"/>
          <w:szCs w:val="18"/>
        </w:rPr>
        <w:t>Desde el 18 de enero, la tormenta invernal Fern afectó amplias zonas de Estados Unidos, con alertas de frío extremo para más de 150 millones de personas en el Medio Oeste, Grandes Llanuras, Noreste, Valle del Ohio, Atlántico Medio y Texas. En varias regiones se registraron temperaturas mínimas de –20 °C a –30 °C, con sensaciones térmicas por debajo de –35 °C, generando condiciones críticas para la población y la infraestructura energética. El frío provocó cierres preventivos de pozos, fallas en equipos y congelamientos de ductos, reduciendo temporalmente la producción de crudo en hasta 2 millones de barriles diarios, cerca del 15% del total nacional de los EE.UU., según estimaciones citadas por Reuters. Aunque parte de estas pérdidas comenzaron a revertirse hacia fines de semana, el shock fue suficiente para tensionar temporalmente el mercado.</w:t>
      </w:r>
    </w:p>
    <w:p w14:paraId="2B585598" w14:textId="77777777" w:rsidR="000A7DFE" w:rsidRPr="00C23709" w:rsidRDefault="000A7DFE" w:rsidP="000A7DFE">
      <w:pPr>
        <w:shd w:val="clear" w:color="auto" w:fill="FFFFFF"/>
        <w:ind w:left="425"/>
        <w:jc w:val="both"/>
        <w:rPr>
          <w:rFonts w:ascii="Poppins" w:hAnsi="Poppins" w:cs="Poppins"/>
          <w:sz w:val="18"/>
          <w:szCs w:val="18"/>
        </w:rPr>
      </w:pPr>
    </w:p>
    <w:p w14:paraId="76D8807B" w14:textId="77777777" w:rsidR="000A7DFE" w:rsidRDefault="000A7DFE" w:rsidP="000A7DFE">
      <w:pPr>
        <w:shd w:val="clear" w:color="auto" w:fill="FFFFFF"/>
        <w:ind w:left="425"/>
        <w:jc w:val="both"/>
        <w:rPr>
          <w:rFonts w:ascii="Poppins" w:hAnsi="Poppins" w:cs="Poppins"/>
          <w:sz w:val="18"/>
          <w:szCs w:val="18"/>
        </w:rPr>
      </w:pPr>
      <w:r w:rsidRPr="00C23709">
        <w:rPr>
          <w:rFonts w:ascii="Poppins" w:hAnsi="Poppins" w:cs="Poppins"/>
          <w:sz w:val="18"/>
          <w:szCs w:val="18"/>
        </w:rPr>
        <w:lastRenderedPageBreak/>
        <w:t xml:space="preserve">En paralelo, el consumo energético para calefacción se disparó. La demanda de gas natural en EE.UU. alcanzó aproximadamente 156 mil millones de pies cúbicos diarios, muy por encima del promedio estacional, impulsando los precios del Henry Hub hasta 6,5–6,8 US$ por millón de BTU, máximos de casi tres años. En el sistema eléctrico, operadores como </w:t>
      </w:r>
      <w:r w:rsidRPr="00C23709">
        <w:rPr>
          <w:rFonts w:ascii="Poppins" w:hAnsi="Poppins" w:cs="Poppins"/>
          <w:i/>
          <w:iCs/>
          <w:sz w:val="18"/>
          <w:szCs w:val="18"/>
        </w:rPr>
        <w:t>PJM Interconnection</w:t>
      </w:r>
      <w:r w:rsidRPr="00C23709">
        <w:rPr>
          <w:rFonts w:ascii="Poppins" w:hAnsi="Poppins" w:cs="Poppins"/>
          <w:sz w:val="18"/>
          <w:szCs w:val="18"/>
        </w:rPr>
        <w:t xml:space="preserve"> anticiparon picos cercanos a 147 GW, mientras que </w:t>
      </w:r>
      <w:r w:rsidRPr="00C23709">
        <w:rPr>
          <w:rFonts w:ascii="Poppins" w:hAnsi="Poppins" w:cs="Poppins"/>
          <w:i/>
          <w:iCs/>
          <w:sz w:val="18"/>
          <w:szCs w:val="18"/>
        </w:rPr>
        <w:t>ERCOT</w:t>
      </w:r>
      <w:r w:rsidRPr="00C23709">
        <w:rPr>
          <w:rFonts w:ascii="Poppins" w:hAnsi="Poppins" w:cs="Poppins"/>
          <w:sz w:val="18"/>
          <w:szCs w:val="18"/>
        </w:rPr>
        <w:t xml:space="preserve"> proyectó demandas próximas a 85 GW en Texas. En regiones con limitaciones de gas, como Nueva Inglaterra, fue necesario recurrir de forma intensiva a fuel oil y diésel para generación eléctrica, incrementando la demanda de derivados del petróleo y reforzando el sesgo alcista de corto plazo en estos combustibles.</w:t>
      </w: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 xml:space="preserve">2 que muestra los fletes de referencia de importación del GLP y Diésel, en la ruta Houston - Callao.  Esto se debe a </w:t>
      </w:r>
      <w:r w:rsidRPr="0096213B">
        <w:rPr>
          <w:rFonts w:ascii="Poppins" w:eastAsiaTheme="minorHAnsi" w:hAnsi="Poppins" w:cs="Poppins"/>
          <w:color w:val="191919"/>
          <w:kern w:val="2"/>
          <w:sz w:val="18"/>
          <w:szCs w:val="18"/>
          <w:lang w:eastAsia="en-US"/>
          <w14:ligatures w14:val="standardContextual"/>
        </w:rPr>
        <w:lastRenderedPageBreak/>
        <w:t>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5BCD6220" w:rsidR="00CD537C" w:rsidRDefault="00CD537C" w:rsidP="00D87FA1">
      <w:pPr>
        <w:ind w:left="426"/>
        <w:jc w:val="both"/>
        <w:rPr>
          <w:rFonts w:ascii="Poppins" w:hAnsi="Poppins" w:cs="Poppins"/>
          <w:sz w:val="18"/>
          <w:szCs w:val="18"/>
        </w:rPr>
      </w:pPr>
    </w:p>
    <w:p w14:paraId="713A569D" w14:textId="6619C1F0" w:rsidR="00900D99" w:rsidRDefault="00900D99" w:rsidP="00D87FA1">
      <w:pPr>
        <w:ind w:left="426"/>
        <w:jc w:val="both"/>
        <w:rPr>
          <w:rFonts w:ascii="Poppins" w:hAnsi="Poppins" w:cs="Poppins"/>
          <w:sz w:val="18"/>
          <w:szCs w:val="18"/>
        </w:rPr>
      </w:pPr>
    </w:p>
    <w:p w14:paraId="05320C9A" w14:textId="6C1A1F73" w:rsidR="00900D99" w:rsidRDefault="00900D99" w:rsidP="00D87FA1">
      <w:pPr>
        <w:ind w:left="426"/>
        <w:jc w:val="both"/>
        <w:rPr>
          <w:rFonts w:ascii="Poppins" w:hAnsi="Poppins" w:cs="Poppins"/>
          <w:sz w:val="18"/>
          <w:szCs w:val="18"/>
        </w:rPr>
      </w:pPr>
    </w:p>
    <w:p w14:paraId="41355EC3" w14:textId="37812C8B" w:rsidR="00900D99" w:rsidRDefault="00900D99" w:rsidP="00D87FA1">
      <w:pPr>
        <w:ind w:left="426"/>
        <w:jc w:val="both"/>
        <w:rPr>
          <w:rFonts w:ascii="Poppins" w:hAnsi="Poppins" w:cs="Poppins"/>
          <w:sz w:val="18"/>
          <w:szCs w:val="18"/>
        </w:rPr>
      </w:pPr>
    </w:p>
    <w:p w14:paraId="719691D5" w14:textId="38658134" w:rsidR="00900D99" w:rsidRDefault="00900D99" w:rsidP="00D87FA1">
      <w:pPr>
        <w:ind w:left="426"/>
        <w:jc w:val="both"/>
        <w:rPr>
          <w:rFonts w:ascii="Poppins" w:hAnsi="Poppins" w:cs="Poppins"/>
          <w:sz w:val="18"/>
          <w:szCs w:val="18"/>
        </w:rPr>
      </w:pPr>
    </w:p>
    <w:p w14:paraId="291A863A" w14:textId="799C2CD8" w:rsidR="00900D99" w:rsidRDefault="00900D99" w:rsidP="00D87FA1">
      <w:pPr>
        <w:ind w:left="426"/>
        <w:jc w:val="both"/>
        <w:rPr>
          <w:rFonts w:ascii="Poppins" w:hAnsi="Poppins" w:cs="Poppins"/>
          <w:sz w:val="18"/>
          <w:szCs w:val="18"/>
        </w:rPr>
      </w:pPr>
    </w:p>
    <w:p w14:paraId="77714923" w14:textId="500FA87E" w:rsidR="00900D99" w:rsidRDefault="00900D99" w:rsidP="00D87FA1">
      <w:pPr>
        <w:ind w:left="426"/>
        <w:jc w:val="both"/>
        <w:rPr>
          <w:rFonts w:ascii="Poppins" w:hAnsi="Poppins" w:cs="Poppins"/>
          <w:sz w:val="18"/>
          <w:szCs w:val="18"/>
        </w:rPr>
      </w:pPr>
    </w:p>
    <w:p w14:paraId="03BFCF75" w14:textId="70865B45" w:rsidR="00900D99" w:rsidRDefault="00900D99" w:rsidP="00D87FA1">
      <w:pPr>
        <w:ind w:left="426"/>
        <w:jc w:val="both"/>
        <w:rPr>
          <w:rFonts w:ascii="Poppins" w:hAnsi="Poppins" w:cs="Poppins"/>
          <w:sz w:val="18"/>
          <w:szCs w:val="18"/>
        </w:rPr>
      </w:pPr>
    </w:p>
    <w:p w14:paraId="6D6866DE" w14:textId="593F35C7" w:rsidR="00900D99" w:rsidRDefault="00900D99" w:rsidP="00D87FA1">
      <w:pPr>
        <w:ind w:left="426"/>
        <w:jc w:val="both"/>
        <w:rPr>
          <w:rFonts w:ascii="Poppins" w:hAnsi="Poppins" w:cs="Poppins"/>
          <w:sz w:val="18"/>
          <w:szCs w:val="18"/>
        </w:rPr>
      </w:pPr>
    </w:p>
    <w:p w14:paraId="68FEF91E" w14:textId="18A7EE56" w:rsidR="00900D99" w:rsidRDefault="00900D99" w:rsidP="00D87FA1">
      <w:pPr>
        <w:ind w:left="426"/>
        <w:jc w:val="both"/>
        <w:rPr>
          <w:rFonts w:ascii="Poppins" w:hAnsi="Poppins" w:cs="Poppins"/>
          <w:sz w:val="18"/>
          <w:szCs w:val="18"/>
        </w:rPr>
      </w:pPr>
    </w:p>
    <w:p w14:paraId="7D6F0512" w14:textId="27228DB5" w:rsidR="00900D99" w:rsidRDefault="00900D99" w:rsidP="00D87FA1">
      <w:pPr>
        <w:ind w:left="426"/>
        <w:jc w:val="both"/>
        <w:rPr>
          <w:rFonts w:ascii="Poppins" w:hAnsi="Poppins" w:cs="Poppins"/>
          <w:sz w:val="18"/>
          <w:szCs w:val="18"/>
        </w:rPr>
      </w:pPr>
    </w:p>
    <w:p w14:paraId="73A3307E" w14:textId="56884683" w:rsidR="00900D99" w:rsidRDefault="00900D99" w:rsidP="00D87FA1">
      <w:pPr>
        <w:ind w:left="426"/>
        <w:jc w:val="both"/>
        <w:rPr>
          <w:rFonts w:ascii="Poppins" w:hAnsi="Poppins" w:cs="Poppins"/>
          <w:sz w:val="18"/>
          <w:szCs w:val="18"/>
        </w:rPr>
      </w:pPr>
    </w:p>
    <w:p w14:paraId="4505E96E" w14:textId="0ED8F2A3" w:rsidR="00900D99" w:rsidRDefault="00900D99" w:rsidP="00D87FA1">
      <w:pPr>
        <w:ind w:left="426"/>
        <w:jc w:val="both"/>
        <w:rPr>
          <w:rFonts w:ascii="Poppins" w:hAnsi="Poppins" w:cs="Poppins"/>
          <w:sz w:val="18"/>
          <w:szCs w:val="18"/>
        </w:rPr>
      </w:pPr>
    </w:p>
    <w:p w14:paraId="33E10A3E" w14:textId="77777777" w:rsidR="00900D99" w:rsidRDefault="00900D99" w:rsidP="00D87FA1">
      <w:pPr>
        <w:ind w:left="426"/>
        <w:jc w:val="both"/>
        <w:rPr>
          <w:rFonts w:ascii="Poppins" w:hAnsi="Poppins" w:cs="Poppins"/>
          <w:sz w:val="18"/>
          <w:szCs w:val="18"/>
        </w:rPr>
      </w:pPr>
    </w:p>
    <w:p w14:paraId="2836C012" w14:textId="2061EDC2" w:rsidR="00750E29" w:rsidRDefault="00750E29" w:rsidP="00D87FA1">
      <w:pPr>
        <w:ind w:left="426"/>
        <w:jc w:val="both"/>
        <w:rPr>
          <w:rFonts w:ascii="Poppins" w:hAnsi="Poppins" w:cs="Poppins"/>
          <w:sz w:val="18"/>
          <w:szCs w:val="18"/>
        </w:rPr>
      </w:pPr>
    </w:p>
    <w:p w14:paraId="67EAF43B" w14:textId="3BA86396" w:rsidR="00812AE9" w:rsidRDefault="00812AE9" w:rsidP="00D87FA1">
      <w:pPr>
        <w:ind w:left="426"/>
        <w:jc w:val="both"/>
        <w:rPr>
          <w:rFonts w:ascii="Poppins" w:hAnsi="Poppins" w:cs="Poppins"/>
          <w:sz w:val="18"/>
          <w:szCs w:val="18"/>
        </w:rPr>
      </w:pPr>
    </w:p>
    <w:p w14:paraId="46013766" w14:textId="77777777" w:rsidR="00812AE9" w:rsidRDefault="00812AE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77777777" w:rsidR="00CD537C" w:rsidRDefault="00CD537C"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1CF79AC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0040AB">
        <w:rPr>
          <w:rFonts w:ascii="Poppins" w:hAnsi="Poppins" w:cs="Poppins"/>
          <w:sz w:val="18"/>
          <w:szCs w:val="18"/>
        </w:rPr>
        <w:t>30</w:t>
      </w:r>
      <w:r w:rsidR="007C4098">
        <w:rPr>
          <w:rFonts w:ascii="Poppins" w:hAnsi="Poppins" w:cs="Poppins"/>
          <w:sz w:val="18"/>
          <w:szCs w:val="18"/>
        </w:rPr>
        <w:t xml:space="preserve"> de</w:t>
      </w:r>
      <w:r w:rsidRPr="00581B20">
        <w:rPr>
          <w:rFonts w:ascii="Poppins" w:hAnsi="Poppins" w:cs="Poppins"/>
          <w:sz w:val="18"/>
          <w:szCs w:val="18"/>
        </w:rPr>
        <w:t xml:space="preserve"> </w:t>
      </w:r>
      <w:r w:rsidR="000040AB">
        <w:rPr>
          <w:rFonts w:ascii="Poppins" w:hAnsi="Poppins" w:cs="Poppins"/>
          <w:sz w:val="18"/>
          <w:szCs w:val="18"/>
        </w:rPr>
        <w:t>enero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0040AB">
        <w:rPr>
          <w:rFonts w:ascii="Poppins" w:hAnsi="Poppins" w:cs="Poppins"/>
          <w:sz w:val="18"/>
          <w:szCs w:val="18"/>
        </w:rPr>
        <w:t>febrer</w:t>
      </w:r>
      <w:r w:rsidR="00DE2753">
        <w:rPr>
          <w:rFonts w:ascii="Poppins" w:hAnsi="Poppins" w:cs="Poppins"/>
          <w:sz w:val="18"/>
          <w:szCs w:val="18"/>
        </w:rPr>
        <w: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F466EA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0040AB">
        <w:rPr>
          <w:rFonts w:ascii="Poppins" w:hAnsi="Poppins" w:cs="Poppins"/>
          <w:sz w:val="18"/>
          <w:szCs w:val="18"/>
        </w:rPr>
        <w:t xml:space="preserve"> y </w:t>
      </w:r>
      <w:r w:rsidR="000040AB" w:rsidRPr="0096213B">
        <w:rPr>
          <w:rFonts w:ascii="Poppins" w:hAnsi="Poppins" w:cs="Poppins"/>
          <w:sz w:val="18"/>
          <w:szCs w:val="18"/>
        </w:rPr>
        <w:t xml:space="preserve">N° </w:t>
      </w:r>
      <w:r w:rsidR="000040AB">
        <w:rPr>
          <w:rFonts w:ascii="Poppins" w:hAnsi="Poppins" w:cs="Poppins"/>
          <w:sz w:val="18"/>
          <w:szCs w:val="18"/>
        </w:rPr>
        <w:t>004</w:t>
      </w:r>
      <w:r w:rsidR="000040AB" w:rsidRPr="0096213B">
        <w:rPr>
          <w:rFonts w:ascii="Poppins" w:hAnsi="Poppins" w:cs="Poppins"/>
          <w:sz w:val="18"/>
          <w:szCs w:val="18"/>
        </w:rPr>
        <w:t>-202</w:t>
      </w:r>
      <w:r w:rsidR="000040AB">
        <w:rPr>
          <w:rFonts w:ascii="Poppins" w:hAnsi="Poppins" w:cs="Poppins"/>
          <w:sz w:val="18"/>
          <w:szCs w:val="18"/>
        </w:rPr>
        <w:t>6</w:t>
      </w:r>
      <w:r w:rsidR="000040AB"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0A7DFE">
        <w:rPr>
          <w:rFonts w:ascii="Poppins" w:hAnsi="Poppins" w:cs="Poppins"/>
          <w:sz w:val="18"/>
          <w:szCs w:val="18"/>
        </w:rPr>
        <w:t>1</w:t>
      </w:r>
      <w:r w:rsidR="000040AB">
        <w:rPr>
          <w:rFonts w:ascii="Poppins" w:hAnsi="Poppins" w:cs="Poppins"/>
          <w:sz w:val="18"/>
          <w:szCs w:val="18"/>
        </w:rPr>
        <w:t>0</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0040AB">
        <w:rPr>
          <w:rFonts w:ascii="Poppins" w:hAnsi="Poppins" w:cs="Poppins"/>
          <w:sz w:val="18"/>
          <w:szCs w:val="18"/>
        </w:rPr>
        <w:t>febrer</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0040AB">
        <w:rPr>
          <w:rFonts w:ascii="Poppins" w:hAnsi="Poppins" w:cs="Poppins"/>
          <w:sz w:val="18"/>
          <w:szCs w:val="18"/>
        </w:rPr>
        <w:t>lunes</w:t>
      </w:r>
      <w:r w:rsidR="00E059C7">
        <w:rPr>
          <w:rFonts w:ascii="Poppins" w:hAnsi="Poppins" w:cs="Poppins"/>
          <w:sz w:val="18"/>
          <w:szCs w:val="18"/>
        </w:rPr>
        <w:t xml:space="preserve"> </w:t>
      </w:r>
      <w:r w:rsidR="000A7DFE">
        <w:rPr>
          <w:rFonts w:ascii="Poppins" w:hAnsi="Poppins" w:cs="Poppins"/>
          <w:sz w:val="18"/>
          <w:szCs w:val="18"/>
        </w:rPr>
        <w:t>16</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0040AB">
        <w:rPr>
          <w:rFonts w:ascii="Poppins" w:hAnsi="Poppins" w:cs="Poppins"/>
          <w:sz w:val="18"/>
          <w:szCs w:val="18"/>
        </w:rPr>
        <w:t>febrero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4A7E9C9"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0A7DFE">
        <w:rPr>
          <w:rFonts w:ascii="Poppins" w:hAnsi="Poppins" w:cs="Poppins"/>
          <w:sz w:val="18"/>
          <w:szCs w:val="18"/>
        </w:rPr>
        <w:t>1</w:t>
      </w:r>
      <w:r w:rsidR="000040AB">
        <w:rPr>
          <w:rFonts w:ascii="Poppins" w:hAnsi="Poppins" w:cs="Poppins"/>
          <w:sz w:val="18"/>
          <w:szCs w:val="18"/>
        </w:rPr>
        <w:t>0</w:t>
      </w:r>
      <w:r w:rsidRPr="00A01E92">
        <w:rPr>
          <w:rFonts w:ascii="Poppins" w:hAnsi="Poppins" w:cs="Poppins"/>
          <w:sz w:val="18"/>
          <w:szCs w:val="18"/>
        </w:rPr>
        <w:t>.</w:t>
      </w:r>
      <w:r w:rsidR="005151B0">
        <w:rPr>
          <w:rFonts w:ascii="Poppins" w:hAnsi="Poppins" w:cs="Poppins"/>
          <w:sz w:val="18"/>
          <w:szCs w:val="18"/>
        </w:rPr>
        <w:t>0</w:t>
      </w:r>
      <w:r w:rsidR="000040AB">
        <w:rPr>
          <w:rFonts w:ascii="Poppins" w:hAnsi="Poppins" w:cs="Poppins"/>
          <w:sz w:val="18"/>
          <w:szCs w:val="18"/>
        </w:rPr>
        <w:t>2</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FF71C0">
        <w:rPr>
          <w:rFonts w:ascii="Poppins" w:hAnsi="Poppins" w:cs="Poppins"/>
          <w:sz w:val="18"/>
          <w:szCs w:val="18"/>
        </w:rPr>
        <w:t>-</w:t>
      </w:r>
      <w:r w:rsidR="00093757" w:rsidRPr="00A01E92">
        <w:rPr>
          <w:rFonts w:ascii="Poppins" w:hAnsi="Poppins" w:cs="Poppins"/>
          <w:sz w:val="18"/>
          <w:szCs w:val="18"/>
        </w:rPr>
        <w:t>0,</w:t>
      </w:r>
      <w:r w:rsidR="00B66A52">
        <w:rPr>
          <w:rFonts w:ascii="Poppins" w:hAnsi="Poppins" w:cs="Poppins"/>
          <w:sz w:val="18"/>
          <w:szCs w:val="18"/>
        </w:rPr>
        <w:t>28</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FF71C0">
        <w:rPr>
          <w:rFonts w:ascii="Poppins" w:hAnsi="Poppins" w:cs="Poppins"/>
          <w:sz w:val="18"/>
          <w:szCs w:val="18"/>
        </w:rPr>
        <w:t>2</w:t>
      </w:r>
      <w:r w:rsidR="00B66A52">
        <w:rPr>
          <w:rFonts w:ascii="Poppins" w:hAnsi="Poppins" w:cs="Poppins"/>
          <w:sz w:val="18"/>
          <w:szCs w:val="18"/>
        </w:rPr>
        <w:t>1</w:t>
      </w:r>
      <w:r w:rsidR="00465772" w:rsidRPr="00A01E92">
        <w:rPr>
          <w:rFonts w:ascii="Poppins" w:hAnsi="Poppins" w:cs="Poppins"/>
          <w:sz w:val="18"/>
          <w:szCs w:val="18"/>
        </w:rPr>
        <w:t xml:space="preserve"> S/Gln)</w:t>
      </w:r>
      <w:r w:rsidR="00BC45B5" w:rsidRPr="00A01E92">
        <w:rPr>
          <w:rFonts w:ascii="Poppins" w:hAnsi="Poppins" w:cs="Poppins"/>
          <w:sz w:val="18"/>
          <w:szCs w:val="18"/>
        </w:rPr>
        <w:t xml:space="preserve">, </w:t>
      </w:r>
      <w:r w:rsidR="00A01E92" w:rsidRPr="00A01E92">
        <w:rPr>
          <w:rFonts w:ascii="Poppins" w:hAnsi="Poppins" w:cs="Poppins"/>
          <w:sz w:val="18"/>
          <w:szCs w:val="18"/>
        </w:rPr>
        <w:t>G</w:t>
      </w:r>
      <w:r w:rsidR="00A01E92" w:rsidRPr="00A01E92">
        <w:rPr>
          <w:rFonts w:ascii="Poppins" w:hAnsi="Poppins" w:cs="Poppins"/>
          <w:sz w:val="18"/>
          <w:szCs w:val="18"/>
          <w:lang w:val="es-PE"/>
        </w:rPr>
        <w:t>asohol Premium (</w:t>
      </w:r>
      <w:r w:rsidR="009C7995">
        <w:rPr>
          <w:rFonts w:ascii="Poppins" w:hAnsi="Poppins" w:cs="Poppins"/>
          <w:sz w:val="18"/>
          <w:szCs w:val="18"/>
          <w:lang w:val="es-PE"/>
        </w:rPr>
        <w:t>+</w:t>
      </w:r>
      <w:r w:rsidR="00A01E92" w:rsidRPr="00A01E92">
        <w:rPr>
          <w:rFonts w:ascii="Poppins" w:hAnsi="Poppins" w:cs="Poppins"/>
          <w:sz w:val="18"/>
          <w:szCs w:val="18"/>
          <w:lang w:val="es-PE"/>
        </w:rPr>
        <w:t>0,</w:t>
      </w:r>
      <w:r w:rsidR="00B66A52">
        <w:rPr>
          <w:rFonts w:ascii="Poppins" w:hAnsi="Poppins" w:cs="Poppins"/>
          <w:sz w:val="18"/>
          <w:szCs w:val="18"/>
          <w:lang w:val="es-PE"/>
        </w:rPr>
        <w:t>5</w:t>
      </w:r>
      <w:r w:rsidR="009A6BDF">
        <w:rPr>
          <w:rFonts w:ascii="Poppins" w:hAnsi="Poppins" w:cs="Poppins"/>
          <w:sz w:val="18"/>
          <w:szCs w:val="18"/>
          <w:lang w:val="es-PE"/>
        </w:rPr>
        <w:t>1</w:t>
      </w:r>
      <w:r w:rsidR="00A01E92" w:rsidRPr="00A01E92">
        <w:rPr>
          <w:rFonts w:ascii="Poppins" w:hAnsi="Poppins" w:cs="Poppins"/>
          <w:sz w:val="18"/>
          <w:szCs w:val="18"/>
          <w:lang w:val="es-PE"/>
        </w:rPr>
        <w:t xml:space="preserve"> S/Gln), </w:t>
      </w:r>
      <w:r w:rsidR="009A6BDF">
        <w:rPr>
          <w:rFonts w:ascii="Poppins" w:hAnsi="Poppins" w:cs="Poppins"/>
          <w:sz w:val="18"/>
          <w:szCs w:val="18"/>
          <w:lang w:val="es-PE"/>
        </w:rPr>
        <w:t xml:space="preserve">y </w:t>
      </w:r>
      <w:r w:rsidR="00A01E92" w:rsidRPr="00A01E92">
        <w:rPr>
          <w:rFonts w:ascii="Poppins" w:hAnsi="Poppins" w:cs="Poppins"/>
          <w:sz w:val="18"/>
          <w:szCs w:val="18"/>
        </w:rPr>
        <w:t>Gasohol Regular (</w:t>
      </w:r>
      <w:r w:rsidR="00B66A52">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B66A52">
        <w:rPr>
          <w:rFonts w:ascii="Poppins" w:hAnsi="Poppins" w:cs="Poppins"/>
          <w:sz w:val="18"/>
          <w:szCs w:val="18"/>
        </w:rPr>
        <w:t>30</w:t>
      </w:r>
      <w:r w:rsidR="00A01E92" w:rsidRPr="00A01E92">
        <w:rPr>
          <w:rFonts w:ascii="Poppins" w:hAnsi="Poppins" w:cs="Poppins"/>
          <w:sz w:val="18"/>
          <w:szCs w:val="18"/>
        </w:rPr>
        <w:t xml:space="preserve"> 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B66A52">
        <w:rPr>
          <w:rFonts w:ascii="Poppins" w:hAnsi="Poppins" w:cs="Poppins"/>
          <w:sz w:val="18"/>
          <w:szCs w:val="18"/>
        </w:rPr>
        <w:t>-0</w:t>
      </w:r>
      <w:r w:rsidR="00B66A52" w:rsidRPr="00A01E92">
        <w:rPr>
          <w:rFonts w:ascii="Poppins" w:hAnsi="Poppins" w:cs="Poppins"/>
          <w:sz w:val="18"/>
          <w:szCs w:val="18"/>
        </w:rPr>
        <w:t>,</w:t>
      </w:r>
      <w:r w:rsidR="00B66A52">
        <w:rPr>
          <w:rFonts w:ascii="Poppins" w:hAnsi="Poppins" w:cs="Poppins"/>
          <w:sz w:val="18"/>
          <w:szCs w:val="18"/>
        </w:rPr>
        <w:t>09</w:t>
      </w:r>
      <w:r w:rsidR="00B66A52" w:rsidRPr="00A01E92">
        <w:rPr>
          <w:rFonts w:ascii="Poppins" w:hAnsi="Poppins" w:cs="Poppins"/>
          <w:sz w:val="18"/>
          <w:szCs w:val="18"/>
        </w:rPr>
        <w:t xml:space="preserve"> S/Gln)</w:t>
      </w:r>
      <w:r w:rsidR="00B66A52" w:rsidRPr="00B66A52">
        <w:rPr>
          <w:rFonts w:ascii="Poppins" w:hAnsi="Poppins" w:cs="Poppins"/>
          <w:sz w:val="18"/>
          <w:szCs w:val="18"/>
          <w:lang w:val="es-PE"/>
        </w:rPr>
        <w:t xml:space="preserve"> </w:t>
      </w:r>
      <w:r w:rsidR="00B66A52">
        <w:rPr>
          <w:rFonts w:ascii="Poppins" w:hAnsi="Poppins" w:cs="Poppins"/>
          <w:sz w:val="18"/>
          <w:szCs w:val="18"/>
          <w:lang w:val="es-PE"/>
        </w:rPr>
        <w:t>y Diesel B5 S-50</w:t>
      </w:r>
      <w:r w:rsidR="00B66A52" w:rsidRPr="00A01E92">
        <w:rPr>
          <w:rFonts w:ascii="Poppins" w:hAnsi="Poppins" w:cs="Poppins"/>
          <w:sz w:val="18"/>
          <w:szCs w:val="18"/>
        </w:rPr>
        <w:t xml:space="preserve"> (</w:t>
      </w:r>
      <w:r w:rsidR="00B66A52">
        <w:rPr>
          <w:rFonts w:ascii="Poppins" w:hAnsi="Poppins" w:cs="Poppins"/>
          <w:sz w:val="18"/>
          <w:szCs w:val="18"/>
        </w:rPr>
        <w:t>+0</w:t>
      </w:r>
      <w:r w:rsidR="00B66A52" w:rsidRPr="00A01E92">
        <w:rPr>
          <w:rFonts w:ascii="Poppins" w:hAnsi="Poppins" w:cs="Poppins"/>
          <w:sz w:val="18"/>
          <w:szCs w:val="18"/>
        </w:rPr>
        <w:t>,</w:t>
      </w:r>
      <w:r w:rsidR="00B66A52">
        <w:rPr>
          <w:rFonts w:ascii="Poppins" w:hAnsi="Poppins" w:cs="Poppins"/>
          <w:sz w:val="18"/>
          <w:szCs w:val="18"/>
        </w:rPr>
        <w:t>11</w:t>
      </w:r>
      <w:r w:rsidR="00B66A52" w:rsidRPr="00A01E92">
        <w:rPr>
          <w:rFonts w:ascii="Poppins" w:hAnsi="Poppins" w:cs="Poppins"/>
          <w:sz w:val="18"/>
          <w:szCs w:val="18"/>
        </w:rPr>
        <w:t xml:space="preserve"> S/Gln)</w:t>
      </w:r>
      <w:r w:rsidR="00093757">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28F8135"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B66A52">
        <w:rPr>
          <w:rFonts w:ascii="Poppins" w:hAnsi="Poppins" w:cs="Poppins"/>
          <w:sz w:val="18"/>
          <w:szCs w:val="18"/>
        </w:rPr>
        <w:t>2</w:t>
      </w:r>
      <w:r w:rsidR="007102D2">
        <w:rPr>
          <w:rFonts w:ascii="Poppins" w:hAnsi="Poppins" w:cs="Poppins"/>
          <w:sz w:val="18"/>
          <w:szCs w:val="18"/>
        </w:rPr>
        <w:t>6</w:t>
      </w:r>
      <w:r w:rsidR="00E7305B">
        <w:rPr>
          <w:rFonts w:ascii="Poppins" w:hAnsi="Poppins" w:cs="Poppins"/>
          <w:sz w:val="18"/>
          <w:szCs w:val="18"/>
        </w:rPr>
        <w:t>/</w:t>
      </w:r>
      <w:r w:rsidR="006B489A">
        <w:rPr>
          <w:rFonts w:ascii="Poppins" w:hAnsi="Poppins" w:cs="Poppins"/>
          <w:sz w:val="18"/>
          <w:szCs w:val="18"/>
        </w:rPr>
        <w:t>0</w:t>
      </w:r>
      <w:r w:rsidR="000C00CF">
        <w:rPr>
          <w:rFonts w:ascii="Poppins" w:hAnsi="Poppins" w:cs="Poppins"/>
          <w:sz w:val="18"/>
          <w:szCs w:val="18"/>
        </w:rPr>
        <w:t>1</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B66A52">
        <w:rPr>
          <w:rFonts w:ascii="Poppins" w:hAnsi="Poppins" w:cs="Poppins"/>
          <w:sz w:val="18"/>
          <w:szCs w:val="18"/>
        </w:rPr>
        <w:t>06</w:t>
      </w:r>
      <w:r w:rsidR="00336251" w:rsidRPr="0096213B">
        <w:rPr>
          <w:rFonts w:ascii="Poppins" w:hAnsi="Poppins" w:cs="Poppins"/>
          <w:sz w:val="18"/>
          <w:szCs w:val="18"/>
        </w:rPr>
        <w:t>/</w:t>
      </w:r>
      <w:r w:rsidR="005151B0">
        <w:rPr>
          <w:rFonts w:ascii="Poppins" w:hAnsi="Poppins" w:cs="Poppins"/>
          <w:sz w:val="18"/>
          <w:szCs w:val="18"/>
        </w:rPr>
        <w:t>0</w:t>
      </w:r>
      <w:r w:rsidR="00B66A52">
        <w:rPr>
          <w:rFonts w:ascii="Poppins" w:hAnsi="Poppins" w:cs="Poppins"/>
          <w:sz w:val="18"/>
          <w:szCs w:val="18"/>
        </w:rPr>
        <w:t>2</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5F5341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102D2">
        <w:rPr>
          <w:rFonts w:ascii="Poppins" w:hAnsi="Poppins" w:cs="Poppins"/>
          <w:b/>
          <w:bCs/>
          <w:i/>
          <w:sz w:val="18"/>
          <w:szCs w:val="18"/>
          <w:lang w:eastAsia="es-PE"/>
        </w:rPr>
        <w:t>0</w:t>
      </w:r>
      <w:r w:rsidR="00B66A52">
        <w:rPr>
          <w:rFonts w:ascii="Poppins" w:hAnsi="Poppins" w:cs="Poppins"/>
          <w:b/>
          <w:bCs/>
          <w:i/>
          <w:sz w:val="18"/>
          <w:szCs w:val="18"/>
          <w:lang w:eastAsia="es-PE"/>
        </w:rPr>
        <w:t>9</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7102D2">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1023FCA1" w:rsidR="00A86191" w:rsidRPr="0096213B" w:rsidRDefault="00B66A52"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BD54647" wp14:editId="5718C7FE">
            <wp:extent cx="5439508" cy="3081020"/>
            <wp:effectExtent l="0" t="0" r="889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67433" cy="309683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5F732FC"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E2753">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0670D">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9C7995">
        <w:rPr>
          <w:rFonts w:ascii="Poppins" w:hAnsi="Poppins" w:cs="Poppins"/>
          <w:sz w:val="18"/>
          <w:szCs w:val="18"/>
        </w:rPr>
        <w:t>7</w:t>
      </w:r>
      <w:r w:rsidR="00D0670D">
        <w:rPr>
          <w:rFonts w:ascii="Poppins" w:hAnsi="Poppins" w:cs="Poppins"/>
          <w:sz w:val="18"/>
          <w:szCs w:val="18"/>
        </w:rPr>
        <w:t>6</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089FA2C0"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773F6E">
        <w:rPr>
          <w:rFonts w:ascii="Poppins" w:hAnsi="Poppins" w:cs="Poppins"/>
          <w:sz w:val="18"/>
          <w:szCs w:val="18"/>
        </w:rPr>
        <w:t>0</w:t>
      </w:r>
      <w:r w:rsidR="00D0670D">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773F6E">
        <w:rPr>
          <w:rFonts w:ascii="Poppins" w:hAnsi="Poppins" w:cs="Poppins"/>
          <w:sz w:val="18"/>
          <w:szCs w:val="18"/>
        </w:rPr>
        <w:t>febre</w:t>
      </w:r>
      <w:r w:rsidR="00EF32FA">
        <w:rPr>
          <w:rFonts w:ascii="Poppins" w:hAnsi="Poppins" w:cs="Poppins"/>
          <w:sz w:val="18"/>
          <w:szCs w:val="18"/>
        </w:rPr>
        <w:t>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CC1BFF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11640">
        <w:rPr>
          <w:rFonts w:ascii="Poppins" w:hAnsi="Poppins" w:cs="Poppins"/>
          <w:sz w:val="18"/>
          <w:szCs w:val="18"/>
        </w:rPr>
        <w:t>6</w:t>
      </w:r>
      <w:r w:rsidR="00A33C99" w:rsidRPr="0096213B">
        <w:rPr>
          <w:rFonts w:ascii="Poppins" w:hAnsi="Poppins" w:cs="Poppins"/>
          <w:sz w:val="18"/>
          <w:szCs w:val="18"/>
        </w:rPr>
        <w:t>,</w:t>
      </w:r>
      <w:r w:rsidR="00B11640">
        <w:rPr>
          <w:rFonts w:ascii="Poppins" w:hAnsi="Poppins" w:cs="Poppins"/>
          <w:sz w:val="18"/>
          <w:szCs w:val="18"/>
        </w:rPr>
        <w:t>1</w:t>
      </w:r>
      <w:r w:rsidR="00773F6E">
        <w:rPr>
          <w:rFonts w:ascii="Poppins" w:hAnsi="Poppins" w:cs="Poppins"/>
          <w:sz w:val="18"/>
          <w:szCs w:val="18"/>
        </w:rPr>
        <w:t>5</w:t>
      </w:r>
      <w:r w:rsidR="00A33C99" w:rsidRPr="0096213B">
        <w:rPr>
          <w:rFonts w:ascii="Poppins" w:hAnsi="Poppins" w:cs="Poppins"/>
          <w:sz w:val="18"/>
          <w:szCs w:val="18"/>
        </w:rPr>
        <w:t xml:space="preserve"> cent$/galón equivalente a </w:t>
      </w:r>
      <w:r w:rsidR="00B11640">
        <w:rPr>
          <w:rFonts w:ascii="Poppins" w:hAnsi="Poppins" w:cs="Poppins"/>
          <w:sz w:val="18"/>
          <w:szCs w:val="18"/>
        </w:rPr>
        <w:t>2</w:t>
      </w:r>
      <w:r w:rsidR="00A33C99" w:rsidRPr="0096213B">
        <w:rPr>
          <w:rFonts w:ascii="Poppins" w:hAnsi="Poppins" w:cs="Poppins"/>
          <w:sz w:val="18"/>
          <w:szCs w:val="18"/>
        </w:rPr>
        <w:t>,</w:t>
      </w:r>
      <w:r w:rsidR="00B11640">
        <w:rPr>
          <w:rFonts w:ascii="Poppins" w:hAnsi="Poppins" w:cs="Poppins"/>
          <w:sz w:val="18"/>
          <w:szCs w:val="18"/>
        </w:rPr>
        <w:t>58</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07794A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B11640">
        <w:rPr>
          <w:rFonts w:ascii="Poppins" w:hAnsi="Poppins" w:cs="Poppins"/>
          <w:sz w:val="18"/>
          <w:szCs w:val="18"/>
        </w:rPr>
        <w:t>8</w:t>
      </w:r>
      <w:r w:rsidR="00E0028D">
        <w:rPr>
          <w:rFonts w:ascii="Poppins" w:hAnsi="Poppins" w:cs="Poppins"/>
          <w:sz w:val="18"/>
          <w:szCs w:val="18"/>
        </w:rPr>
        <w:t>,</w:t>
      </w:r>
      <w:r w:rsidR="00B11640">
        <w:rPr>
          <w:rFonts w:ascii="Poppins" w:hAnsi="Poppins" w:cs="Poppins"/>
          <w:sz w:val="18"/>
          <w:szCs w:val="18"/>
        </w:rPr>
        <w:t>22</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18FAA2A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F1449">
        <w:rPr>
          <w:rFonts w:ascii="Poppins" w:hAnsi="Poppins" w:cs="Poppins"/>
          <w:sz w:val="18"/>
          <w:szCs w:val="18"/>
        </w:rPr>
        <w:t>2</w:t>
      </w:r>
      <w:r w:rsidR="00336251" w:rsidRPr="0096213B">
        <w:rPr>
          <w:rFonts w:ascii="Poppins" w:hAnsi="Poppins" w:cs="Poppins"/>
          <w:sz w:val="18"/>
          <w:szCs w:val="18"/>
        </w:rPr>
        <w:t>,</w:t>
      </w:r>
      <w:r w:rsidR="00BF1449">
        <w:rPr>
          <w:rFonts w:ascii="Poppins" w:hAnsi="Poppins" w:cs="Poppins"/>
          <w:sz w:val="18"/>
          <w:szCs w:val="18"/>
        </w:rPr>
        <w:t>0</w:t>
      </w:r>
      <w:r w:rsidR="00B11640">
        <w:rPr>
          <w:rFonts w:ascii="Poppins" w:hAnsi="Poppins" w:cs="Poppins"/>
          <w:sz w:val="18"/>
          <w:szCs w:val="18"/>
        </w:rPr>
        <w:t>6</w:t>
      </w:r>
      <w:r w:rsidRPr="0096213B">
        <w:rPr>
          <w:rFonts w:ascii="Poppins" w:hAnsi="Poppins" w:cs="Poppins"/>
          <w:sz w:val="18"/>
          <w:szCs w:val="18"/>
        </w:rPr>
        <w:t xml:space="preserve"> US$/Bl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2750B4">
        <w:rPr>
          <w:rFonts w:ascii="Poppins" w:hAnsi="Poppins" w:cs="Poppins"/>
          <w:sz w:val="18"/>
          <w:szCs w:val="18"/>
        </w:rPr>
        <w:t>6</w:t>
      </w:r>
      <w:r w:rsidR="00B11640">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3BEE71F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w:t>
      </w:r>
      <w:r w:rsidR="00B11640">
        <w:rPr>
          <w:rFonts w:ascii="Poppins" w:hAnsi="Poppins" w:cs="Poppins"/>
          <w:sz w:val="18"/>
          <w:szCs w:val="18"/>
        </w:rPr>
        <w:t>5</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B11640">
        <w:rPr>
          <w:rFonts w:ascii="Poppins" w:hAnsi="Poppins" w:cs="Poppins"/>
          <w:sz w:val="18"/>
          <w:szCs w:val="18"/>
        </w:rPr>
        <w:t>72</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BA2ACB2"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B11640">
        <w:rPr>
          <w:rFonts w:ascii="Poppins" w:hAnsi="Poppins" w:cs="Poppins"/>
          <w:sz w:val="18"/>
          <w:szCs w:val="18"/>
        </w:rPr>
        <w:t>8</w:t>
      </w:r>
      <w:r w:rsidR="00110925">
        <w:rPr>
          <w:rFonts w:ascii="Poppins" w:hAnsi="Poppins" w:cs="Poppins"/>
          <w:sz w:val="18"/>
          <w:szCs w:val="18"/>
        </w:rPr>
        <w:t>,</w:t>
      </w:r>
      <w:r w:rsidR="00B11640">
        <w:rPr>
          <w:rFonts w:ascii="Poppins" w:hAnsi="Poppins" w:cs="Poppins"/>
          <w:sz w:val="18"/>
          <w:szCs w:val="18"/>
        </w:rPr>
        <w:t>22</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49C517B"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449">
        <w:rPr>
          <w:rFonts w:ascii="Poppins" w:hAnsi="Poppins" w:cs="Poppins"/>
          <w:bCs/>
          <w:sz w:val="18"/>
          <w:szCs w:val="18"/>
        </w:rPr>
        <w:t>1</w:t>
      </w:r>
      <w:r w:rsidRPr="004C5B09">
        <w:rPr>
          <w:rFonts w:ascii="Poppins" w:hAnsi="Poppins" w:cs="Poppins"/>
          <w:bCs/>
          <w:sz w:val="18"/>
          <w:szCs w:val="18"/>
        </w:rPr>
        <w:t>,</w:t>
      </w:r>
      <w:r w:rsidR="00773F6E">
        <w:rPr>
          <w:rFonts w:ascii="Poppins" w:hAnsi="Poppins" w:cs="Poppins"/>
          <w:bCs/>
          <w:sz w:val="18"/>
          <w:szCs w:val="18"/>
        </w:rPr>
        <w:t>8</w:t>
      </w:r>
      <w:r w:rsidR="00B11640">
        <w:rPr>
          <w:rFonts w:ascii="Poppins" w:hAnsi="Poppins" w:cs="Poppins"/>
          <w:bCs/>
          <w:sz w:val="18"/>
          <w:szCs w:val="18"/>
        </w:rPr>
        <w:t>3</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2B9A58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B11640">
        <w:rPr>
          <w:rFonts w:ascii="Poppins" w:hAnsi="Poppins" w:cs="Poppins"/>
          <w:sz w:val="18"/>
          <w:szCs w:val="18"/>
        </w:rPr>
        <w:t>64</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CFAE724"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4</w:t>
      </w:r>
      <w:r w:rsidR="002A270E">
        <w:rPr>
          <w:rFonts w:ascii="Poppins" w:hAnsi="Poppins" w:cs="Poppins"/>
          <w:sz w:val="18"/>
          <w:szCs w:val="18"/>
          <w:lang w:eastAsia="en-US"/>
        </w:rPr>
        <w:t>2</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35</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28895B3B" w:rsidR="006B489A" w:rsidRDefault="00B11640" w:rsidP="00352553">
            <w:pPr>
              <w:rPr>
                <w:rFonts w:ascii="Poppins" w:hAnsi="Poppins" w:cs="Poppins"/>
                <w:i/>
                <w:iCs/>
                <w:sz w:val="14"/>
                <w:szCs w:val="14"/>
                <w:lang w:val="es-MX" w:eastAsia="en-US"/>
              </w:rPr>
            </w:pPr>
            <w:r w:rsidRPr="00B11640">
              <w:rPr>
                <w:rFonts w:ascii="Poppins" w:hAnsi="Poppins" w:cs="Poppins"/>
                <w:i/>
                <w:iCs/>
                <w:noProof/>
                <w:sz w:val="14"/>
                <w:szCs w:val="14"/>
                <w:lang w:val="es-MX" w:eastAsia="en-US"/>
              </w:rPr>
              <w:drawing>
                <wp:inline distT="0" distB="0" distL="0" distR="0" wp14:anchorId="30603682" wp14:editId="31E13A61">
                  <wp:extent cx="8171180" cy="2907030"/>
                  <wp:effectExtent l="0" t="0" r="127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71180" cy="2907030"/>
                          </a:xfrm>
                          <a:prstGeom prst="rect">
                            <a:avLst/>
                          </a:prstGeom>
                          <a:noFill/>
                          <a:ln>
                            <a:noFill/>
                          </a:ln>
                        </pic:spPr>
                      </pic:pic>
                    </a:graphicData>
                  </a:graphic>
                </wp:inline>
              </w:drawing>
            </w:r>
            <w:r w:rsidR="0076591B" w:rsidRPr="0076591B">
              <w:rPr>
                <w:rFonts w:ascii="Poppins" w:hAnsi="Poppins" w:cs="Poppins"/>
                <w:i/>
                <w:iCs/>
                <w:sz w:val="14"/>
                <w:szCs w:val="14"/>
                <w:lang w:val="es-MX" w:eastAsia="en-US"/>
              </w:rPr>
              <w:t xml:space="preserve"> </w:t>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7552B532" w:rsidR="000F7442" w:rsidRPr="0096213B" w:rsidRDefault="008E79B0" w:rsidP="000F7442">
            <w:pPr>
              <w:jc w:val="center"/>
              <w:rPr>
                <w:rFonts w:ascii="Poppins" w:hAnsi="Poppins" w:cs="Poppins"/>
                <w:sz w:val="8"/>
                <w:szCs w:val="20"/>
              </w:rPr>
            </w:pPr>
            <w:r w:rsidRPr="008E79B0">
              <w:rPr>
                <w:rFonts w:ascii="Poppins" w:hAnsi="Poppins" w:cs="Poppins"/>
                <w:noProof/>
                <w:sz w:val="8"/>
                <w:szCs w:val="20"/>
              </w:rPr>
              <w:drawing>
                <wp:inline distT="0" distB="0" distL="0" distR="0" wp14:anchorId="45C1E4FB" wp14:editId="0A0B79F7">
                  <wp:extent cx="3562350" cy="286702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6702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6AEE2D99" w:rsidR="00EF3BE9" w:rsidRPr="0096213B" w:rsidRDefault="008E79B0"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ECE58B6" wp14:editId="083A9071">
                  <wp:extent cx="5378450" cy="2742555"/>
                  <wp:effectExtent l="0" t="0" r="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9539" cy="275840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2A2A2B2A" w:rsidR="00551F16" w:rsidRPr="0096213B" w:rsidRDefault="00C3004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30046">
        <w:rPr>
          <w:noProof/>
        </w:rPr>
        <w:drawing>
          <wp:inline distT="0" distB="0" distL="0" distR="0" wp14:anchorId="2F9E263D" wp14:editId="395A6DD6">
            <wp:extent cx="5657850" cy="236347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7850" cy="236347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B82C3B3" w:rsidR="00F70B88" w:rsidRDefault="00401254" w:rsidP="00604758">
      <w:pPr>
        <w:spacing w:line="0" w:lineRule="atLeast"/>
        <w:ind w:right="-567"/>
        <w:jc w:val="both"/>
        <w:rPr>
          <w:rFonts w:ascii="Poppins" w:hAnsi="Poppins" w:cs="Poppins"/>
          <w:noProof/>
          <w:sz w:val="20"/>
          <w:szCs w:val="20"/>
        </w:rPr>
      </w:pPr>
      <w:r w:rsidRPr="00401254">
        <w:rPr>
          <w:noProof/>
        </w:rPr>
        <w:drawing>
          <wp:inline distT="0" distB="0" distL="0" distR="0" wp14:anchorId="45ECAE7E" wp14:editId="264FCBB9">
            <wp:extent cx="5850255" cy="254317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2543175"/>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9AB6F46" w:rsidR="00127A54" w:rsidRPr="0096213B" w:rsidRDefault="00401254" w:rsidP="006220EA">
      <w:pPr>
        <w:rPr>
          <w:rFonts w:ascii="Poppins" w:hAnsi="Poppins" w:cs="Poppins"/>
          <w:i/>
          <w:sz w:val="14"/>
          <w:szCs w:val="14"/>
        </w:rPr>
      </w:pPr>
      <w:r w:rsidRPr="00401254">
        <w:rPr>
          <w:noProof/>
        </w:rPr>
        <w:drawing>
          <wp:inline distT="0" distB="0" distL="0" distR="0" wp14:anchorId="63C414CE" wp14:editId="44931594">
            <wp:extent cx="5850255" cy="75057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5057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FB87D10" w:rsidR="005048C1" w:rsidRPr="0096213B" w:rsidRDefault="00F91202" w:rsidP="005048C1">
      <w:pPr>
        <w:jc w:val="both"/>
        <w:rPr>
          <w:rFonts w:ascii="Poppins" w:hAnsi="Poppins" w:cs="Poppins"/>
          <w:i/>
          <w:iCs/>
          <w:sz w:val="12"/>
          <w:szCs w:val="12"/>
        </w:rPr>
      </w:pPr>
      <w:r>
        <w:t xml:space="preserve">                       </w:t>
      </w:r>
      <w:r w:rsidR="00401254" w:rsidRPr="00401254">
        <w:rPr>
          <w:noProof/>
        </w:rPr>
        <w:drawing>
          <wp:inline distT="0" distB="0" distL="0" distR="0" wp14:anchorId="6C0FEF48" wp14:editId="455C2626">
            <wp:extent cx="5850255" cy="63436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3436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5967D8E5" w:rsidR="00812956" w:rsidRDefault="00322A70" w:rsidP="00842A58">
      <w:pPr>
        <w:pStyle w:val="xl37"/>
        <w:tabs>
          <w:tab w:val="left" w:pos="180"/>
        </w:tabs>
        <w:spacing w:before="0" w:beforeAutospacing="0" w:after="0" w:afterAutospacing="0"/>
        <w:jc w:val="center"/>
        <w:rPr>
          <w:noProof/>
        </w:rPr>
      </w:pPr>
      <w:r w:rsidRPr="00322A70">
        <w:rPr>
          <w:noProof/>
        </w:rPr>
        <w:drawing>
          <wp:inline distT="0" distB="0" distL="0" distR="0" wp14:anchorId="7FF8B635" wp14:editId="35FD7A45">
            <wp:extent cx="4431872" cy="3105150"/>
            <wp:effectExtent l="0" t="0" r="698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66172" cy="3129182"/>
                    </a:xfrm>
                    <a:prstGeom prst="rect">
                      <a:avLst/>
                    </a:prstGeom>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1DE7CD46" w:rsidR="00842A58" w:rsidRDefault="00842A58" w:rsidP="00842A58">
      <w:pPr>
        <w:jc w:val="center"/>
        <w:rPr>
          <w:rFonts w:asciiTheme="minorHAnsi" w:hAnsiTheme="minorHAnsi" w:cstheme="minorHAnsi"/>
          <w:sz w:val="22"/>
          <w:szCs w:val="22"/>
        </w:rPr>
      </w:pP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781290F" w:rsidR="006C0944" w:rsidRDefault="00AC6552" w:rsidP="00373E46">
      <w:pPr>
        <w:pStyle w:val="xl37"/>
        <w:tabs>
          <w:tab w:val="left" w:pos="180"/>
        </w:tabs>
        <w:spacing w:before="0" w:beforeAutospacing="0" w:after="0" w:afterAutospacing="0"/>
        <w:jc w:val="center"/>
        <w:rPr>
          <w:noProof/>
        </w:rPr>
      </w:pPr>
      <w:r w:rsidRPr="00AC6552">
        <w:rPr>
          <w:noProof/>
        </w:rPr>
        <w:drawing>
          <wp:inline distT="0" distB="0" distL="0" distR="0" wp14:anchorId="4110EEDA" wp14:editId="3556F8E1">
            <wp:extent cx="4384985" cy="314607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06659" cy="3161620"/>
                    </a:xfrm>
                    <a:prstGeom prst="rect">
                      <a:avLst/>
                    </a:prstGeom>
                  </pic:spPr>
                </pic:pic>
              </a:graphicData>
            </a:graphic>
          </wp:inline>
        </w:drawing>
      </w:r>
    </w:p>
    <w:p w14:paraId="79AE2D28" w14:textId="21F1E59A" w:rsidR="006C0944" w:rsidRDefault="00AC6552" w:rsidP="00373E46">
      <w:pPr>
        <w:pStyle w:val="xl37"/>
        <w:tabs>
          <w:tab w:val="left" w:pos="180"/>
        </w:tabs>
        <w:spacing w:before="0" w:beforeAutospacing="0" w:after="0" w:afterAutospacing="0"/>
        <w:jc w:val="center"/>
        <w:rPr>
          <w:noProof/>
        </w:rPr>
      </w:pPr>
      <w:r w:rsidRPr="00AC6552">
        <w:rPr>
          <w:noProof/>
        </w:rPr>
        <w:lastRenderedPageBreak/>
        <w:drawing>
          <wp:inline distT="0" distB="0" distL="0" distR="0" wp14:anchorId="5802187D" wp14:editId="73B8AF28">
            <wp:extent cx="4357048" cy="3153929"/>
            <wp:effectExtent l="0" t="0" r="5715"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69493" cy="3162937"/>
                    </a:xfrm>
                    <a:prstGeom prst="rect">
                      <a:avLst/>
                    </a:prstGeom>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77777777" w:rsidR="00881591" w:rsidRDefault="00881591"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760F6638" w:rsidR="002035C4" w:rsidRDefault="00AC6552" w:rsidP="00BF0E9E">
      <w:pPr>
        <w:pStyle w:val="xl37"/>
        <w:tabs>
          <w:tab w:val="left" w:pos="180"/>
          <w:tab w:val="left" w:pos="1560"/>
          <w:tab w:val="left" w:pos="8222"/>
        </w:tabs>
        <w:spacing w:before="0" w:beforeAutospacing="0" w:after="0" w:afterAutospacing="0"/>
        <w:jc w:val="center"/>
        <w:rPr>
          <w:noProof/>
        </w:rPr>
      </w:pPr>
      <w:r w:rsidRPr="00AC6552">
        <w:rPr>
          <w:noProof/>
        </w:rPr>
        <w:drawing>
          <wp:inline distT="0" distB="0" distL="0" distR="0" wp14:anchorId="47D16702" wp14:editId="04058AA6">
            <wp:extent cx="4268252" cy="3146961"/>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87436" cy="3161105"/>
                    </a:xfrm>
                    <a:prstGeom prst="rect">
                      <a:avLst/>
                    </a:prstGeom>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4EC8AD56" w14:textId="77777777" w:rsidR="00881591" w:rsidRDefault="00881591"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554572"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1CC81D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0D4804">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CBD78C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0D4804">
            <w:rPr>
              <w:rFonts w:ascii="Poppins" w:hAnsi="Poppins" w:cs="Poppins"/>
              <w:b/>
              <w:sz w:val="22"/>
              <w:szCs w:val="22"/>
              <w:lang w:val="it-IT"/>
            </w:rPr>
            <w:t>6</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EADDAFF"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B11640">
            <w:rPr>
              <w:rFonts w:ascii="Poppins" w:hAnsi="Poppins" w:cs="Poppins"/>
              <w:b/>
              <w:sz w:val="22"/>
              <w:szCs w:val="22"/>
              <w:lang w:val="it-IT"/>
            </w:rPr>
            <w:t>6</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4CCD8E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B11640">
            <w:rPr>
              <w:rFonts w:ascii="Poppins" w:hAnsi="Poppins" w:cs="Poppins"/>
              <w:b/>
              <w:sz w:val="22"/>
              <w:szCs w:val="22"/>
              <w:lang w:val="it-IT"/>
            </w:rPr>
            <w:t>6</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173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7305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19</Pages>
  <Words>4303</Words>
  <Characters>23669</Characters>
  <Application>Microsoft Office Word</Application>
  <DocSecurity>0</DocSecurity>
  <Lines>197</Lines>
  <Paragraphs>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2026-02-16T14:35:00Z</cp:lastPrinted>
  <dcterms:created xsi:type="dcterms:W3CDTF">2026-02-13T16:36:00Z</dcterms:created>
  <dcterms:modified xsi:type="dcterms:W3CDTF">2026-02-16T14:36:00Z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