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343025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40</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072643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1056E">
        <w:rPr>
          <w:rFonts w:asciiTheme="minorHAnsi" w:hAnsiTheme="minorHAnsi" w:cstheme="minorHAnsi"/>
          <w:b/>
          <w:bCs/>
          <w:sz w:val="28"/>
          <w:szCs w:val="28"/>
        </w:rPr>
        <w:t>0</w:t>
      </w:r>
      <w:r w:rsidR="004F45F2">
        <w:rPr>
          <w:rFonts w:asciiTheme="minorHAnsi" w:hAnsiTheme="minorHAnsi" w:cstheme="minorHAnsi"/>
          <w:b/>
          <w:bCs/>
          <w:sz w:val="28"/>
          <w:szCs w:val="28"/>
        </w:rPr>
        <w:t>2</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C823A9">
        <w:rPr>
          <w:rFonts w:asciiTheme="minorHAnsi" w:hAnsiTheme="minorHAnsi" w:cstheme="minorHAnsi"/>
          <w:b/>
          <w:bCs/>
          <w:sz w:val="28"/>
          <w:szCs w:val="28"/>
        </w:rPr>
        <w:t>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415DF4D" w:rsidR="00E53D92" w:rsidRPr="002B3648" w:rsidRDefault="00791285"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1C1B8F7" wp14:editId="55AFF751">
            <wp:extent cx="5361940" cy="3001550"/>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1249" cy="3023555"/>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 xml:space="preserve">en el mercado del petróleo cambiaron, respecto al mes de julio 2021; debido principalmente al impacto de la variante Delta del Coronavirus, que retrasó, a nivel </w:t>
      </w:r>
      <w:r>
        <w:rPr>
          <w:rFonts w:asciiTheme="minorHAnsi" w:hAnsiTheme="minorHAnsi" w:cstheme="minorHAnsi"/>
          <w:sz w:val="22"/>
          <w:szCs w:val="22"/>
        </w:rPr>
        <w:lastRenderedPageBreak/>
        <w:t>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214D2E73"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66791E">
        <w:rPr>
          <w:rFonts w:asciiTheme="minorHAnsi" w:hAnsiTheme="minorHAnsi" w:cstheme="minorHAnsi"/>
          <w:sz w:val="22"/>
          <w:szCs w:val="22"/>
        </w:rPr>
        <w:t>9</w:t>
      </w:r>
      <w:r w:rsidR="00B15CCB">
        <w:rPr>
          <w:rFonts w:asciiTheme="minorHAnsi" w:hAnsiTheme="minorHAnsi" w:cstheme="minorHAnsi"/>
          <w:sz w:val="22"/>
          <w:szCs w:val="22"/>
        </w:rPr>
        <w:t>1</w:t>
      </w:r>
      <w:r w:rsidR="00C55E1A">
        <w:rPr>
          <w:rFonts w:asciiTheme="minorHAnsi" w:hAnsiTheme="minorHAnsi" w:cstheme="minorHAnsi"/>
          <w:sz w:val="22"/>
          <w:szCs w:val="22"/>
        </w:rPr>
        <w:t>,</w:t>
      </w:r>
      <w:r w:rsidR="00B15CCB">
        <w:rPr>
          <w:rFonts w:asciiTheme="minorHAnsi" w:hAnsiTheme="minorHAnsi" w:cstheme="minorHAnsi"/>
          <w:sz w:val="22"/>
          <w:szCs w:val="22"/>
        </w:rPr>
        <w:t>7</w:t>
      </w:r>
      <w:r w:rsidR="00015FEB">
        <w:rPr>
          <w:rFonts w:asciiTheme="minorHAnsi" w:hAnsiTheme="minorHAnsi" w:cstheme="minorHAnsi"/>
          <w:sz w:val="22"/>
          <w:szCs w:val="22"/>
        </w:rPr>
        <w:t>3</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0E5AC7">
        <w:rPr>
          <w:rFonts w:asciiTheme="minorHAnsi" w:hAnsiTheme="minorHAnsi" w:cstheme="minorHAnsi"/>
          <w:sz w:val="22"/>
          <w:szCs w:val="22"/>
        </w:rPr>
        <w:t>0</w:t>
      </w:r>
      <w:r w:rsidR="00B15CCB">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B15CCB">
        <w:rPr>
          <w:rFonts w:asciiTheme="minorHAnsi" w:hAnsiTheme="minorHAnsi" w:cstheme="minorHAnsi"/>
          <w:sz w:val="22"/>
          <w:szCs w:val="22"/>
        </w:rPr>
        <w:t>30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w:t>
      </w:r>
      <w:r w:rsidR="00B15CCB">
        <w:rPr>
          <w:rFonts w:asciiTheme="minorHAnsi" w:hAnsiTheme="minorHAnsi" w:cstheme="minorHAnsi"/>
          <w:sz w:val="22"/>
          <w:szCs w:val="22"/>
        </w:rPr>
        <w:t>2</w:t>
      </w:r>
      <w:r>
        <w:rPr>
          <w:rFonts w:asciiTheme="minorHAnsi" w:hAnsiTheme="minorHAnsi" w:cstheme="minorHAnsi"/>
          <w:sz w:val="22"/>
          <w:szCs w:val="22"/>
        </w:rPr>
        <w:t>,</w:t>
      </w:r>
      <w:r w:rsidR="00B15CCB">
        <w:rPr>
          <w:rFonts w:asciiTheme="minorHAnsi" w:hAnsiTheme="minorHAnsi" w:cstheme="minorHAnsi"/>
          <w:sz w:val="22"/>
          <w:szCs w:val="22"/>
        </w:rPr>
        <w:t>3</w:t>
      </w:r>
      <w:r w:rsidR="0066791E">
        <w:rPr>
          <w:rFonts w:asciiTheme="minorHAnsi" w:hAnsiTheme="minorHAnsi" w:cstheme="minorHAnsi"/>
          <w:sz w:val="22"/>
          <w:szCs w:val="22"/>
        </w:rPr>
        <w:t>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7DAF3C5B"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B15CCB">
        <w:rPr>
          <w:rFonts w:asciiTheme="minorHAnsi" w:hAnsiTheme="minorHAnsi" w:cstheme="minorHAnsi"/>
          <w:sz w:val="22"/>
          <w:szCs w:val="22"/>
        </w:rPr>
        <w:t>1</w:t>
      </w:r>
      <w:r w:rsidR="00015FEB">
        <w:rPr>
          <w:rFonts w:asciiTheme="minorHAnsi" w:hAnsiTheme="minorHAnsi" w:cstheme="minorHAnsi"/>
          <w:sz w:val="22"/>
          <w:szCs w:val="22"/>
        </w:rPr>
        <w:t>8</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66791E">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15FEB">
        <w:rPr>
          <w:rFonts w:asciiTheme="minorHAnsi" w:hAnsiTheme="minorHAnsi" w:cstheme="minorHAnsi"/>
          <w:sz w:val="22"/>
          <w:szCs w:val="22"/>
        </w:rPr>
        <w:t>2</w:t>
      </w:r>
      <w:r w:rsidR="00B15CCB">
        <w:rPr>
          <w:rFonts w:asciiTheme="minorHAnsi" w:hAnsiTheme="minorHAnsi" w:cstheme="minorHAnsi"/>
          <w:sz w:val="22"/>
          <w:szCs w:val="22"/>
        </w:rPr>
        <w:t>9</w:t>
      </w:r>
      <w:r w:rsidR="00733288" w:rsidRPr="00431A8E">
        <w:rPr>
          <w:rFonts w:asciiTheme="minorHAnsi" w:hAnsiTheme="minorHAnsi" w:cstheme="minorHAnsi"/>
          <w:sz w:val="22"/>
          <w:szCs w:val="22"/>
        </w:rPr>
        <w:t>.0</w:t>
      </w:r>
      <w:r w:rsidR="000E5AC7">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527E7494" w14:textId="77777777" w:rsidR="00B15CCB" w:rsidRPr="000D69A6" w:rsidRDefault="00B15CCB" w:rsidP="00B15CCB">
      <w:pPr>
        <w:pStyle w:val="Prrafodelista"/>
        <w:numPr>
          <w:ilvl w:val="0"/>
          <w:numId w:val="13"/>
        </w:numPr>
        <w:ind w:left="426"/>
        <w:contextualSpacing/>
        <w:jc w:val="both"/>
        <w:rPr>
          <w:rFonts w:asciiTheme="minorHAnsi" w:hAnsiTheme="minorHAnsi" w:cstheme="minorHAnsi"/>
          <w:b/>
          <w:sz w:val="22"/>
          <w:szCs w:val="22"/>
        </w:rPr>
      </w:pPr>
      <w:r w:rsidRPr="000D69A6">
        <w:rPr>
          <w:rFonts w:asciiTheme="minorHAnsi" w:hAnsiTheme="minorHAnsi" w:cstheme="minorHAnsi"/>
          <w:b/>
          <w:sz w:val="22"/>
          <w:szCs w:val="22"/>
        </w:rPr>
        <w:t>La caída de los inventarios de crudo; así como el aumento de las existencias de gasolinas, destilados y propano al 22 de setiembre del 2023</w:t>
      </w:r>
    </w:p>
    <w:p w14:paraId="584B2DC7" w14:textId="77777777" w:rsidR="00B15CCB" w:rsidRPr="000D69A6" w:rsidRDefault="00B15CCB" w:rsidP="00B15CCB">
      <w:pPr>
        <w:pStyle w:val="Prrafodelista"/>
        <w:ind w:left="426"/>
        <w:jc w:val="both"/>
        <w:rPr>
          <w:rFonts w:asciiTheme="minorHAnsi" w:hAnsiTheme="minorHAnsi" w:cstheme="minorHAnsi"/>
          <w:sz w:val="22"/>
          <w:szCs w:val="22"/>
          <w:highlight w:val="yellow"/>
        </w:rPr>
      </w:pPr>
    </w:p>
    <w:p w14:paraId="5728073B"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Los inventarios de petróleo de Estados Unidos se redujeron en 2,2 millones de barriles, ubicándose en -4% por debajo de la media de los últimos 5 años, lo que representa 416,3 millones de barriles.</w:t>
      </w:r>
    </w:p>
    <w:p w14:paraId="35AA3767" w14:textId="77777777" w:rsidR="00B15CCB" w:rsidRPr="000D69A6" w:rsidRDefault="00B15CCB" w:rsidP="00B15CCB">
      <w:pPr>
        <w:pStyle w:val="Prrafodelista"/>
        <w:ind w:left="426"/>
        <w:jc w:val="both"/>
        <w:rPr>
          <w:rFonts w:asciiTheme="minorHAnsi" w:hAnsiTheme="minorHAnsi" w:cstheme="minorHAnsi"/>
          <w:sz w:val="22"/>
          <w:szCs w:val="22"/>
        </w:rPr>
      </w:pPr>
    </w:p>
    <w:p w14:paraId="5E1C4382"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Por su parte, las existencias de gasolina subieron 1,0 millones de barriles, reportando un total de 220,5 millones de barriles; mientras los inventarios de destilados, que incluyen al diésel y al combustible para calefacción, se elevaron 0,4 millones de barriles, con un total de 120,1 millones de barriles. Finalmente, las existencias de propano se incrementaron en 0,73 millones de barriles, ubicándose en los 101,43 millones de barriles.</w:t>
      </w:r>
    </w:p>
    <w:p w14:paraId="7D56AAF0" w14:textId="77777777" w:rsidR="00B15CCB" w:rsidRPr="000D69A6" w:rsidRDefault="00B15CCB" w:rsidP="00B15CCB">
      <w:pPr>
        <w:pStyle w:val="Prrafodelista"/>
        <w:ind w:left="426"/>
        <w:jc w:val="both"/>
        <w:rPr>
          <w:rFonts w:asciiTheme="minorHAnsi" w:hAnsiTheme="minorHAnsi" w:cstheme="minorHAnsi"/>
          <w:sz w:val="22"/>
          <w:szCs w:val="22"/>
        </w:rPr>
      </w:pPr>
    </w:p>
    <w:p w14:paraId="00E8BBCB" w14:textId="77777777" w:rsidR="00B15CCB"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El contexto de escasez de suministros en Estados Unidos proporcionó un relativo soporte a los precios, con el almacenamiento en Cushing, Oklahoma (el punto de entrega de los futuros del crudo WTI), en su nivel más bajo desde julio de 2022.</w:t>
      </w:r>
    </w:p>
    <w:p w14:paraId="7B78FEEF" w14:textId="77777777" w:rsidR="00B15CCB" w:rsidRDefault="00B15CCB" w:rsidP="00B15CCB">
      <w:pPr>
        <w:pStyle w:val="Prrafodelista"/>
        <w:ind w:left="426"/>
        <w:jc w:val="both"/>
        <w:rPr>
          <w:rFonts w:asciiTheme="minorHAnsi" w:hAnsiTheme="minorHAnsi" w:cstheme="minorHAnsi"/>
          <w:sz w:val="22"/>
          <w:szCs w:val="22"/>
        </w:rPr>
      </w:pPr>
    </w:p>
    <w:p w14:paraId="6F4F5F7A" w14:textId="77777777" w:rsidR="00B15CCB" w:rsidRPr="000D69A6" w:rsidRDefault="00B15CCB" w:rsidP="00B15CCB">
      <w:pPr>
        <w:pStyle w:val="Prrafodelista"/>
        <w:numPr>
          <w:ilvl w:val="0"/>
          <w:numId w:val="13"/>
        </w:numPr>
        <w:ind w:left="426" w:hanging="567"/>
        <w:contextualSpacing/>
        <w:jc w:val="both"/>
        <w:rPr>
          <w:rFonts w:asciiTheme="minorHAnsi" w:hAnsiTheme="minorHAnsi" w:cstheme="minorHAnsi"/>
          <w:sz w:val="22"/>
          <w:szCs w:val="22"/>
        </w:rPr>
      </w:pPr>
      <w:r w:rsidRPr="000D69A6">
        <w:rPr>
          <w:rFonts w:asciiTheme="minorHAnsi" w:hAnsiTheme="minorHAnsi" w:cstheme="minorHAnsi"/>
          <w:b/>
          <w:sz w:val="22"/>
          <w:szCs w:val="22"/>
        </w:rPr>
        <w:t>El panorama incierto sobre las medidas de los Bancos Centrales con relación a las tasas de interés y las preocupaciones por la inflación</w:t>
      </w:r>
    </w:p>
    <w:p w14:paraId="530EB797" w14:textId="77777777" w:rsidR="00B15CCB" w:rsidRPr="000D69A6" w:rsidRDefault="00B15CCB" w:rsidP="00B15CCB">
      <w:pPr>
        <w:ind w:left="567"/>
        <w:rPr>
          <w:rFonts w:asciiTheme="minorHAnsi" w:hAnsiTheme="minorHAnsi" w:cstheme="minorHAnsi"/>
          <w:sz w:val="22"/>
          <w:szCs w:val="22"/>
        </w:rPr>
      </w:pPr>
    </w:p>
    <w:p w14:paraId="76A607D3" w14:textId="77777777"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La Reserva Federal dejará las tasas de interés sin cambios, pero endureció su postura, proyectando un alza de un cuarto de punto porcentual hasta el 5,50% – 5,75% a finales de año.</w:t>
      </w:r>
      <w:r w:rsidRPr="000D69A6">
        <w:rPr>
          <w:rFonts w:asciiTheme="minorHAnsi" w:hAnsiTheme="minorHAnsi" w:cstheme="minorHAnsi"/>
          <w:sz w:val="22"/>
          <w:szCs w:val="22"/>
        </w:rPr>
        <w:br/>
      </w:r>
    </w:p>
    <w:p w14:paraId="5A87200A" w14:textId="77777777"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 xml:space="preserve">Los movimientos de los Bancos Centrales en otros lugares también indicaron una posible presión sobre los precios del crudo. Así, el Banco de Inglaterra, al igual que la FED, mantuvo las tasas, no obstante, manifestó que no da por sentada la reciente desaceleración de la </w:t>
      </w:r>
      <w:r w:rsidRPr="000D69A6">
        <w:rPr>
          <w:rFonts w:asciiTheme="minorHAnsi" w:hAnsiTheme="minorHAnsi" w:cstheme="minorHAnsi"/>
          <w:sz w:val="22"/>
          <w:szCs w:val="22"/>
        </w:rPr>
        <w:lastRenderedPageBreak/>
        <w:t>inflación, mientras el Banco Central noruego elevó su tasa de referencia y anunció de forma inesperada que es probable que vuelva a subirla en diciembre.</w:t>
      </w:r>
    </w:p>
    <w:p w14:paraId="0CE4F92D" w14:textId="77777777" w:rsidR="00B15CCB" w:rsidRPr="000D69A6" w:rsidRDefault="00B15CCB" w:rsidP="00B15CCB">
      <w:pPr>
        <w:ind w:left="426"/>
        <w:jc w:val="both"/>
        <w:rPr>
          <w:rFonts w:asciiTheme="minorHAnsi" w:hAnsiTheme="minorHAnsi" w:cstheme="minorHAnsi"/>
          <w:color w:val="333333"/>
          <w:sz w:val="22"/>
          <w:szCs w:val="22"/>
          <w:shd w:val="clear" w:color="auto" w:fill="FFFFFF"/>
        </w:rPr>
      </w:pPr>
    </w:p>
    <w:p w14:paraId="4737E925" w14:textId="6319CF8B"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 xml:space="preserve">Cabe recalcar que en la reunión anual de banqueros centrales de Jackson </w:t>
      </w:r>
      <w:proofErr w:type="spellStart"/>
      <w:r w:rsidRPr="000D69A6">
        <w:rPr>
          <w:rFonts w:asciiTheme="minorHAnsi" w:hAnsiTheme="minorHAnsi" w:cstheme="minorHAnsi"/>
          <w:sz w:val="22"/>
          <w:szCs w:val="22"/>
        </w:rPr>
        <w:t>Hole</w:t>
      </w:r>
      <w:proofErr w:type="spellEnd"/>
      <w:r w:rsidRPr="000D69A6">
        <w:rPr>
          <w:rFonts w:asciiTheme="minorHAnsi" w:hAnsiTheme="minorHAnsi" w:cstheme="minorHAnsi"/>
          <w:sz w:val="22"/>
          <w:szCs w:val="22"/>
        </w:rPr>
        <w:t xml:space="preserve"> (Wyoming), realizada los días 24,</w:t>
      </w:r>
      <w:r>
        <w:rPr>
          <w:rFonts w:asciiTheme="minorHAnsi" w:hAnsiTheme="minorHAnsi" w:cstheme="minorHAnsi"/>
          <w:sz w:val="22"/>
          <w:szCs w:val="22"/>
        </w:rPr>
        <w:t xml:space="preserve"> </w:t>
      </w:r>
      <w:r w:rsidRPr="000D69A6">
        <w:rPr>
          <w:rFonts w:asciiTheme="minorHAnsi" w:hAnsiTheme="minorHAnsi" w:cstheme="minorHAnsi"/>
          <w:sz w:val="22"/>
          <w:szCs w:val="22"/>
        </w:rPr>
        <w:t xml:space="preserve">25 y 26 de agosto, el presidente de la FED Jerome Powell, reiteró la posibilidad de nuevos incrementos de las tasas de interés antes de fin de año, a fin de contener la inflación mediante una política restrictiva. </w:t>
      </w:r>
    </w:p>
    <w:p w14:paraId="46F81A51" w14:textId="77777777" w:rsidR="00B15CCB" w:rsidRPr="000D69A6" w:rsidRDefault="00B15CCB" w:rsidP="00B15CCB">
      <w:pPr>
        <w:ind w:left="426"/>
        <w:jc w:val="both"/>
        <w:rPr>
          <w:rFonts w:asciiTheme="minorHAnsi" w:hAnsiTheme="minorHAnsi" w:cstheme="minorHAnsi"/>
          <w:sz w:val="22"/>
          <w:szCs w:val="22"/>
        </w:rPr>
      </w:pPr>
    </w:p>
    <w:p w14:paraId="37166227" w14:textId="77777777" w:rsidR="00B15CCB" w:rsidRPr="000D69A6" w:rsidRDefault="00B15CCB" w:rsidP="00B15CCB">
      <w:pPr>
        <w:pStyle w:val="Prrafodelista"/>
        <w:numPr>
          <w:ilvl w:val="0"/>
          <w:numId w:val="13"/>
        </w:numPr>
        <w:ind w:left="426"/>
        <w:contextualSpacing/>
        <w:jc w:val="both"/>
        <w:rPr>
          <w:rFonts w:asciiTheme="minorHAnsi" w:hAnsiTheme="minorHAnsi" w:cstheme="minorHAnsi"/>
          <w:b/>
          <w:bCs/>
          <w:sz w:val="22"/>
          <w:szCs w:val="22"/>
        </w:rPr>
      </w:pPr>
      <w:r w:rsidRPr="000D69A6">
        <w:rPr>
          <w:rFonts w:asciiTheme="minorHAnsi" w:hAnsiTheme="minorHAnsi" w:cstheme="minorHAnsi"/>
          <w:b/>
          <w:bCs/>
          <w:sz w:val="22"/>
          <w:szCs w:val="22"/>
        </w:rPr>
        <w:t>Las preocupaciones por el déficit de oferta de petróleo debido a los recortes de producción de la OPEP y la débil producción de esquisto de Estados Unidos </w:t>
      </w:r>
    </w:p>
    <w:p w14:paraId="70C04C01" w14:textId="77777777" w:rsidR="00B15CCB" w:rsidRPr="000D69A6" w:rsidRDefault="00B15CCB" w:rsidP="00B15CCB">
      <w:pPr>
        <w:pStyle w:val="Prrafodelista"/>
        <w:ind w:left="426"/>
        <w:jc w:val="both"/>
        <w:rPr>
          <w:rFonts w:asciiTheme="minorHAnsi" w:hAnsiTheme="minorHAnsi" w:cstheme="minorHAnsi"/>
          <w:sz w:val="22"/>
          <w:szCs w:val="22"/>
        </w:rPr>
      </w:pPr>
    </w:p>
    <w:p w14:paraId="1C30BA67"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Según la Agencia Internacional de la Energía (AIE), la extensión de los recortes de la producción petrolera por parte de Arabia Saudita y Rusia provocará un déficit en el mercado hasta el cuarto trimestre. Al respecto la Agencia manifestó lo siguiente:</w:t>
      </w:r>
    </w:p>
    <w:p w14:paraId="146BB499" w14:textId="77777777" w:rsidR="00B15CCB" w:rsidRPr="000D69A6" w:rsidRDefault="00B15CCB" w:rsidP="00B15CCB">
      <w:pPr>
        <w:pStyle w:val="Prrafodelista"/>
        <w:ind w:left="284"/>
        <w:jc w:val="both"/>
        <w:rPr>
          <w:rFonts w:asciiTheme="minorHAnsi" w:hAnsiTheme="minorHAnsi" w:cstheme="minorHAnsi"/>
          <w:sz w:val="22"/>
          <w:szCs w:val="22"/>
        </w:rPr>
      </w:pPr>
    </w:p>
    <w:p w14:paraId="02FC0762"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“La prórroga de parte de Arabia Saudita y Rusia de los recortes a la producción de crudo en 1,3 millones de barriles diarios (bpd) hasta finales del 2023 fijará un déficit sustancial del mercado hasta el cuarto trimestre.”</w:t>
      </w:r>
    </w:p>
    <w:p w14:paraId="19B3FE1D" w14:textId="77777777" w:rsidR="00B15CCB" w:rsidRPr="000D69A6" w:rsidRDefault="00B15CCB" w:rsidP="00B15CCB">
      <w:pPr>
        <w:pStyle w:val="Prrafodelista"/>
        <w:ind w:left="426"/>
        <w:jc w:val="both"/>
        <w:rPr>
          <w:rFonts w:asciiTheme="minorHAnsi" w:hAnsiTheme="minorHAnsi" w:cstheme="minorHAnsi"/>
          <w:sz w:val="22"/>
          <w:szCs w:val="22"/>
        </w:rPr>
      </w:pPr>
    </w:p>
    <w:p w14:paraId="29286B44"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Por su parte, la OPEP publicó previsiones actualizadas de una sólida demanda en 2023 y 2024. También apuntó a un déficit de suministro en el año 2023 si se mantienen los recortes de producción.</w:t>
      </w:r>
    </w:p>
    <w:p w14:paraId="0EA7DA2F" w14:textId="77777777" w:rsidR="00B15CCB" w:rsidRPr="000D69A6" w:rsidRDefault="00B15CCB" w:rsidP="00B15CCB">
      <w:pPr>
        <w:pStyle w:val="Prrafodelista"/>
        <w:ind w:left="426"/>
        <w:jc w:val="both"/>
        <w:rPr>
          <w:rFonts w:asciiTheme="minorHAnsi" w:hAnsiTheme="minorHAnsi" w:cstheme="minorHAnsi"/>
          <w:sz w:val="22"/>
          <w:szCs w:val="22"/>
        </w:rPr>
      </w:pPr>
    </w:p>
    <w:p w14:paraId="586A05AE" w14:textId="77777777"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Los precios del petróleo y combustibles fueron impulsados por la ampliación de los recortes de producción de Arabia Saudita y Rusia. Estos países anunciaron una nueva extensión de sus recortes voluntarios de suministro, ampliando la reducción de 1,3 millones de barriles por día (bpd) por otros tres meses hasta diciembre.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7668BE6C" w14:textId="77777777" w:rsidR="00B15CCB" w:rsidRPr="000D69A6" w:rsidRDefault="00B15CCB" w:rsidP="00B15CCB">
      <w:pPr>
        <w:ind w:left="567"/>
        <w:jc w:val="both"/>
        <w:rPr>
          <w:rFonts w:asciiTheme="minorHAnsi" w:hAnsiTheme="minorHAnsi" w:cstheme="minorHAnsi"/>
          <w:sz w:val="22"/>
          <w:szCs w:val="22"/>
        </w:rPr>
      </w:pPr>
    </w:p>
    <w:p w14:paraId="2B5E29C0" w14:textId="703BF8A3"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Por su parte, la producción de petróleo de Estados Unidos en las principales regiones productoras de esquisto caerá a 9,39 millones de barriles por día (bpd) en octubre, el nivel más bajo desde mayo de 2023, según la Administración de Información de Energía de Estados Unidos (EIA). De este modo, se habrá registrado una caída durante 3 meses consecutivos</w:t>
      </w:r>
    </w:p>
    <w:p w14:paraId="56746F9C" w14:textId="77777777" w:rsidR="00B15CCB" w:rsidRPr="000D69A6" w:rsidRDefault="00B15CCB" w:rsidP="00B15CCB">
      <w:pPr>
        <w:ind w:left="426"/>
        <w:jc w:val="both"/>
        <w:rPr>
          <w:rFonts w:asciiTheme="minorHAnsi" w:hAnsiTheme="minorHAnsi" w:cstheme="minorHAnsi"/>
          <w:sz w:val="22"/>
          <w:szCs w:val="22"/>
        </w:rPr>
      </w:pPr>
    </w:p>
    <w:p w14:paraId="4BEA8ABD" w14:textId="6C082CBC"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Por otro lado, de acuerdo con la Consultora Citi, el suministro proveniente de países que no pertenecen a la OPEP debería aumentar en 1,8 millones de barriles por día en 2023 y en 1 millón de barriles diarios el próximo año 2024. Esto incluye aumentos de Canadá, Brasil, Argentina, Guyana y Noruega. Estados Unidos, podría agregar 900</w:t>
      </w:r>
      <w:r>
        <w:rPr>
          <w:rFonts w:asciiTheme="minorHAnsi" w:hAnsiTheme="minorHAnsi" w:cstheme="minorHAnsi"/>
          <w:sz w:val="22"/>
          <w:szCs w:val="22"/>
        </w:rPr>
        <w:t xml:space="preserve"> mil</w:t>
      </w:r>
      <w:r w:rsidRPr="000D69A6">
        <w:rPr>
          <w:rFonts w:asciiTheme="minorHAnsi" w:hAnsiTheme="minorHAnsi" w:cstheme="minorHAnsi"/>
          <w:sz w:val="22"/>
          <w:szCs w:val="22"/>
        </w:rPr>
        <w:t xml:space="preserve"> barriles por día este año y otros 400</w:t>
      </w:r>
      <w:r>
        <w:rPr>
          <w:rFonts w:asciiTheme="minorHAnsi" w:hAnsiTheme="minorHAnsi" w:cstheme="minorHAnsi"/>
          <w:sz w:val="22"/>
          <w:szCs w:val="22"/>
        </w:rPr>
        <w:t xml:space="preserve"> mil</w:t>
      </w:r>
      <w:r w:rsidRPr="000D69A6">
        <w:rPr>
          <w:rFonts w:asciiTheme="minorHAnsi" w:hAnsiTheme="minorHAnsi" w:cstheme="minorHAnsi"/>
          <w:sz w:val="22"/>
          <w:szCs w:val="22"/>
        </w:rPr>
        <w:t xml:space="preserve"> barriles diarios en 2024.</w:t>
      </w:r>
    </w:p>
    <w:p w14:paraId="7FD9510B" w14:textId="77777777" w:rsidR="00B15CCB" w:rsidRPr="000D69A6" w:rsidRDefault="00B15CCB" w:rsidP="00B15CCB">
      <w:pPr>
        <w:ind w:left="426"/>
        <w:jc w:val="both"/>
        <w:rPr>
          <w:rFonts w:asciiTheme="minorHAnsi" w:hAnsiTheme="minorHAnsi" w:cstheme="minorHAnsi"/>
          <w:sz w:val="22"/>
          <w:szCs w:val="22"/>
        </w:rPr>
      </w:pPr>
    </w:p>
    <w:p w14:paraId="4F0711C6" w14:textId="77777777" w:rsidR="00B15CCB" w:rsidRPr="000D69A6" w:rsidRDefault="00B15CCB" w:rsidP="00B15CCB">
      <w:pPr>
        <w:pStyle w:val="Prrafodelista"/>
        <w:numPr>
          <w:ilvl w:val="0"/>
          <w:numId w:val="13"/>
        </w:numPr>
        <w:ind w:left="426" w:hanging="426"/>
        <w:contextualSpacing/>
        <w:jc w:val="both"/>
        <w:rPr>
          <w:rFonts w:asciiTheme="minorHAnsi" w:hAnsiTheme="minorHAnsi" w:cstheme="minorHAnsi"/>
          <w:b/>
          <w:bCs/>
          <w:sz w:val="22"/>
          <w:szCs w:val="22"/>
        </w:rPr>
      </w:pPr>
      <w:r w:rsidRPr="000D69A6">
        <w:rPr>
          <w:rFonts w:asciiTheme="minorHAnsi" w:hAnsiTheme="minorHAnsi" w:cstheme="minorHAnsi"/>
          <w:b/>
          <w:bCs/>
          <w:sz w:val="22"/>
          <w:szCs w:val="22"/>
        </w:rPr>
        <w:t>El optimismo del mercado con relación a la economía china, a raíz del inicio de la Semana Dorada y la publicación de las nuevas cifras de producción industrial y ventas en dicho país.</w:t>
      </w:r>
    </w:p>
    <w:p w14:paraId="5D41BFA8" w14:textId="77777777" w:rsidR="00B15CCB" w:rsidRPr="000D69A6" w:rsidRDefault="00B15CCB" w:rsidP="00B15CCB">
      <w:pPr>
        <w:jc w:val="both"/>
        <w:rPr>
          <w:rFonts w:asciiTheme="minorHAnsi" w:hAnsiTheme="minorHAnsi" w:cstheme="minorHAnsi"/>
          <w:sz w:val="22"/>
          <w:szCs w:val="22"/>
        </w:rPr>
      </w:pPr>
    </w:p>
    <w:p w14:paraId="3E626AFF" w14:textId="77777777" w:rsidR="00B15CCB" w:rsidRPr="000D69A6" w:rsidRDefault="00B15CCB" w:rsidP="00B15CCB">
      <w:pPr>
        <w:ind w:left="426"/>
        <w:jc w:val="both"/>
        <w:rPr>
          <w:rFonts w:asciiTheme="minorHAnsi" w:hAnsiTheme="minorHAnsi" w:cstheme="minorHAnsi"/>
          <w:sz w:val="22"/>
          <w:szCs w:val="22"/>
        </w:rPr>
      </w:pPr>
      <w:r w:rsidRPr="000D69A6">
        <w:rPr>
          <w:rFonts w:asciiTheme="minorHAnsi" w:hAnsiTheme="minorHAnsi" w:cstheme="minorHAnsi"/>
          <w:sz w:val="22"/>
          <w:szCs w:val="22"/>
        </w:rPr>
        <w:t>En China, las cifras de producción industrial y las ventas minoristas crecieron en agosto a un ritmo superior al previsto. Asimismo, el mercado espera que los viajes nacionales e internacionales impulsen la demanda, al iniciarse la Semana Dorada.</w:t>
      </w:r>
    </w:p>
    <w:p w14:paraId="60AF7FBE" w14:textId="77777777" w:rsidR="00B15CCB" w:rsidRPr="000D69A6" w:rsidRDefault="00B15CCB" w:rsidP="00B15CCB">
      <w:pPr>
        <w:ind w:left="426"/>
        <w:jc w:val="both"/>
        <w:rPr>
          <w:rFonts w:asciiTheme="minorHAnsi" w:hAnsiTheme="minorHAnsi" w:cstheme="minorHAnsi"/>
          <w:sz w:val="22"/>
          <w:szCs w:val="22"/>
        </w:rPr>
      </w:pPr>
    </w:p>
    <w:p w14:paraId="47C48453" w14:textId="77777777" w:rsidR="00B15CCB" w:rsidRPr="000D69A6" w:rsidRDefault="00B15CCB" w:rsidP="00B15CCB">
      <w:pPr>
        <w:pStyle w:val="Prrafodelista"/>
        <w:ind w:left="426"/>
        <w:jc w:val="both"/>
        <w:rPr>
          <w:rFonts w:asciiTheme="minorHAnsi" w:hAnsiTheme="minorHAnsi" w:cstheme="minorHAnsi"/>
          <w:sz w:val="22"/>
          <w:szCs w:val="22"/>
        </w:rPr>
      </w:pPr>
      <w:r w:rsidRPr="000D69A6">
        <w:rPr>
          <w:rFonts w:asciiTheme="minorHAnsi" w:hAnsiTheme="minorHAnsi" w:cstheme="minorHAnsi"/>
          <w:sz w:val="22"/>
          <w:szCs w:val="22"/>
        </w:rPr>
        <w:t>Una serie de medidas de estímulo y el auge de los viajes en el verano boreal ayudaron a que la producción industrial y el gasto de los consumidores repuntaran en agosto 2023. Las refinerías chinas aumentaron la producción, impulsadas por los sólidos márgenes de exportación.</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341320C2" w14:textId="4CA0AE45" w:rsidR="000E5AC7" w:rsidRDefault="000E5AC7" w:rsidP="00805FB9">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7FC52AAD" w14:textId="77777777" w:rsidR="00805FB9" w:rsidRDefault="00805FB9" w:rsidP="00805FB9">
      <w:pPr>
        <w:pStyle w:val="Prrafodelista"/>
        <w:rPr>
          <w:rFonts w:asciiTheme="minorHAnsi" w:hAnsiTheme="minorHAnsi" w:cstheme="minorHAnsi"/>
          <w:color w:val="191919"/>
          <w:sz w:val="22"/>
          <w:szCs w:val="22"/>
        </w:rPr>
      </w:pPr>
    </w:p>
    <w:p w14:paraId="5CDC84E5" w14:textId="4A031EB7" w:rsidR="000E5AC7" w:rsidRPr="00805FB9" w:rsidRDefault="000E5AC7" w:rsidP="00805FB9">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3FD0CACA" w14:textId="77777777" w:rsidR="00805FB9" w:rsidRPr="00805FB9" w:rsidRDefault="00805FB9" w:rsidP="00805FB9">
      <w:pPr>
        <w:pStyle w:val="Prrafodelista"/>
        <w:rPr>
          <w:rFonts w:asciiTheme="minorHAnsi" w:hAnsiTheme="minorHAnsi" w:cstheme="minorHAnsi"/>
          <w:color w:val="222222"/>
          <w:sz w:val="22"/>
          <w:szCs w:val="22"/>
          <w:lang w:eastAsia="es-PE"/>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287B8A4B">
            <wp:extent cx="5200650" cy="3232150"/>
            <wp:effectExtent l="0" t="0" r="0" b="635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43411" cy="3258726"/>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165F7D62" w14:textId="10A92C53"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lastRenderedPageBreak/>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6DF61E20"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5F388B">
        <w:rPr>
          <w:rFonts w:asciiTheme="minorHAnsi" w:hAnsiTheme="minorHAnsi" w:cstheme="minorHAnsi"/>
          <w:sz w:val="22"/>
          <w:szCs w:val="22"/>
        </w:rPr>
        <w:t>74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8B54A5">
        <w:rPr>
          <w:rFonts w:asciiTheme="minorHAnsi" w:hAnsiTheme="minorHAnsi" w:cstheme="minorHAnsi"/>
          <w:sz w:val="22"/>
          <w:szCs w:val="22"/>
        </w:rPr>
        <w:t>03</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B54A5">
        <w:rPr>
          <w:rFonts w:asciiTheme="minorHAnsi" w:hAnsiTheme="minorHAnsi" w:cstheme="minorHAnsi"/>
          <w:sz w:val="22"/>
          <w:szCs w:val="22"/>
        </w:rPr>
        <w:t>09</w:t>
      </w:r>
      <w:r w:rsidRPr="00294829">
        <w:rPr>
          <w:rFonts w:asciiTheme="minorHAnsi" w:hAnsiTheme="minorHAnsi" w:cstheme="minorHAnsi"/>
          <w:sz w:val="22"/>
          <w:szCs w:val="22"/>
        </w:rPr>
        <w:t xml:space="preserve"> de </w:t>
      </w:r>
      <w:r w:rsidR="008B54A5">
        <w:rPr>
          <w:rFonts w:asciiTheme="minorHAnsi" w:hAnsiTheme="minorHAnsi" w:cstheme="minorHAnsi"/>
          <w:sz w:val="22"/>
          <w:szCs w:val="22"/>
        </w:rPr>
        <w:t>octu</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4EBF2D2C"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015FEB">
        <w:rPr>
          <w:rFonts w:asciiTheme="minorHAnsi" w:hAnsiTheme="minorHAnsi" w:cstheme="minorHAnsi"/>
          <w:sz w:val="22"/>
          <w:szCs w:val="22"/>
        </w:rPr>
        <w:t>2</w:t>
      </w:r>
      <w:r w:rsidR="008B54A5">
        <w:rPr>
          <w:rFonts w:asciiTheme="minorHAnsi" w:hAnsiTheme="minorHAnsi" w:cstheme="minorHAnsi"/>
          <w:sz w:val="22"/>
          <w:szCs w:val="22"/>
        </w:rPr>
        <w:t>9</w:t>
      </w:r>
      <w:r w:rsidRPr="00A5242E">
        <w:rPr>
          <w:rFonts w:asciiTheme="minorHAnsi" w:hAnsiTheme="minorHAnsi" w:cstheme="minorHAnsi"/>
          <w:sz w:val="22"/>
          <w:szCs w:val="22"/>
        </w:rPr>
        <w:t>.0</w:t>
      </w:r>
      <w:r w:rsidR="00D66CC1">
        <w:rPr>
          <w:rFonts w:asciiTheme="minorHAnsi" w:hAnsiTheme="minorHAnsi" w:cstheme="minorHAnsi"/>
          <w:sz w:val="22"/>
          <w:szCs w:val="22"/>
        </w:rPr>
        <w:t>9</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844B89">
        <w:rPr>
          <w:rFonts w:asciiTheme="minorHAnsi" w:hAnsiTheme="minorHAnsi" w:cstheme="minorHAnsi"/>
          <w:sz w:val="22"/>
          <w:szCs w:val="22"/>
        </w:rPr>
        <w:t>l Diésel B5</w:t>
      </w:r>
      <w:r w:rsidR="008B54A5">
        <w:rPr>
          <w:rFonts w:asciiTheme="minorHAnsi" w:hAnsiTheme="minorHAnsi" w:cstheme="minorHAnsi"/>
          <w:sz w:val="22"/>
          <w:szCs w:val="22"/>
        </w:rPr>
        <w:t xml:space="preserve"> UV</w:t>
      </w:r>
      <w:r w:rsidR="00844B89">
        <w:rPr>
          <w:rFonts w:asciiTheme="minorHAnsi" w:hAnsiTheme="minorHAnsi" w:cstheme="minorHAnsi"/>
          <w:sz w:val="22"/>
          <w:szCs w:val="22"/>
        </w:rPr>
        <w:t xml:space="preserve"> (+0,</w:t>
      </w:r>
      <w:r w:rsidR="008B54A5">
        <w:rPr>
          <w:rFonts w:asciiTheme="minorHAnsi" w:hAnsiTheme="minorHAnsi" w:cstheme="minorHAnsi"/>
          <w:sz w:val="22"/>
          <w:szCs w:val="22"/>
        </w:rPr>
        <w:t>68</w:t>
      </w:r>
      <w:r w:rsidR="00844B89">
        <w:rPr>
          <w:rFonts w:asciiTheme="minorHAnsi" w:hAnsiTheme="minorHAnsi" w:cstheme="minorHAnsi"/>
          <w:sz w:val="22"/>
          <w:szCs w:val="22"/>
        </w:rPr>
        <w:t xml:space="preserve"> S/</w:t>
      </w:r>
      <w:proofErr w:type="spellStart"/>
      <w:r w:rsidR="00844B89">
        <w:rPr>
          <w:rFonts w:asciiTheme="minorHAnsi" w:hAnsiTheme="minorHAnsi" w:cstheme="minorHAnsi"/>
          <w:sz w:val="22"/>
          <w:szCs w:val="22"/>
        </w:rPr>
        <w:t>Gln</w:t>
      </w:r>
      <w:proofErr w:type="spellEnd"/>
      <w:r w:rsidR="00844B89">
        <w:rPr>
          <w:rFonts w:asciiTheme="minorHAnsi" w:hAnsiTheme="minorHAnsi" w:cstheme="minorHAnsi"/>
          <w:sz w:val="22"/>
          <w:szCs w:val="22"/>
        </w:rPr>
        <w:t>)</w:t>
      </w:r>
      <w:r w:rsidR="008B54A5">
        <w:rPr>
          <w:rFonts w:asciiTheme="minorHAnsi" w:hAnsiTheme="minorHAnsi" w:cstheme="minorHAnsi"/>
          <w:sz w:val="22"/>
          <w:szCs w:val="22"/>
        </w:rPr>
        <w:t xml:space="preserve"> y </w:t>
      </w:r>
      <w:r w:rsidR="008B54A5">
        <w:rPr>
          <w:rFonts w:asciiTheme="minorHAnsi" w:hAnsiTheme="minorHAnsi" w:cstheme="minorHAnsi"/>
          <w:sz w:val="22"/>
          <w:szCs w:val="22"/>
        </w:rPr>
        <w:t>Diésel B5 (+0,</w:t>
      </w:r>
      <w:r w:rsidR="008B54A5">
        <w:rPr>
          <w:rFonts w:asciiTheme="minorHAnsi" w:hAnsiTheme="minorHAnsi" w:cstheme="minorHAnsi"/>
          <w:sz w:val="22"/>
          <w:szCs w:val="22"/>
        </w:rPr>
        <w:t>68</w:t>
      </w:r>
      <w:r w:rsidR="008B54A5">
        <w:rPr>
          <w:rFonts w:asciiTheme="minorHAnsi" w:hAnsiTheme="minorHAnsi" w:cstheme="minorHAnsi"/>
          <w:sz w:val="22"/>
          <w:szCs w:val="22"/>
        </w:rPr>
        <w:t xml:space="preserve"> S/</w:t>
      </w:r>
      <w:proofErr w:type="spellStart"/>
      <w:r w:rsidR="008B54A5">
        <w:rPr>
          <w:rFonts w:asciiTheme="minorHAnsi" w:hAnsiTheme="minorHAnsi" w:cstheme="minorHAnsi"/>
          <w:sz w:val="22"/>
          <w:szCs w:val="22"/>
        </w:rPr>
        <w:t>Gln</w:t>
      </w:r>
      <w:proofErr w:type="spellEnd"/>
      <w:r w:rsidR="008B54A5">
        <w:rPr>
          <w:rFonts w:asciiTheme="minorHAnsi" w:hAnsiTheme="minorHAnsi" w:cstheme="minorHAnsi"/>
          <w:sz w:val="22"/>
          <w:szCs w:val="22"/>
        </w:rPr>
        <w:t>)</w:t>
      </w:r>
      <w:r w:rsidR="008B54A5">
        <w:rPr>
          <w:rFonts w:asciiTheme="minorHAnsi" w:hAnsiTheme="minorHAnsi" w:cstheme="minorHAnsi"/>
          <w:sz w:val="22"/>
          <w:szCs w:val="22"/>
        </w:rPr>
        <w:t xml:space="preserve">. El día 30.09.2023 publicó una lista de precios en la que registró variación en el precio del GLP </w:t>
      </w:r>
      <w:r w:rsidR="00844B89">
        <w:rPr>
          <w:rFonts w:asciiTheme="minorHAnsi" w:hAnsiTheme="minorHAnsi" w:cstheme="minorHAnsi"/>
          <w:sz w:val="22"/>
          <w:szCs w:val="22"/>
        </w:rPr>
        <w:t>(+0,</w:t>
      </w:r>
      <w:r w:rsidR="00015FEB">
        <w:rPr>
          <w:rFonts w:asciiTheme="minorHAnsi" w:hAnsiTheme="minorHAnsi" w:cstheme="minorHAnsi"/>
          <w:sz w:val="22"/>
          <w:szCs w:val="22"/>
        </w:rPr>
        <w:t>1</w:t>
      </w:r>
      <w:r w:rsidR="008B54A5">
        <w:rPr>
          <w:rFonts w:asciiTheme="minorHAnsi" w:hAnsiTheme="minorHAnsi" w:cstheme="minorHAnsi"/>
          <w:sz w:val="22"/>
          <w:szCs w:val="22"/>
        </w:rPr>
        <w:t>5</w:t>
      </w:r>
      <w:r w:rsidR="00844B89">
        <w:rPr>
          <w:rFonts w:asciiTheme="minorHAnsi" w:hAnsiTheme="minorHAnsi" w:cstheme="minorHAnsi"/>
          <w:sz w:val="22"/>
          <w:szCs w:val="22"/>
        </w:rPr>
        <w:t xml:space="preserve"> S/</w:t>
      </w:r>
      <w:r w:rsidR="008B54A5">
        <w:rPr>
          <w:rFonts w:asciiTheme="minorHAnsi" w:hAnsiTheme="minorHAnsi" w:cstheme="minorHAnsi"/>
          <w:sz w:val="22"/>
          <w:szCs w:val="22"/>
        </w:rPr>
        <w:t>Kg</w:t>
      </w:r>
      <w:r w:rsidR="00844B89">
        <w:rPr>
          <w:rFonts w:asciiTheme="minorHAnsi" w:hAnsiTheme="minorHAnsi" w:cstheme="minorHAnsi"/>
          <w:sz w:val="22"/>
          <w:szCs w:val="22"/>
        </w:rPr>
        <w:t>).</w:t>
      </w:r>
    </w:p>
    <w:p w14:paraId="5F8AC98D" w14:textId="5F728D61" w:rsidR="00DF13D8" w:rsidRDefault="00DF13D8" w:rsidP="00AF5121">
      <w:pPr>
        <w:pStyle w:val="Prrafodelista"/>
        <w:rPr>
          <w:rFonts w:asciiTheme="minorHAnsi" w:hAnsiTheme="minorHAnsi" w:cstheme="minorHAnsi"/>
          <w:sz w:val="22"/>
          <w:szCs w:val="22"/>
        </w:rPr>
      </w:pPr>
    </w:p>
    <w:p w14:paraId="48A6BBEC" w14:textId="267517AB" w:rsidR="00506836" w:rsidRDefault="00506836" w:rsidP="00AF5121">
      <w:pPr>
        <w:pStyle w:val="Prrafodelista"/>
        <w:rPr>
          <w:rFonts w:asciiTheme="minorHAnsi" w:hAnsiTheme="minorHAnsi" w:cstheme="minorHAnsi"/>
          <w:sz w:val="22"/>
          <w:szCs w:val="22"/>
        </w:rPr>
      </w:pPr>
    </w:p>
    <w:p w14:paraId="7519CC57" w14:textId="77777777" w:rsidR="00791285" w:rsidRDefault="00791285"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05D326B"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3263ED8B" w14:textId="220F56CE" w:rsidR="004279F9" w:rsidRDefault="004279F9" w:rsidP="00313709">
      <w:pPr>
        <w:jc w:val="both"/>
        <w:rPr>
          <w:rFonts w:asciiTheme="minorHAnsi" w:hAnsiTheme="minorHAnsi" w:cstheme="minorHAnsi"/>
          <w:sz w:val="22"/>
          <w:szCs w:val="22"/>
        </w:rPr>
      </w:pPr>
    </w:p>
    <w:p w14:paraId="4181EFC8" w14:textId="77777777" w:rsidR="004279F9" w:rsidRDefault="004279F9" w:rsidP="00313709">
      <w:pPr>
        <w:jc w:val="both"/>
        <w:rPr>
          <w:rFonts w:asciiTheme="minorHAnsi" w:hAnsiTheme="minorHAnsi" w:cstheme="minorHAnsi"/>
          <w:sz w:val="22"/>
          <w:szCs w:val="22"/>
        </w:rPr>
      </w:pP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E366DB3"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A2AFE">
        <w:rPr>
          <w:rFonts w:asciiTheme="minorHAnsi" w:hAnsiTheme="minorHAnsi" w:cstheme="minorHAnsi"/>
          <w:sz w:val="22"/>
          <w:szCs w:val="22"/>
        </w:rPr>
        <w:t>1</w:t>
      </w:r>
      <w:r w:rsidR="00015FEB">
        <w:rPr>
          <w:rFonts w:asciiTheme="minorHAnsi" w:hAnsiTheme="minorHAnsi" w:cstheme="minorHAnsi"/>
          <w:sz w:val="22"/>
          <w:szCs w:val="22"/>
        </w:rPr>
        <w:t>8</w:t>
      </w:r>
      <w:r w:rsidR="00336251" w:rsidRPr="00336251">
        <w:rPr>
          <w:rFonts w:asciiTheme="minorHAnsi" w:hAnsiTheme="minorHAnsi" w:cstheme="minorHAnsi"/>
          <w:sz w:val="22"/>
          <w:szCs w:val="22"/>
        </w:rPr>
        <w:t>/0</w:t>
      </w:r>
      <w:r w:rsidR="00844B89">
        <w:rPr>
          <w:rFonts w:asciiTheme="minorHAnsi" w:hAnsiTheme="minorHAnsi" w:cstheme="minorHAnsi"/>
          <w:sz w:val="22"/>
          <w:szCs w:val="22"/>
        </w:rPr>
        <w:t>9</w:t>
      </w:r>
      <w:r w:rsidR="00336251" w:rsidRPr="00336251">
        <w:rPr>
          <w:rFonts w:asciiTheme="minorHAnsi" w:hAnsiTheme="minorHAnsi" w:cstheme="minorHAnsi"/>
          <w:sz w:val="22"/>
          <w:szCs w:val="22"/>
        </w:rPr>
        <w:t xml:space="preserve">/2023 y el </w:t>
      </w:r>
      <w:r w:rsidR="00015FEB">
        <w:rPr>
          <w:rFonts w:asciiTheme="minorHAnsi" w:hAnsiTheme="minorHAnsi" w:cstheme="minorHAnsi"/>
          <w:sz w:val="22"/>
          <w:szCs w:val="22"/>
        </w:rPr>
        <w:t>2</w:t>
      </w:r>
      <w:r w:rsidR="00FA2AFE">
        <w:rPr>
          <w:rFonts w:asciiTheme="minorHAnsi" w:hAnsiTheme="minorHAnsi" w:cstheme="minorHAnsi"/>
          <w:sz w:val="22"/>
          <w:szCs w:val="22"/>
        </w:rPr>
        <w:t>9</w:t>
      </w:r>
      <w:r w:rsidR="00336251" w:rsidRPr="00336251">
        <w:rPr>
          <w:rFonts w:asciiTheme="minorHAnsi" w:hAnsiTheme="minorHAnsi" w:cstheme="minorHAnsi"/>
          <w:sz w:val="22"/>
          <w:szCs w:val="22"/>
        </w:rPr>
        <w:t>/0</w:t>
      </w:r>
      <w:r w:rsidR="00CB3778">
        <w:rPr>
          <w:rFonts w:asciiTheme="minorHAnsi" w:hAnsiTheme="minorHAnsi" w:cstheme="minorHAnsi"/>
          <w:sz w:val="22"/>
          <w:szCs w:val="22"/>
        </w:rPr>
        <w:t>9</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529641B4"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A2AFE">
        <w:rPr>
          <w:rFonts w:ascii="Calibri" w:hAnsi="Calibri" w:cs="Arial"/>
          <w:b/>
          <w:bCs/>
          <w:i/>
          <w:sz w:val="22"/>
          <w:szCs w:val="22"/>
          <w:lang w:eastAsia="es-PE"/>
        </w:rPr>
        <w:t>0</w:t>
      </w:r>
      <w:r w:rsidR="00015FEB">
        <w:rPr>
          <w:rFonts w:ascii="Calibri" w:hAnsi="Calibri" w:cs="Arial"/>
          <w:b/>
          <w:bCs/>
          <w:i/>
          <w:sz w:val="22"/>
          <w:szCs w:val="22"/>
          <w:lang w:eastAsia="es-PE"/>
        </w:rPr>
        <w:t>2</w:t>
      </w:r>
      <w:r>
        <w:rPr>
          <w:rFonts w:ascii="Calibri" w:hAnsi="Calibri" w:cs="Arial"/>
          <w:b/>
          <w:bCs/>
          <w:i/>
          <w:sz w:val="22"/>
          <w:szCs w:val="22"/>
          <w:lang w:eastAsia="es-PE"/>
        </w:rPr>
        <w:t>-</w:t>
      </w:r>
      <w:r w:rsidR="00FA2AFE">
        <w:rPr>
          <w:rFonts w:ascii="Calibri" w:hAnsi="Calibri" w:cs="Arial"/>
          <w:b/>
          <w:bCs/>
          <w:i/>
          <w:sz w:val="22"/>
          <w:szCs w:val="22"/>
          <w:lang w:eastAsia="es-PE"/>
        </w:rPr>
        <w:t>1</w:t>
      </w:r>
      <w:r>
        <w:rPr>
          <w:rFonts w:ascii="Calibri" w:hAnsi="Calibri" w:cs="Arial"/>
          <w:b/>
          <w:bCs/>
          <w:i/>
          <w:sz w:val="22"/>
          <w:szCs w:val="22"/>
          <w:lang w:eastAsia="es-PE"/>
        </w:rPr>
        <w:t>0-23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58AB234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FA2AFE">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844B89">
        <w:rPr>
          <w:rFonts w:asciiTheme="minorHAnsi" w:hAnsiTheme="minorHAnsi" w:cstheme="minorHAnsi"/>
          <w:sz w:val="22"/>
          <w:szCs w:val="22"/>
        </w:rPr>
        <w:t>9</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DCDB6D3"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FA2AFE">
        <w:rPr>
          <w:rFonts w:asciiTheme="minorHAnsi" w:hAnsiTheme="minorHAnsi" w:cstheme="minorHAnsi"/>
          <w:sz w:val="22"/>
          <w:szCs w:val="22"/>
        </w:rPr>
        <w:t>02</w:t>
      </w:r>
      <w:r>
        <w:rPr>
          <w:rFonts w:asciiTheme="minorHAnsi" w:hAnsiTheme="minorHAnsi" w:cstheme="minorHAnsi"/>
          <w:sz w:val="22"/>
          <w:szCs w:val="22"/>
        </w:rPr>
        <w:t xml:space="preserve"> de </w:t>
      </w:r>
      <w:r w:rsidR="00FA2AFE">
        <w:rPr>
          <w:rFonts w:asciiTheme="minorHAnsi" w:hAnsiTheme="minorHAnsi" w:cstheme="minorHAnsi"/>
          <w:sz w:val="22"/>
          <w:szCs w:val="22"/>
        </w:rPr>
        <w:t>octu</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60F6DC3"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FA2AFE">
        <w:rPr>
          <w:rFonts w:asciiTheme="minorHAnsi" w:hAnsiTheme="minorHAnsi" w:cstheme="minorHAnsi"/>
          <w:sz w:val="22"/>
          <w:szCs w:val="22"/>
        </w:rPr>
        <w:t>9</w:t>
      </w:r>
      <w:r w:rsidR="001F2602">
        <w:rPr>
          <w:rFonts w:asciiTheme="minorHAnsi" w:hAnsiTheme="minorHAnsi" w:cstheme="minorHAnsi"/>
          <w:sz w:val="22"/>
          <w:szCs w:val="22"/>
        </w:rPr>
        <w:t>,</w:t>
      </w:r>
      <w:r w:rsidR="00FA2AFE">
        <w:rPr>
          <w:rFonts w:asciiTheme="minorHAnsi" w:hAnsiTheme="minorHAnsi" w:cstheme="minorHAnsi"/>
          <w:sz w:val="22"/>
          <w:szCs w:val="22"/>
        </w:rPr>
        <w:t>95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C5C4AB8"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A2AFE">
        <w:rPr>
          <w:rFonts w:asciiTheme="minorHAnsi" w:hAnsiTheme="minorHAnsi" w:cstheme="minorHAnsi"/>
          <w:sz w:val="22"/>
          <w:szCs w:val="22"/>
          <w:lang w:val="en-US"/>
        </w:rPr>
        <w:t>9</w:t>
      </w:r>
      <w:r w:rsidR="000434BD">
        <w:rPr>
          <w:rFonts w:asciiTheme="minorHAnsi" w:hAnsiTheme="minorHAnsi" w:cstheme="minorHAnsi"/>
          <w:sz w:val="22"/>
          <w:szCs w:val="22"/>
          <w:lang w:val="en-US"/>
        </w:rPr>
        <w:t>,</w:t>
      </w:r>
      <w:r w:rsidR="00FA2AFE">
        <w:rPr>
          <w:rFonts w:asciiTheme="minorHAnsi" w:hAnsiTheme="minorHAnsi" w:cstheme="minorHAnsi"/>
          <w:sz w:val="22"/>
          <w:szCs w:val="22"/>
          <w:lang w:val="en-US"/>
        </w:rPr>
        <w:t>95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FA2AFE">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FA2AFE">
        <w:rPr>
          <w:rFonts w:asciiTheme="minorHAnsi" w:hAnsiTheme="minorHAnsi" w:cstheme="minorHAnsi"/>
          <w:sz w:val="22"/>
          <w:szCs w:val="22"/>
          <w:lang w:val="en-US"/>
        </w:rPr>
        <w:t>12</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0BC0EDCA"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A2AFE">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FA2AFE">
        <w:rPr>
          <w:rFonts w:asciiTheme="minorHAnsi" w:hAnsiTheme="minorHAnsi" w:cstheme="minorHAnsi"/>
          <w:sz w:val="22"/>
          <w:szCs w:val="22"/>
          <w:lang w:val="en-US"/>
        </w:rPr>
        <w:t>9</w:t>
      </w:r>
      <w:r w:rsidR="00C146BC">
        <w:rPr>
          <w:rFonts w:asciiTheme="minorHAnsi" w:hAnsiTheme="minorHAnsi" w:cstheme="minorHAnsi"/>
          <w:sz w:val="22"/>
          <w:szCs w:val="22"/>
          <w:lang w:val="en-US"/>
        </w:rPr>
        <w:t>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69B564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FA2AFE">
        <w:rPr>
          <w:rFonts w:asciiTheme="minorHAnsi" w:hAnsiTheme="minorHAnsi" w:cstheme="minorHAnsi"/>
          <w:sz w:val="22"/>
          <w:szCs w:val="22"/>
        </w:rPr>
        <w:t>5</w:t>
      </w:r>
      <w:r w:rsidR="00336251">
        <w:rPr>
          <w:rFonts w:asciiTheme="minorHAnsi" w:hAnsiTheme="minorHAnsi" w:cstheme="minorHAnsi"/>
          <w:sz w:val="22"/>
          <w:szCs w:val="22"/>
        </w:rPr>
        <w:t>,</w:t>
      </w:r>
      <w:r w:rsidR="00FA2AFE">
        <w:rPr>
          <w:rFonts w:asciiTheme="minorHAnsi" w:hAnsiTheme="minorHAnsi" w:cstheme="minorHAnsi"/>
          <w:sz w:val="22"/>
          <w:szCs w:val="22"/>
        </w:rPr>
        <w:t>80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EAFFA4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844B89">
        <w:rPr>
          <w:rFonts w:asciiTheme="minorHAnsi" w:hAnsiTheme="minorHAnsi" w:cstheme="minorHAnsi"/>
          <w:sz w:val="22"/>
          <w:szCs w:val="22"/>
        </w:rPr>
        <w:t>6</w:t>
      </w:r>
      <w:r w:rsidR="00FA2AFE">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FA2AFE">
        <w:rPr>
          <w:rFonts w:asciiTheme="minorHAnsi" w:hAnsiTheme="minorHAnsi" w:cstheme="minorHAnsi"/>
          <w:sz w:val="22"/>
          <w:szCs w:val="22"/>
        </w:rPr>
        <w:t>29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7CEDE8B"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FA2AFE">
        <w:rPr>
          <w:rFonts w:asciiTheme="minorHAnsi" w:hAnsiTheme="minorHAnsi" w:cstheme="minorHAnsi"/>
          <w:sz w:val="22"/>
          <w:szCs w:val="22"/>
        </w:rPr>
        <w:t>51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C146BC">
        <w:rPr>
          <w:rFonts w:asciiTheme="minorHAnsi" w:hAnsiTheme="minorHAnsi" w:cstheme="minorHAnsi"/>
          <w:sz w:val="22"/>
          <w:szCs w:val="22"/>
        </w:rPr>
        <w:t>3</w:t>
      </w:r>
      <w:r w:rsidR="00513E2B">
        <w:rPr>
          <w:rFonts w:asciiTheme="minorHAnsi" w:hAnsiTheme="minorHAnsi" w:cstheme="minorHAnsi"/>
          <w:sz w:val="22"/>
          <w:szCs w:val="22"/>
        </w:rPr>
        <w:t>,</w:t>
      </w:r>
      <w:r w:rsidR="00FA2AFE">
        <w:rPr>
          <w:rFonts w:asciiTheme="minorHAnsi" w:hAnsiTheme="minorHAnsi" w:cstheme="minorHAnsi"/>
          <w:sz w:val="22"/>
          <w:szCs w:val="22"/>
        </w:rPr>
        <w:t>4</w:t>
      </w:r>
      <w:r w:rsidR="00C146BC">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7F75A7C0"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99EBC5E"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FA2AFE">
        <w:rPr>
          <w:rFonts w:asciiTheme="minorHAnsi" w:hAnsiTheme="minorHAnsi" w:cstheme="minorHAnsi"/>
          <w:sz w:val="22"/>
          <w:szCs w:val="22"/>
        </w:rPr>
        <w:t>5</w:t>
      </w:r>
      <w:r>
        <w:rPr>
          <w:rFonts w:asciiTheme="minorHAnsi" w:hAnsiTheme="minorHAnsi" w:cstheme="minorHAnsi"/>
          <w:sz w:val="22"/>
          <w:szCs w:val="22"/>
        </w:rPr>
        <w:t>,</w:t>
      </w:r>
      <w:r w:rsidR="00FA2AFE">
        <w:rPr>
          <w:rFonts w:asciiTheme="minorHAnsi" w:hAnsiTheme="minorHAnsi" w:cstheme="minorHAnsi"/>
          <w:sz w:val="22"/>
          <w:szCs w:val="22"/>
        </w:rPr>
        <w:t>80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BE3EF9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B8117D">
        <w:rPr>
          <w:rFonts w:asciiTheme="minorHAnsi" w:hAnsiTheme="minorHAnsi" w:cstheme="minorHAnsi"/>
          <w:sz w:val="22"/>
          <w:szCs w:val="22"/>
        </w:rPr>
        <w:t>24</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6C5A9D5"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 xml:space="preserve">y que para la presente semana ascienden a </w:t>
      </w:r>
      <w:r w:rsidR="008C7766">
        <w:rPr>
          <w:rFonts w:asciiTheme="minorHAnsi" w:hAnsiTheme="minorHAnsi" w:cstheme="minorHAnsi"/>
          <w:sz w:val="22"/>
          <w:szCs w:val="22"/>
          <w:lang w:eastAsia="en-US"/>
        </w:rPr>
        <w:t>2</w:t>
      </w:r>
      <w:r w:rsidR="002C3713">
        <w:rPr>
          <w:rFonts w:asciiTheme="minorHAnsi" w:hAnsiTheme="minorHAnsi" w:cstheme="minorHAnsi"/>
          <w:sz w:val="22"/>
          <w:szCs w:val="22"/>
          <w:lang w:eastAsia="en-US"/>
        </w:rPr>
        <w:t>,</w:t>
      </w:r>
      <w:r w:rsidR="00B8117D">
        <w:rPr>
          <w:rFonts w:asciiTheme="minorHAnsi" w:hAnsiTheme="minorHAnsi" w:cstheme="minorHAnsi"/>
          <w:sz w:val="22"/>
          <w:szCs w:val="22"/>
          <w:lang w:eastAsia="en-US"/>
        </w:rPr>
        <w:t>06</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8C7766">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B8117D">
        <w:rPr>
          <w:rFonts w:asciiTheme="minorHAnsi" w:hAnsiTheme="minorHAnsi" w:cstheme="minorHAnsi"/>
          <w:sz w:val="22"/>
          <w:szCs w:val="22"/>
          <w:lang w:eastAsia="en-US"/>
        </w:rPr>
        <w:t>88</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B8117D">
        <w:rPr>
          <w:rFonts w:asciiTheme="minorHAnsi" w:hAnsiTheme="minorHAnsi" w:cstheme="minorHAnsi"/>
          <w:sz w:val="22"/>
          <w:szCs w:val="22"/>
          <w:lang w:eastAsia="en-US"/>
        </w:rPr>
        <w:t>57</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505659D3" w:rsidR="00765078" w:rsidRDefault="00F1465A" w:rsidP="004F74EE">
      <w:pPr>
        <w:pBdr>
          <w:top w:val="single" w:sz="4" w:space="1" w:color="auto"/>
          <w:bottom w:val="single" w:sz="4" w:space="1" w:color="auto"/>
        </w:pBdr>
        <w:jc w:val="center"/>
        <w:rPr>
          <w:rFonts w:ascii="Calibri" w:hAnsi="Calibri" w:cs="Calibri"/>
          <w:sz w:val="22"/>
          <w:szCs w:val="22"/>
          <w:lang w:val="es-PE" w:eastAsia="en-US"/>
        </w:rPr>
      </w:pPr>
      <w:r w:rsidRPr="00F1465A">
        <w:drawing>
          <wp:inline distT="0" distB="0" distL="0" distR="0" wp14:anchorId="22BEDDF1" wp14:editId="2AF01950">
            <wp:extent cx="8173085" cy="2966720"/>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730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2BB65750" w:rsidR="00F85D23" w:rsidRDefault="00791285" w:rsidP="00FB4E04">
            <w:pPr>
              <w:ind w:left="-618" w:right="-654"/>
              <w:jc w:val="center"/>
              <w:rPr>
                <w:rFonts w:asciiTheme="minorHAnsi" w:hAnsiTheme="minorHAnsi" w:cstheme="minorHAnsi"/>
              </w:rPr>
            </w:pPr>
            <w:r w:rsidRPr="00791285">
              <w:rPr>
                <w:rFonts w:asciiTheme="minorHAnsi" w:hAnsiTheme="minorHAnsi" w:cstheme="minorHAnsi"/>
                <w:noProof/>
              </w:rPr>
              <w:drawing>
                <wp:inline distT="0" distB="0" distL="0" distR="0" wp14:anchorId="73A14DC3" wp14:editId="6C30BD10">
                  <wp:extent cx="3567430" cy="26162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7430" cy="2616200"/>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D99E54C" w14:textId="530C3CDC" w:rsidR="00EF3BE9" w:rsidRDefault="00791285"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B21F311" wp14:editId="62EA0AFC">
                  <wp:extent cx="5321935" cy="24638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66891" cy="2484612"/>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22ADF96C" w:rsidR="006C63F4" w:rsidRPr="00737F8F" w:rsidRDefault="00791285"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791285">
        <w:drawing>
          <wp:inline distT="0" distB="0" distL="0" distR="0" wp14:anchorId="41EAB996" wp14:editId="3B2FD57B">
            <wp:extent cx="5702300" cy="216027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2300" cy="216027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0879E0F" w:rsidR="005C4A97" w:rsidRDefault="00F70B5B" w:rsidP="00604758">
      <w:pPr>
        <w:spacing w:line="0" w:lineRule="atLeast"/>
        <w:ind w:right="-567"/>
        <w:jc w:val="both"/>
        <w:rPr>
          <w:noProof/>
        </w:rPr>
      </w:pPr>
      <w:r w:rsidRPr="00F70B5B">
        <w:drawing>
          <wp:inline distT="0" distB="0" distL="0" distR="0" wp14:anchorId="726B8101" wp14:editId="7579F77E">
            <wp:extent cx="5850255" cy="22098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0255" cy="220980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06CDFC23" w:rsidR="00127A54" w:rsidRDefault="00F70B5B" w:rsidP="006220EA">
      <w:pPr>
        <w:rPr>
          <w:rFonts w:asciiTheme="minorHAnsi" w:hAnsiTheme="minorHAnsi" w:cstheme="minorHAnsi"/>
          <w:i/>
          <w:sz w:val="18"/>
          <w:szCs w:val="18"/>
        </w:rPr>
      </w:pPr>
      <w:r w:rsidRPr="00F70B5B">
        <w:drawing>
          <wp:inline distT="0" distB="0" distL="0" distR="0" wp14:anchorId="401DFDCA" wp14:editId="25F2C3EB">
            <wp:extent cx="5850255" cy="713295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132955"/>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4E63AD9B" w:rsidR="00550568" w:rsidRDefault="00F70B5B" w:rsidP="005048C1">
      <w:pPr>
        <w:rPr>
          <w:rFonts w:asciiTheme="minorHAnsi" w:hAnsiTheme="minorHAnsi" w:cstheme="minorHAnsi"/>
          <w:i/>
          <w:sz w:val="18"/>
          <w:szCs w:val="18"/>
        </w:rPr>
      </w:pPr>
      <w:r w:rsidRPr="00F70B5B">
        <w:drawing>
          <wp:inline distT="0" distB="0" distL="0" distR="0" wp14:anchorId="34D54B08" wp14:editId="68557006">
            <wp:extent cx="5850255" cy="63055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6305550"/>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55F3895E" w14:textId="77777777" w:rsidR="00F1465A" w:rsidRDefault="00F1465A" w:rsidP="00F1465A">
      <w:pPr>
        <w:jc w:val="center"/>
        <w:rPr>
          <w:rFonts w:asciiTheme="minorHAnsi" w:hAnsiTheme="minorHAnsi" w:cstheme="minorHAnsi"/>
          <w:sz w:val="22"/>
          <w:szCs w:val="22"/>
        </w:rPr>
      </w:pPr>
      <w:r>
        <w:rPr>
          <w:noProof/>
        </w:rPr>
        <w:drawing>
          <wp:inline distT="0" distB="0" distL="0" distR="0" wp14:anchorId="661FF5E5" wp14:editId="3B06369A">
            <wp:extent cx="5649260" cy="3016250"/>
            <wp:effectExtent l="19050" t="19050" r="27940" b="12700"/>
            <wp:docPr id="1210335367"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7636" cy="3026061"/>
                    </a:xfrm>
                    <a:prstGeom prst="rect">
                      <a:avLst/>
                    </a:prstGeom>
                    <a:noFill/>
                    <a:ln>
                      <a:solidFill>
                        <a:schemeClr val="accent1"/>
                      </a:solidFill>
                    </a:ln>
                  </pic:spPr>
                </pic:pic>
              </a:graphicData>
            </a:graphic>
          </wp:inline>
        </w:drawing>
      </w:r>
    </w:p>
    <w:p w14:paraId="7AE9C28C" w14:textId="77777777" w:rsidR="00F1465A" w:rsidRDefault="00F1465A" w:rsidP="00F1465A">
      <w:pPr>
        <w:jc w:val="center"/>
        <w:rPr>
          <w:rFonts w:asciiTheme="minorHAnsi" w:hAnsiTheme="minorHAnsi" w:cstheme="minorHAnsi"/>
          <w:sz w:val="22"/>
          <w:szCs w:val="22"/>
        </w:rPr>
      </w:pPr>
    </w:p>
    <w:p w14:paraId="74D9682C" w14:textId="77777777" w:rsidR="00F1465A" w:rsidRDefault="00F1465A" w:rsidP="00F1465A">
      <w:pPr>
        <w:jc w:val="center"/>
        <w:rPr>
          <w:rFonts w:asciiTheme="minorHAnsi" w:hAnsiTheme="minorHAnsi" w:cstheme="minorHAnsi"/>
          <w:sz w:val="22"/>
          <w:szCs w:val="22"/>
        </w:rPr>
      </w:pPr>
      <w:r>
        <w:rPr>
          <w:noProof/>
        </w:rPr>
        <w:drawing>
          <wp:inline distT="0" distB="0" distL="0" distR="0" wp14:anchorId="0FE0E5AE" wp14:editId="03B0B0B8">
            <wp:extent cx="5637044" cy="3009728"/>
            <wp:effectExtent l="19050" t="19050" r="20955" b="19685"/>
            <wp:docPr id="1353790464"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5319" cy="3024824"/>
                    </a:xfrm>
                    <a:prstGeom prst="rect">
                      <a:avLst/>
                    </a:prstGeom>
                    <a:noFill/>
                    <a:ln>
                      <a:solidFill>
                        <a:schemeClr val="accent1"/>
                      </a:solidFill>
                    </a:ln>
                  </pic:spPr>
                </pic:pic>
              </a:graphicData>
            </a:graphic>
          </wp:inline>
        </w:drawing>
      </w:r>
    </w:p>
    <w:p w14:paraId="537E4ECD" w14:textId="77777777" w:rsidR="00F1465A" w:rsidRDefault="00F1465A" w:rsidP="00F1465A">
      <w:pPr>
        <w:jc w:val="center"/>
        <w:rPr>
          <w:rFonts w:asciiTheme="minorHAnsi" w:hAnsiTheme="minorHAnsi" w:cstheme="minorHAnsi"/>
          <w:sz w:val="22"/>
          <w:szCs w:val="22"/>
        </w:rPr>
      </w:pPr>
    </w:p>
    <w:p w14:paraId="2FA20130" w14:textId="77777777" w:rsidR="00F1465A" w:rsidRDefault="00F1465A" w:rsidP="00F1465A">
      <w:pPr>
        <w:jc w:val="center"/>
        <w:rPr>
          <w:rFonts w:asciiTheme="minorHAnsi" w:hAnsiTheme="minorHAnsi" w:cstheme="minorHAnsi"/>
          <w:b/>
          <w:iCs/>
          <w:u w:val="single"/>
        </w:rPr>
      </w:pPr>
    </w:p>
    <w:p w14:paraId="75146BCC" w14:textId="77777777" w:rsidR="00F1465A" w:rsidRDefault="00F1465A" w:rsidP="00F1465A">
      <w:pPr>
        <w:jc w:val="center"/>
        <w:rPr>
          <w:rFonts w:asciiTheme="minorHAnsi" w:hAnsiTheme="minorHAnsi" w:cstheme="minorHAnsi"/>
          <w:b/>
          <w:iCs/>
          <w:u w:val="single"/>
        </w:rPr>
      </w:pPr>
      <w:r>
        <w:rPr>
          <w:noProof/>
        </w:rPr>
        <w:lastRenderedPageBreak/>
        <w:drawing>
          <wp:inline distT="0" distB="0" distL="0" distR="0" wp14:anchorId="190041AD" wp14:editId="69E95EC6">
            <wp:extent cx="5937250" cy="3170013"/>
            <wp:effectExtent l="19050" t="19050" r="25400" b="11430"/>
            <wp:docPr id="1212119469"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8608" cy="3181416"/>
                    </a:xfrm>
                    <a:prstGeom prst="rect">
                      <a:avLst/>
                    </a:prstGeom>
                    <a:noFill/>
                    <a:ln>
                      <a:solidFill>
                        <a:schemeClr val="accent1"/>
                      </a:solidFill>
                    </a:ln>
                  </pic:spPr>
                </pic:pic>
              </a:graphicData>
            </a:graphic>
          </wp:inline>
        </w:drawing>
      </w:r>
    </w:p>
    <w:p w14:paraId="2B785763" w14:textId="38E5AEC4" w:rsidR="00F1465A" w:rsidRDefault="00F1465A" w:rsidP="00F1465A">
      <w:pPr>
        <w:jc w:val="center"/>
        <w:rPr>
          <w:rFonts w:asciiTheme="minorHAnsi" w:hAnsiTheme="minorHAnsi" w:cstheme="minorHAnsi"/>
          <w:b/>
          <w:iCs/>
          <w:u w:val="single"/>
        </w:rPr>
      </w:pPr>
    </w:p>
    <w:p w14:paraId="5E6E7110" w14:textId="4DF4672D" w:rsidR="00F1465A" w:rsidRDefault="00F1465A" w:rsidP="00F1465A">
      <w:pPr>
        <w:jc w:val="center"/>
        <w:rPr>
          <w:rFonts w:asciiTheme="minorHAnsi" w:hAnsiTheme="minorHAnsi" w:cstheme="minorHAnsi"/>
          <w:b/>
          <w:iCs/>
          <w:u w:val="single"/>
        </w:rPr>
      </w:pPr>
    </w:p>
    <w:p w14:paraId="3427068F" w14:textId="77777777" w:rsidR="00F1465A" w:rsidRDefault="00F1465A" w:rsidP="00F1465A">
      <w:pPr>
        <w:jc w:val="center"/>
        <w:rPr>
          <w:rFonts w:asciiTheme="minorHAnsi" w:hAnsiTheme="minorHAnsi" w:cstheme="minorHAnsi"/>
          <w:b/>
          <w:iCs/>
          <w:u w:val="single"/>
        </w:rPr>
      </w:pPr>
    </w:p>
    <w:p w14:paraId="42BD488E" w14:textId="77777777" w:rsidR="00F1465A" w:rsidRDefault="00F1465A" w:rsidP="00F1465A">
      <w:pPr>
        <w:jc w:val="center"/>
        <w:rPr>
          <w:rFonts w:asciiTheme="minorHAnsi" w:hAnsiTheme="minorHAnsi" w:cstheme="minorHAnsi"/>
          <w:b/>
          <w:iCs/>
          <w:u w:val="single"/>
        </w:rPr>
      </w:pPr>
      <w:r>
        <w:rPr>
          <w:noProof/>
        </w:rPr>
        <w:drawing>
          <wp:inline distT="0" distB="0" distL="0" distR="0" wp14:anchorId="05EE955C" wp14:editId="7283F104">
            <wp:extent cx="6070600" cy="3241211"/>
            <wp:effectExtent l="19050" t="19050" r="25400" b="16510"/>
            <wp:docPr id="581619687"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6521" cy="3255051"/>
                    </a:xfrm>
                    <a:prstGeom prst="rect">
                      <a:avLst/>
                    </a:prstGeom>
                    <a:noFill/>
                    <a:ln>
                      <a:solidFill>
                        <a:schemeClr val="accent1"/>
                      </a:solidFill>
                    </a:ln>
                  </pic:spPr>
                </pic:pic>
              </a:graphicData>
            </a:graphic>
          </wp:inline>
        </w:drawing>
      </w:r>
    </w:p>
    <w:p w14:paraId="72955663" w14:textId="77777777" w:rsidR="00F1465A" w:rsidRDefault="00F1465A" w:rsidP="00F1465A">
      <w:pPr>
        <w:rPr>
          <w:rFonts w:asciiTheme="minorHAnsi" w:hAnsiTheme="minorHAnsi" w:cstheme="minorHAnsi"/>
          <w:b/>
          <w:iCs/>
          <w:u w:val="single"/>
        </w:rPr>
      </w:pPr>
    </w:p>
    <w:p w14:paraId="33B767D2" w14:textId="4AC22DD9" w:rsidR="006E6DFA" w:rsidRDefault="006E6DFA" w:rsidP="006E6DFA">
      <w:pPr>
        <w:jc w:val="center"/>
        <w:rPr>
          <w:rFonts w:asciiTheme="minorHAnsi" w:hAnsiTheme="minorHAnsi" w:cstheme="minorHAnsi"/>
          <w:b/>
          <w:iCs/>
          <w:u w:val="single"/>
        </w:rPr>
      </w:pPr>
    </w:p>
    <w:p w14:paraId="1665C05E" w14:textId="58918427" w:rsidR="00F1465A" w:rsidRDefault="00F1465A" w:rsidP="006E6DFA">
      <w:pPr>
        <w:jc w:val="center"/>
        <w:rPr>
          <w:rFonts w:asciiTheme="minorHAnsi" w:hAnsiTheme="minorHAnsi" w:cstheme="minorHAnsi"/>
          <w:b/>
          <w:iCs/>
          <w:u w:val="single"/>
        </w:rPr>
      </w:pPr>
    </w:p>
    <w:p w14:paraId="6187BA3C" w14:textId="2F00897B" w:rsidR="00F1465A" w:rsidRDefault="00F1465A" w:rsidP="006E6DFA">
      <w:pPr>
        <w:jc w:val="center"/>
        <w:rPr>
          <w:rFonts w:asciiTheme="minorHAnsi" w:hAnsiTheme="minorHAnsi" w:cstheme="minorHAnsi"/>
          <w:b/>
          <w:iCs/>
          <w:u w:val="single"/>
        </w:rPr>
      </w:pPr>
    </w:p>
    <w:p w14:paraId="42A70CEC" w14:textId="1DA7A063" w:rsidR="00F1465A" w:rsidRDefault="00F1465A" w:rsidP="006E6DFA">
      <w:pPr>
        <w:jc w:val="center"/>
        <w:rPr>
          <w:rFonts w:asciiTheme="minorHAnsi" w:hAnsiTheme="minorHAnsi" w:cstheme="minorHAnsi"/>
          <w:b/>
          <w:iCs/>
          <w:u w:val="single"/>
        </w:rPr>
      </w:pPr>
    </w:p>
    <w:p w14:paraId="42C0C9F6" w14:textId="7910AD98" w:rsidR="00F1465A" w:rsidRDefault="00F1465A" w:rsidP="006E6DFA">
      <w:pPr>
        <w:jc w:val="center"/>
        <w:rPr>
          <w:rFonts w:asciiTheme="minorHAnsi" w:hAnsiTheme="minorHAnsi" w:cstheme="minorHAnsi"/>
          <w:b/>
          <w:iCs/>
          <w:u w:val="single"/>
        </w:rPr>
      </w:pPr>
    </w:p>
    <w:p w14:paraId="0FE08826" w14:textId="33D3CAE2" w:rsidR="00F1465A" w:rsidRDefault="00F1465A" w:rsidP="006E6DFA">
      <w:pPr>
        <w:jc w:val="center"/>
        <w:rPr>
          <w:rFonts w:asciiTheme="minorHAnsi" w:hAnsiTheme="minorHAnsi" w:cstheme="minorHAnsi"/>
          <w:b/>
          <w:iCs/>
          <w:u w:val="single"/>
        </w:rPr>
      </w:pPr>
    </w:p>
    <w:p w14:paraId="5F1B18F7" w14:textId="2D99A5E8" w:rsidR="00F1465A" w:rsidRDefault="00F1465A" w:rsidP="006E6DF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279F9"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348951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40</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8F6DBF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40</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472FE70"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40</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82F67A2"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40</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444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18</Pages>
  <Words>4092</Words>
  <Characters>22511</Characters>
  <Application>Microsoft Office Word</Application>
  <DocSecurity>0</DocSecurity>
  <Lines>187</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2023-09-13T15:54:00Z</cp:lastPrinted>
  <dcterms:created xsi:type="dcterms:W3CDTF">2023-10-04T19:15:00Z</dcterms:created>
  <dcterms:modified xsi:type="dcterms:W3CDTF">2023-10-04T21:27:00Z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